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D3C2" w14:textId="77777777" w:rsidR="004F5D3F" w:rsidRDefault="00000000">
      <w:pPr>
        <w:pStyle w:val="2"/>
      </w:pPr>
      <w:bookmarkStart w:id="0" w:name="Xcbc2ce852691215a9a01df394aba286d35e0cc3"/>
      <w:bookmarkStart w:id="1" w:name="results"/>
      <w:r>
        <w:t>2. Results</w:t>
      </w:r>
    </w:p>
    <w:p w14:paraId="00297C64" w14:textId="77777777" w:rsidR="004F5D3F" w:rsidRDefault="00000000">
      <w:pPr>
        <w:pStyle w:val="aa"/>
      </w:pPr>
      <w:r>
        <w:t xml:space="preserve">📊 </w:t>
      </w:r>
      <w:r>
        <w:rPr>
          <w:b/>
          <w:bCs/>
        </w:rPr>
        <w:t>[Figure 1: fig1_s_agent_overview.png] [Figure 2: fig2_insample_performance.png] [Figure 3: fig3_oos_performance.png]</w:t>
      </w:r>
    </w:p>
    <w:p w14:paraId="5295C3AC" w14:textId="77777777" w:rsidR="004F5D3F" w:rsidRDefault="00000000">
      <w:pPr>
        <w:pStyle w:val="3"/>
      </w:pPr>
      <w:bookmarkStart w:id="2" w:name="in-sample-評估結果1800-場對話"/>
      <w:r>
        <w:t xml:space="preserve">2.1 In-Sample </w:t>
      </w:r>
      <w:r>
        <w:rPr>
          <w:rFonts w:hint="eastAsia"/>
        </w:rPr>
        <w:t>評估結果（</w:t>
      </w:r>
      <w:r>
        <w:rPr>
          <w:rFonts w:hint="eastAsia"/>
        </w:rPr>
        <w:t>1,800</w:t>
      </w:r>
      <w:r>
        <w:t xml:space="preserve"> </w:t>
      </w:r>
      <w:r>
        <w:rPr>
          <w:rFonts w:hint="eastAsia"/>
        </w:rPr>
        <w:t>場對話）</w:t>
      </w:r>
    </w:p>
    <w:p w14:paraId="568071EE" w14:textId="77777777" w:rsidR="004F5D3F" w:rsidRDefault="00000000">
      <w:pPr>
        <w:pStyle w:val="FirstParagraph"/>
      </w:pPr>
      <w:r>
        <w:rPr>
          <w:b/>
          <w:bCs/>
        </w:rPr>
        <w:t xml:space="preserve">Table 1. In-Sample </w:t>
      </w:r>
      <w:r>
        <w:rPr>
          <w:rFonts w:hint="eastAsia"/>
          <w:b/>
          <w:bCs/>
        </w:rPr>
        <w:t>各架構表現（三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>均值）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8"/>
        <w:gridCol w:w="984"/>
        <w:gridCol w:w="1353"/>
        <w:gridCol w:w="984"/>
        <w:gridCol w:w="984"/>
        <w:gridCol w:w="861"/>
        <w:gridCol w:w="1599"/>
        <w:gridCol w:w="1353"/>
      </w:tblGrid>
      <w:tr w:rsidR="004F5D3F" w14:paraId="7B5DB727" w14:textId="77777777" w:rsidTr="004F5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14:paraId="189F9486" w14:textId="77777777" w:rsidR="004F5D3F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880" w:type="dxa"/>
          </w:tcPr>
          <w:p w14:paraId="3D11A316" w14:textId="77777777" w:rsidR="004F5D3F" w:rsidRDefault="00000000">
            <w:pPr>
              <w:pStyle w:val="Compact"/>
            </w:pPr>
            <w:r>
              <w:rPr>
                <w:rFonts w:hint="eastAsia"/>
              </w:rPr>
              <w:t>有效終止率</w:t>
            </w:r>
          </w:p>
        </w:tc>
        <w:tc>
          <w:tcPr>
            <w:tcW w:w="1210" w:type="dxa"/>
          </w:tcPr>
          <w:p w14:paraId="68AA44A1" w14:textId="77777777" w:rsidR="004F5D3F" w:rsidRDefault="00000000">
            <w:pPr>
              <w:pStyle w:val="Compact"/>
            </w:pPr>
            <w:r>
              <w:t>S_Outcome</w:t>
            </w:r>
          </w:p>
        </w:tc>
        <w:tc>
          <w:tcPr>
            <w:tcW w:w="880" w:type="dxa"/>
          </w:tcPr>
          <w:p w14:paraId="6717B2D2" w14:textId="77777777" w:rsidR="004F5D3F" w:rsidRDefault="00000000">
            <w:pPr>
              <w:pStyle w:val="Compact"/>
            </w:pPr>
            <w:r>
              <w:t>S_Tool</w:t>
            </w:r>
          </w:p>
        </w:tc>
        <w:tc>
          <w:tcPr>
            <w:tcW w:w="880" w:type="dxa"/>
          </w:tcPr>
          <w:p w14:paraId="1334166E" w14:textId="77777777" w:rsidR="004F5D3F" w:rsidRDefault="00000000">
            <w:pPr>
              <w:pStyle w:val="Compact"/>
            </w:pPr>
            <w:r>
              <w:t>S_Traj</w:t>
            </w:r>
          </w:p>
        </w:tc>
        <w:tc>
          <w:tcPr>
            <w:tcW w:w="770" w:type="dxa"/>
          </w:tcPr>
          <w:p w14:paraId="504D4244" w14:textId="77777777" w:rsidR="004F5D3F" w:rsidRDefault="00000000">
            <w:pPr>
              <w:pStyle w:val="Compact"/>
            </w:pPr>
            <w:r>
              <w:t>S_Eff</w:t>
            </w:r>
          </w:p>
        </w:tc>
        <w:tc>
          <w:tcPr>
            <w:tcW w:w="1430" w:type="dxa"/>
          </w:tcPr>
          <w:p w14:paraId="3EF40F68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S_Agent</w:t>
            </w:r>
          </w:p>
        </w:tc>
        <w:tc>
          <w:tcPr>
            <w:tcW w:w="1210" w:type="dxa"/>
          </w:tcPr>
          <w:p w14:paraId="33FFE76B" w14:textId="77777777" w:rsidR="004F5D3F" w:rsidRDefault="00000000">
            <w:pPr>
              <w:pStyle w:val="Compact"/>
            </w:pPr>
            <w:r>
              <w:t xml:space="preserve">Judge </w:t>
            </w:r>
            <w:r>
              <w:rPr>
                <w:rFonts w:hint="eastAsia"/>
              </w:rPr>
              <w:t>均分</w:t>
            </w:r>
          </w:p>
        </w:tc>
      </w:tr>
      <w:tr w:rsidR="004F5D3F" w14:paraId="64021871" w14:textId="77777777">
        <w:tc>
          <w:tcPr>
            <w:tcW w:w="660" w:type="dxa"/>
          </w:tcPr>
          <w:p w14:paraId="554857B7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880" w:type="dxa"/>
          </w:tcPr>
          <w:p w14:paraId="5359EDC2" w14:textId="77777777" w:rsidR="004F5D3F" w:rsidRDefault="00000000">
            <w:pPr>
              <w:pStyle w:val="Compact"/>
            </w:pPr>
            <w:r>
              <w:t>98.2%</w:t>
            </w:r>
          </w:p>
        </w:tc>
        <w:tc>
          <w:tcPr>
            <w:tcW w:w="1210" w:type="dxa"/>
          </w:tcPr>
          <w:p w14:paraId="3C0302FE" w14:textId="77777777" w:rsidR="004F5D3F" w:rsidRDefault="00000000">
            <w:pPr>
              <w:pStyle w:val="Compact"/>
            </w:pPr>
            <w:r>
              <w:t>79.0</w:t>
            </w:r>
          </w:p>
        </w:tc>
        <w:tc>
          <w:tcPr>
            <w:tcW w:w="880" w:type="dxa"/>
          </w:tcPr>
          <w:p w14:paraId="5A96AA1B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72.8</w:t>
            </w:r>
          </w:p>
        </w:tc>
        <w:tc>
          <w:tcPr>
            <w:tcW w:w="880" w:type="dxa"/>
          </w:tcPr>
          <w:p w14:paraId="6108B3DC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99.4</w:t>
            </w:r>
          </w:p>
        </w:tc>
        <w:tc>
          <w:tcPr>
            <w:tcW w:w="770" w:type="dxa"/>
          </w:tcPr>
          <w:p w14:paraId="25E8E7E6" w14:textId="77777777" w:rsidR="004F5D3F" w:rsidRDefault="00000000">
            <w:pPr>
              <w:pStyle w:val="Compact"/>
            </w:pPr>
            <w:r>
              <w:t>97.0</w:t>
            </w:r>
          </w:p>
        </w:tc>
        <w:tc>
          <w:tcPr>
            <w:tcW w:w="1430" w:type="dxa"/>
          </w:tcPr>
          <w:p w14:paraId="73152863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83.07</w:t>
            </w:r>
          </w:p>
        </w:tc>
        <w:tc>
          <w:tcPr>
            <w:tcW w:w="1210" w:type="dxa"/>
          </w:tcPr>
          <w:p w14:paraId="0DBB42E6" w14:textId="77777777" w:rsidR="004F5D3F" w:rsidRDefault="00000000">
            <w:pPr>
              <w:pStyle w:val="Compact"/>
            </w:pPr>
            <w:r>
              <w:t>64.2</w:t>
            </w:r>
          </w:p>
        </w:tc>
      </w:tr>
      <w:tr w:rsidR="004F5D3F" w14:paraId="6640F9B6" w14:textId="77777777">
        <w:tc>
          <w:tcPr>
            <w:tcW w:w="660" w:type="dxa"/>
          </w:tcPr>
          <w:p w14:paraId="3F708B4E" w14:textId="77777777" w:rsidR="004F5D3F" w:rsidRDefault="00000000">
            <w:pPr>
              <w:pStyle w:val="Compact"/>
            </w:pPr>
            <w:r>
              <w:t>Single-slot</w:t>
            </w:r>
          </w:p>
        </w:tc>
        <w:tc>
          <w:tcPr>
            <w:tcW w:w="880" w:type="dxa"/>
          </w:tcPr>
          <w:p w14:paraId="5B9D0A86" w14:textId="77777777" w:rsidR="004F5D3F" w:rsidRDefault="00000000">
            <w:pPr>
              <w:pStyle w:val="Compact"/>
            </w:pPr>
            <w:r>
              <w:t>59.5%</w:t>
            </w:r>
          </w:p>
        </w:tc>
        <w:tc>
          <w:tcPr>
            <w:tcW w:w="1210" w:type="dxa"/>
          </w:tcPr>
          <w:p w14:paraId="32A992B1" w14:textId="77777777" w:rsidR="004F5D3F" w:rsidRDefault="00000000">
            <w:pPr>
              <w:pStyle w:val="Compact"/>
            </w:pPr>
            <w:r>
              <w:t>74.4</w:t>
            </w:r>
          </w:p>
        </w:tc>
        <w:tc>
          <w:tcPr>
            <w:tcW w:w="880" w:type="dxa"/>
          </w:tcPr>
          <w:p w14:paraId="2E6D6C3D" w14:textId="77777777" w:rsidR="004F5D3F" w:rsidRDefault="00000000">
            <w:pPr>
              <w:pStyle w:val="Compact"/>
            </w:pPr>
            <w:r>
              <w:t>71.7</w:t>
            </w:r>
          </w:p>
        </w:tc>
        <w:tc>
          <w:tcPr>
            <w:tcW w:w="880" w:type="dxa"/>
          </w:tcPr>
          <w:p w14:paraId="36DE3521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99.9</w:t>
            </w:r>
          </w:p>
        </w:tc>
        <w:tc>
          <w:tcPr>
            <w:tcW w:w="770" w:type="dxa"/>
          </w:tcPr>
          <w:p w14:paraId="05A90C15" w14:textId="77777777" w:rsidR="004F5D3F" w:rsidRDefault="00000000">
            <w:pPr>
              <w:pStyle w:val="Compact"/>
            </w:pPr>
            <w:r>
              <w:t>85.2</w:t>
            </w:r>
          </w:p>
        </w:tc>
        <w:tc>
          <w:tcPr>
            <w:tcW w:w="1430" w:type="dxa"/>
          </w:tcPr>
          <w:p w14:paraId="414133FB" w14:textId="77777777" w:rsidR="004F5D3F" w:rsidRDefault="00000000">
            <w:pPr>
              <w:pStyle w:val="Compact"/>
            </w:pPr>
            <w:r>
              <w:t>78.53</w:t>
            </w:r>
          </w:p>
        </w:tc>
        <w:tc>
          <w:tcPr>
            <w:tcW w:w="1210" w:type="dxa"/>
          </w:tcPr>
          <w:p w14:paraId="7D74006B" w14:textId="77777777" w:rsidR="004F5D3F" w:rsidRDefault="00000000">
            <w:pPr>
              <w:pStyle w:val="Compact"/>
            </w:pPr>
            <w:r>
              <w:t>57.4</w:t>
            </w:r>
          </w:p>
        </w:tc>
      </w:tr>
      <w:tr w:rsidR="004F5D3F" w14:paraId="68715BFE" w14:textId="77777777">
        <w:tc>
          <w:tcPr>
            <w:tcW w:w="660" w:type="dxa"/>
          </w:tcPr>
          <w:p w14:paraId="65B8AA3C" w14:textId="77777777" w:rsidR="004F5D3F" w:rsidRDefault="00000000">
            <w:pPr>
              <w:pStyle w:val="Compact"/>
            </w:pPr>
            <w:r>
              <w:t>ReAct</w:t>
            </w:r>
          </w:p>
        </w:tc>
        <w:tc>
          <w:tcPr>
            <w:tcW w:w="880" w:type="dxa"/>
          </w:tcPr>
          <w:p w14:paraId="7867A7F2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99.1%</w:t>
            </w:r>
          </w:p>
        </w:tc>
        <w:tc>
          <w:tcPr>
            <w:tcW w:w="1210" w:type="dxa"/>
          </w:tcPr>
          <w:p w14:paraId="3BA2DB30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81.8</w:t>
            </w:r>
          </w:p>
        </w:tc>
        <w:tc>
          <w:tcPr>
            <w:tcW w:w="880" w:type="dxa"/>
          </w:tcPr>
          <w:p w14:paraId="71BF860B" w14:textId="77777777" w:rsidR="004F5D3F" w:rsidRDefault="00000000">
            <w:pPr>
              <w:pStyle w:val="Compact"/>
            </w:pPr>
            <w:r>
              <w:t>47.7</w:t>
            </w:r>
          </w:p>
        </w:tc>
        <w:tc>
          <w:tcPr>
            <w:tcW w:w="880" w:type="dxa"/>
          </w:tcPr>
          <w:p w14:paraId="5B864A62" w14:textId="77777777" w:rsidR="004F5D3F" w:rsidRDefault="00000000">
            <w:pPr>
              <w:pStyle w:val="Compact"/>
            </w:pPr>
            <w:r>
              <w:t>63.1</w:t>
            </w:r>
          </w:p>
        </w:tc>
        <w:tc>
          <w:tcPr>
            <w:tcW w:w="770" w:type="dxa"/>
          </w:tcPr>
          <w:p w14:paraId="49E06B24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98.0</w:t>
            </w:r>
          </w:p>
        </w:tc>
        <w:tc>
          <w:tcPr>
            <w:tcW w:w="1430" w:type="dxa"/>
          </w:tcPr>
          <w:p w14:paraId="417B203D" w14:textId="77777777" w:rsidR="004F5D3F" w:rsidRDefault="00000000">
            <w:pPr>
              <w:pStyle w:val="Compact"/>
            </w:pPr>
            <w:r>
              <w:t>76.37</w:t>
            </w:r>
          </w:p>
        </w:tc>
        <w:tc>
          <w:tcPr>
            <w:tcW w:w="1210" w:type="dxa"/>
          </w:tcPr>
          <w:p w14:paraId="2B90AE09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69.8</w:t>
            </w:r>
          </w:p>
        </w:tc>
      </w:tr>
      <w:tr w:rsidR="004F5D3F" w14:paraId="15DA8027" w14:textId="77777777">
        <w:tc>
          <w:tcPr>
            <w:tcW w:w="660" w:type="dxa"/>
          </w:tcPr>
          <w:p w14:paraId="5FE31F79" w14:textId="77777777" w:rsidR="004F5D3F" w:rsidRDefault="00000000">
            <w:pPr>
              <w:pStyle w:val="Compact"/>
            </w:pPr>
            <w:r>
              <w:t>Reflection</w:t>
            </w:r>
          </w:p>
        </w:tc>
        <w:tc>
          <w:tcPr>
            <w:tcW w:w="880" w:type="dxa"/>
          </w:tcPr>
          <w:p w14:paraId="273B5CFE" w14:textId="77777777" w:rsidR="004F5D3F" w:rsidRDefault="00000000">
            <w:pPr>
              <w:pStyle w:val="Compact"/>
            </w:pPr>
            <w:r>
              <w:t>65.4%</w:t>
            </w:r>
          </w:p>
        </w:tc>
        <w:tc>
          <w:tcPr>
            <w:tcW w:w="1210" w:type="dxa"/>
          </w:tcPr>
          <w:p w14:paraId="2B6B55AA" w14:textId="77777777" w:rsidR="004F5D3F" w:rsidRDefault="00000000">
            <w:pPr>
              <w:pStyle w:val="Compact"/>
            </w:pPr>
            <w:r>
              <w:t>75.2</w:t>
            </w:r>
          </w:p>
        </w:tc>
        <w:tc>
          <w:tcPr>
            <w:tcW w:w="880" w:type="dxa"/>
          </w:tcPr>
          <w:p w14:paraId="4FC228FB" w14:textId="77777777" w:rsidR="004F5D3F" w:rsidRDefault="00000000">
            <w:pPr>
              <w:pStyle w:val="Compact"/>
            </w:pPr>
            <w:r>
              <w:t>67.8</w:t>
            </w:r>
          </w:p>
        </w:tc>
        <w:tc>
          <w:tcPr>
            <w:tcW w:w="880" w:type="dxa"/>
          </w:tcPr>
          <w:p w14:paraId="66AB174C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100.0</w:t>
            </w:r>
          </w:p>
        </w:tc>
        <w:tc>
          <w:tcPr>
            <w:tcW w:w="770" w:type="dxa"/>
          </w:tcPr>
          <w:p w14:paraId="4CA9B0F3" w14:textId="77777777" w:rsidR="004F5D3F" w:rsidRDefault="00000000">
            <w:pPr>
              <w:pStyle w:val="Compact"/>
            </w:pPr>
            <w:r>
              <w:t>23.6</w:t>
            </w:r>
          </w:p>
        </w:tc>
        <w:tc>
          <w:tcPr>
            <w:tcW w:w="1430" w:type="dxa"/>
          </w:tcPr>
          <w:p w14:paraId="24F63B29" w14:textId="77777777" w:rsidR="004F5D3F" w:rsidRDefault="00000000">
            <w:pPr>
              <w:pStyle w:val="Compact"/>
            </w:pPr>
            <w:r>
              <w:t>65.80</w:t>
            </w:r>
          </w:p>
        </w:tc>
        <w:tc>
          <w:tcPr>
            <w:tcW w:w="1210" w:type="dxa"/>
          </w:tcPr>
          <w:p w14:paraId="1548686B" w14:textId="77777777" w:rsidR="004F5D3F" w:rsidRDefault="00000000">
            <w:pPr>
              <w:pStyle w:val="Compact"/>
            </w:pPr>
            <w:r>
              <w:t>60.7</w:t>
            </w:r>
          </w:p>
        </w:tc>
      </w:tr>
    </w:tbl>
    <w:p w14:paraId="7A73233E" w14:textId="77777777" w:rsidR="004F5D3F" w:rsidRDefault="00000000">
      <w:pPr>
        <w:pStyle w:val="a0"/>
      </w:pPr>
      <w:r>
        <w:t xml:space="preserve">PlanExecute </w:t>
      </w:r>
      <w:r>
        <w:rPr>
          <w:rFonts w:hint="eastAsia"/>
        </w:rPr>
        <w:t>以</w:t>
      </w:r>
      <w:r>
        <w:t xml:space="preserve"> S_Agent=83.07 </w:t>
      </w:r>
      <w:r>
        <w:rPr>
          <w:rFonts w:hint="eastAsia"/>
        </w:rPr>
        <w:t>奪冠，勝出原因是各維度均衡表現而非單一強項壓制：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雖</w:t>
      </w:r>
      <w:r>
        <w:t xml:space="preserve"> S_Outcome </w:t>
      </w:r>
      <w:r>
        <w:rPr>
          <w:rFonts w:hint="eastAsia"/>
        </w:rPr>
        <w:t>最高（</w:t>
      </w:r>
      <w:r>
        <w:rPr>
          <w:rFonts w:hint="eastAsia"/>
        </w:rPr>
        <w:t>81.8</w:t>
      </w:r>
      <w:r>
        <w:rPr>
          <w:rFonts w:hint="eastAsia"/>
        </w:rPr>
        <w:t>），但</w:t>
      </w:r>
      <w:r>
        <w:t xml:space="preserve"> S_Tool </w:t>
      </w:r>
      <w:r>
        <w:rPr>
          <w:rFonts w:hint="eastAsia"/>
        </w:rPr>
        <w:t>僅</w:t>
      </w:r>
      <w:r>
        <w:t xml:space="preserve"> 47.7</w:t>
      </w:r>
      <w:r>
        <w:t>、</w:t>
      </w:r>
      <w:r>
        <w:t xml:space="preserve">S_Traj 63.1 </w:t>
      </w:r>
      <w:r>
        <w:rPr>
          <w:rFonts w:hint="eastAsia"/>
        </w:rPr>
        <w:t>拉低整體；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的</w:t>
      </w:r>
      <w:r>
        <w:t xml:space="preserve"> S_Efficiency </w:t>
      </w:r>
      <w:r>
        <w:rPr>
          <w:rFonts w:hint="eastAsia"/>
        </w:rPr>
        <w:t>僅</w:t>
      </w:r>
      <w:r>
        <w:t xml:space="preserve"> 23.6 </w:t>
      </w:r>
      <w:r>
        <w:rPr>
          <w:rFonts w:hint="eastAsia"/>
        </w:rPr>
        <w:t>反映</w:t>
      </w:r>
      <w:r>
        <w:t xml:space="preserve"> token </w:t>
      </w:r>
      <w:r>
        <w:rPr>
          <w:rFonts w:hint="eastAsia"/>
        </w:rPr>
        <w:t>暴增的嚴重效率懲罰（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均值</w:t>
      </w:r>
      <w:r>
        <w:t xml:space="preserve"> </w:t>
      </w:r>
      <w:r>
        <w:rPr>
          <w:rFonts w:hint="eastAsia"/>
        </w:rPr>
        <w:t>75,105</w:t>
      </w:r>
      <w:r>
        <w:rPr>
          <w:rFonts w:hint="eastAsia"/>
        </w:rPr>
        <w:t>，是</w:t>
      </w:r>
      <w:r>
        <w:t xml:space="preserve"> PlanExecute </w:t>
      </w:r>
      <w:r>
        <w:rPr>
          <w:rFonts w:hint="eastAsia"/>
        </w:rPr>
        <w:t>的</w:t>
      </w:r>
      <w:r>
        <w:t xml:space="preserve"> 4.4 </w:t>
      </w:r>
      <w:r>
        <w:rPr>
          <w:rFonts w:hint="eastAsia"/>
        </w:rPr>
        <w:t>倍）。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跨</w:t>
      </w:r>
      <w:r>
        <w:t xml:space="preserve"> Persona S_Agent </w:t>
      </w:r>
      <w:r>
        <w:rPr>
          <w:rFonts w:hint="eastAsia"/>
        </w:rPr>
        <w:t>波動幅度最小（</w:t>
      </w:r>
      <w:r>
        <w:rPr>
          <w:rFonts w:hint="eastAsia"/>
        </w:rPr>
        <w:t>1.65</w:t>
      </w:r>
      <w:r>
        <w:t xml:space="preserve"> </w:t>
      </w:r>
      <w:r>
        <w:rPr>
          <w:rFonts w:hint="eastAsia"/>
        </w:rPr>
        <w:t>分），反映</w:t>
      </w:r>
      <w:r>
        <w:t xml:space="preserve"> Immediate Synthesis </w:t>
      </w:r>
      <w:r>
        <w:rPr>
          <w:rFonts w:hint="eastAsia"/>
        </w:rPr>
        <w:t>輸出的高一致性。</w:t>
      </w:r>
    </w:p>
    <w:p w14:paraId="2E1C01E1" w14:textId="77777777" w:rsidR="004F5D3F" w:rsidRDefault="00000000">
      <w:pPr>
        <w:pStyle w:val="3"/>
      </w:pPr>
      <w:bookmarkStart w:id="3" w:name="out-of-sample-泛化評估600-場對話"/>
      <w:bookmarkEnd w:id="2"/>
      <w:r>
        <w:t xml:space="preserve">2.2 Out-of-Sample </w:t>
      </w:r>
      <w:r>
        <w:rPr>
          <w:rFonts w:hint="eastAsia"/>
        </w:rPr>
        <w:t>泛化評估（</w:t>
      </w:r>
      <w:r>
        <w:rPr>
          <w:rFonts w:hint="eastAsia"/>
        </w:rPr>
        <w:t>600</w:t>
      </w:r>
      <w:r>
        <w:t xml:space="preserve"> </w:t>
      </w:r>
      <w:r>
        <w:rPr>
          <w:rFonts w:hint="eastAsia"/>
        </w:rPr>
        <w:t>場對話）</w:t>
      </w:r>
    </w:p>
    <w:p w14:paraId="0380CE10" w14:textId="77777777" w:rsidR="004F5D3F" w:rsidRDefault="00000000">
      <w:pPr>
        <w:pStyle w:val="FirstParagraph"/>
      </w:pPr>
      <w:r>
        <w:t xml:space="preserve">OOS </w:t>
      </w:r>
      <w:r>
        <w:rPr>
          <w:rFonts w:hint="eastAsia"/>
        </w:rPr>
        <w:t>資料集含</w:t>
      </w:r>
      <w:r>
        <w:t xml:space="preserve"> 9 </w:t>
      </w:r>
      <w:r>
        <w:rPr>
          <w:rFonts w:hint="eastAsia"/>
        </w:rPr>
        <w:t>種域外新意圖（</w:t>
      </w:r>
      <w:r>
        <w:rPr>
          <w:rStyle w:val="VerbatimChar"/>
        </w:rPr>
        <w:t>track_return</w:t>
      </w:r>
      <w:r>
        <w:t>、</w:t>
      </w:r>
      <w:r>
        <w:rPr>
          <w:rStyle w:val="VerbatimChar"/>
        </w:rPr>
        <w:t>missing_item</w:t>
      </w:r>
      <w:r>
        <w:t>、</w:t>
      </w:r>
      <w:r>
        <w:rPr>
          <w:rStyle w:val="VerbatimChar"/>
        </w:rPr>
        <w:t>fraud_dispute</w:t>
      </w:r>
      <w:r>
        <w:t xml:space="preserve"> </w:t>
      </w:r>
      <w:r>
        <w:rPr>
          <w:rFonts w:hint="eastAsia"/>
        </w:rPr>
        <w:t>等），用以測試架構在未見意圖上的通用推理能力。</w:t>
      </w:r>
    </w:p>
    <w:p w14:paraId="7F6DED90" w14:textId="77777777" w:rsidR="004F5D3F" w:rsidRDefault="00000000">
      <w:pPr>
        <w:pStyle w:val="a0"/>
      </w:pPr>
      <w:r>
        <w:rPr>
          <w:b/>
          <w:bCs/>
        </w:rPr>
        <w:t xml:space="preserve">Table 2. OOS </w:t>
      </w:r>
      <w:r>
        <w:rPr>
          <w:rFonts w:hint="eastAsia"/>
          <w:b/>
          <w:bCs/>
        </w:rPr>
        <w:t>各架構表現與泛化跌幅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499"/>
        <w:gridCol w:w="2180"/>
        <w:gridCol w:w="1499"/>
        <w:gridCol w:w="2861"/>
      </w:tblGrid>
      <w:tr w:rsidR="004F5D3F" w14:paraId="31311A4A" w14:textId="77777777" w:rsidTr="004F5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1" w:type="dxa"/>
          </w:tcPr>
          <w:p w14:paraId="373F9E88" w14:textId="77777777" w:rsidR="004F5D3F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1340" w:type="dxa"/>
          </w:tcPr>
          <w:p w14:paraId="1EB18C91" w14:textId="77777777" w:rsidR="004F5D3F" w:rsidRDefault="00000000">
            <w:pPr>
              <w:pStyle w:val="Compact"/>
            </w:pPr>
            <w:r>
              <w:t xml:space="preserve">OOS </w:t>
            </w:r>
            <w:r>
              <w:rPr>
                <w:rFonts w:hint="eastAsia"/>
              </w:rPr>
              <w:t>有效終止率</w:t>
            </w:r>
          </w:p>
        </w:tc>
        <w:tc>
          <w:tcPr>
            <w:tcW w:w="1949" w:type="dxa"/>
          </w:tcPr>
          <w:p w14:paraId="1C6A6341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OOS S_Agent</w:t>
            </w:r>
          </w:p>
        </w:tc>
        <w:tc>
          <w:tcPr>
            <w:tcW w:w="1340" w:type="dxa"/>
          </w:tcPr>
          <w:p w14:paraId="386E8084" w14:textId="77777777" w:rsidR="004F5D3F" w:rsidRDefault="00000000">
            <w:pPr>
              <w:pStyle w:val="Compact"/>
            </w:pPr>
            <w:r>
              <w:t>OOS Judge</w:t>
            </w:r>
          </w:p>
        </w:tc>
        <w:tc>
          <w:tcPr>
            <w:tcW w:w="2558" w:type="dxa"/>
          </w:tcPr>
          <w:p w14:paraId="024521DF" w14:textId="77777777" w:rsidR="004F5D3F" w:rsidRDefault="00000000">
            <w:pPr>
              <w:pStyle w:val="Compact"/>
            </w:pPr>
            <w:r>
              <w:t xml:space="preserve">IS→OOS S_Agent </w:t>
            </w:r>
            <w:r>
              <w:rPr>
                <w:rFonts w:hint="eastAsia"/>
              </w:rPr>
              <w:t>跌幅</w:t>
            </w:r>
          </w:p>
        </w:tc>
      </w:tr>
      <w:tr w:rsidR="004F5D3F" w14:paraId="05814B02" w14:textId="77777777">
        <w:tc>
          <w:tcPr>
            <w:tcW w:w="731" w:type="dxa"/>
          </w:tcPr>
          <w:p w14:paraId="43CA5E27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1340" w:type="dxa"/>
          </w:tcPr>
          <w:p w14:paraId="458AE3C5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96%</w:t>
            </w:r>
          </w:p>
        </w:tc>
        <w:tc>
          <w:tcPr>
            <w:tcW w:w="1949" w:type="dxa"/>
          </w:tcPr>
          <w:p w14:paraId="7C50E217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73.2</w:t>
            </w:r>
          </w:p>
        </w:tc>
        <w:tc>
          <w:tcPr>
            <w:tcW w:w="1340" w:type="dxa"/>
          </w:tcPr>
          <w:p w14:paraId="45FE9147" w14:textId="77777777" w:rsidR="004F5D3F" w:rsidRDefault="00000000">
            <w:pPr>
              <w:pStyle w:val="Compact"/>
            </w:pPr>
            <w:r>
              <w:t>27.3</w:t>
            </w:r>
          </w:p>
        </w:tc>
        <w:tc>
          <w:tcPr>
            <w:tcW w:w="2558" w:type="dxa"/>
          </w:tcPr>
          <w:p w14:paraId="5218339F" w14:textId="77777777" w:rsidR="004F5D3F" w:rsidRDefault="00000000">
            <w:pPr>
              <w:pStyle w:val="Compact"/>
            </w:pPr>
            <w:r>
              <w:t>-9.9</w:t>
            </w:r>
          </w:p>
        </w:tc>
      </w:tr>
      <w:tr w:rsidR="004F5D3F" w14:paraId="7D6CB977" w14:textId="77777777">
        <w:tc>
          <w:tcPr>
            <w:tcW w:w="731" w:type="dxa"/>
          </w:tcPr>
          <w:p w14:paraId="4C2742F3" w14:textId="77777777" w:rsidR="004F5D3F" w:rsidRDefault="00000000">
            <w:pPr>
              <w:pStyle w:val="Compact"/>
            </w:pPr>
            <w:r>
              <w:t>Single-slot</w:t>
            </w:r>
          </w:p>
        </w:tc>
        <w:tc>
          <w:tcPr>
            <w:tcW w:w="1340" w:type="dxa"/>
          </w:tcPr>
          <w:p w14:paraId="19403919" w14:textId="77777777" w:rsidR="004F5D3F" w:rsidRDefault="00000000">
            <w:pPr>
              <w:pStyle w:val="Compact"/>
            </w:pPr>
            <w:r>
              <w:t>47%</w:t>
            </w:r>
          </w:p>
        </w:tc>
        <w:tc>
          <w:tcPr>
            <w:tcW w:w="1949" w:type="dxa"/>
          </w:tcPr>
          <w:p w14:paraId="4FDB3F3C" w14:textId="77777777" w:rsidR="004F5D3F" w:rsidRDefault="00000000">
            <w:pPr>
              <w:pStyle w:val="Compact"/>
            </w:pPr>
            <w:r>
              <w:t>70.0</w:t>
            </w:r>
          </w:p>
        </w:tc>
        <w:tc>
          <w:tcPr>
            <w:tcW w:w="1340" w:type="dxa"/>
          </w:tcPr>
          <w:p w14:paraId="2915C1C1" w14:textId="77777777" w:rsidR="004F5D3F" w:rsidRDefault="00000000">
            <w:pPr>
              <w:pStyle w:val="Compact"/>
            </w:pPr>
            <w:r>
              <w:t>30.4</w:t>
            </w:r>
          </w:p>
        </w:tc>
        <w:tc>
          <w:tcPr>
            <w:tcW w:w="2558" w:type="dxa"/>
          </w:tcPr>
          <w:p w14:paraId="42B6E49A" w14:textId="77777777" w:rsidR="004F5D3F" w:rsidRDefault="00000000">
            <w:pPr>
              <w:pStyle w:val="Compact"/>
            </w:pPr>
            <w:r>
              <w:t>-8.5</w:t>
            </w:r>
          </w:p>
        </w:tc>
      </w:tr>
      <w:tr w:rsidR="004F5D3F" w14:paraId="4AF6AAF8" w14:textId="77777777">
        <w:tc>
          <w:tcPr>
            <w:tcW w:w="731" w:type="dxa"/>
          </w:tcPr>
          <w:p w14:paraId="4F13FC0C" w14:textId="77777777" w:rsidR="004F5D3F" w:rsidRDefault="00000000">
            <w:pPr>
              <w:pStyle w:val="Compact"/>
            </w:pPr>
            <w:r>
              <w:lastRenderedPageBreak/>
              <w:t>ReAct</w:t>
            </w:r>
          </w:p>
        </w:tc>
        <w:tc>
          <w:tcPr>
            <w:tcW w:w="1340" w:type="dxa"/>
          </w:tcPr>
          <w:p w14:paraId="4CB92EE7" w14:textId="77777777" w:rsidR="004F5D3F" w:rsidRDefault="00000000">
            <w:pPr>
              <w:pStyle w:val="Compact"/>
            </w:pPr>
            <w:r>
              <w:t>76%</w:t>
            </w:r>
          </w:p>
        </w:tc>
        <w:tc>
          <w:tcPr>
            <w:tcW w:w="1949" w:type="dxa"/>
          </w:tcPr>
          <w:p w14:paraId="774925E3" w14:textId="77777777" w:rsidR="004F5D3F" w:rsidRDefault="00000000">
            <w:pPr>
              <w:pStyle w:val="Compact"/>
            </w:pPr>
            <w:r>
              <w:t>65.8</w:t>
            </w:r>
          </w:p>
        </w:tc>
        <w:tc>
          <w:tcPr>
            <w:tcW w:w="1340" w:type="dxa"/>
          </w:tcPr>
          <w:p w14:paraId="4C3F6ABA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35.3</w:t>
            </w:r>
          </w:p>
        </w:tc>
        <w:tc>
          <w:tcPr>
            <w:tcW w:w="2558" w:type="dxa"/>
          </w:tcPr>
          <w:p w14:paraId="37EE45C0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-10.6</w:t>
            </w:r>
          </w:p>
        </w:tc>
      </w:tr>
      <w:tr w:rsidR="004F5D3F" w14:paraId="775C4BCF" w14:textId="77777777">
        <w:tc>
          <w:tcPr>
            <w:tcW w:w="731" w:type="dxa"/>
          </w:tcPr>
          <w:p w14:paraId="7409CC39" w14:textId="77777777" w:rsidR="004F5D3F" w:rsidRDefault="00000000">
            <w:pPr>
              <w:pStyle w:val="Compact"/>
            </w:pPr>
            <w:r>
              <w:t>Reflection</w:t>
            </w:r>
          </w:p>
        </w:tc>
        <w:tc>
          <w:tcPr>
            <w:tcW w:w="1340" w:type="dxa"/>
          </w:tcPr>
          <w:p w14:paraId="36ECA8A2" w14:textId="77777777" w:rsidR="004F5D3F" w:rsidRDefault="00000000">
            <w:pPr>
              <w:pStyle w:val="Compact"/>
            </w:pPr>
            <w:r>
              <w:t>80%</w:t>
            </w:r>
          </w:p>
        </w:tc>
        <w:tc>
          <w:tcPr>
            <w:tcW w:w="1949" w:type="dxa"/>
          </w:tcPr>
          <w:p w14:paraId="300E277E" w14:textId="77777777" w:rsidR="004F5D3F" w:rsidRDefault="00000000">
            <w:pPr>
              <w:pStyle w:val="Compact"/>
            </w:pPr>
            <w:r>
              <w:t>60.8</w:t>
            </w:r>
          </w:p>
        </w:tc>
        <w:tc>
          <w:tcPr>
            <w:tcW w:w="1340" w:type="dxa"/>
          </w:tcPr>
          <w:p w14:paraId="2A0DE20B" w14:textId="77777777" w:rsidR="004F5D3F" w:rsidRDefault="00000000">
            <w:pPr>
              <w:pStyle w:val="Compact"/>
            </w:pPr>
            <w:r>
              <w:t>33.5</w:t>
            </w:r>
          </w:p>
        </w:tc>
        <w:tc>
          <w:tcPr>
            <w:tcW w:w="2558" w:type="dxa"/>
          </w:tcPr>
          <w:p w14:paraId="71A58E98" w14:textId="77777777" w:rsidR="004F5D3F" w:rsidRDefault="00000000">
            <w:pPr>
              <w:pStyle w:val="Compact"/>
            </w:pPr>
            <w:r>
              <w:t>-5.0</w:t>
            </w:r>
          </w:p>
        </w:tc>
      </w:tr>
    </w:tbl>
    <w:p w14:paraId="2AD5484D" w14:textId="77777777" w:rsidR="004F5D3F" w:rsidRDefault="00000000">
      <w:pPr>
        <w:pStyle w:val="a0"/>
      </w:pPr>
      <w:r>
        <w:rPr>
          <w:rFonts w:hint="eastAsia"/>
        </w:rPr>
        <w:t>整體排名（</w:t>
      </w:r>
      <w:r>
        <w:rPr>
          <w:rFonts w:hint="eastAsia"/>
        </w:rPr>
        <w:t>PE</w:t>
      </w:r>
      <w:r>
        <w:t xml:space="preserve"> &gt; SS &gt; ReAct &gt; </w:t>
      </w:r>
      <w:r>
        <w:rPr>
          <w:rFonts w:hint="eastAsia"/>
        </w:rPr>
        <w:t>Ref</w:t>
      </w:r>
      <w:r>
        <w:rPr>
          <w:rFonts w:hint="eastAsia"/>
        </w:rPr>
        <w:t>）在</w:t>
      </w:r>
      <w:r>
        <w:t xml:space="preserve"> OOS </w:t>
      </w:r>
      <w:r>
        <w:rPr>
          <w:rFonts w:hint="eastAsia"/>
        </w:rPr>
        <w:t>下維持不變，但</w:t>
      </w:r>
      <w:r>
        <w:t xml:space="preserve"> ReAct </w:t>
      </w:r>
      <w:r>
        <w:rPr>
          <w:rFonts w:hint="eastAsia"/>
        </w:rPr>
        <w:t>泛化跌幅最大（</w:t>
      </w:r>
      <w:r>
        <w:rPr>
          <w:rFonts w:hint="eastAsia"/>
        </w:rPr>
        <w:t>-10.6</w:t>
      </w:r>
      <w:r>
        <w:rPr>
          <w:rFonts w:hint="eastAsia"/>
        </w:rPr>
        <w:t>）：</w:t>
      </w:r>
      <w:r>
        <w:rPr>
          <w:rFonts w:hint="eastAsia"/>
        </w:rPr>
        <w:t>Polite</w:t>
      </w:r>
      <w:r>
        <w:t xml:space="preserve"> Persona LOOP_FAILURE </w:t>
      </w:r>
      <w:r>
        <w:rPr>
          <w:rFonts w:hint="eastAsia"/>
        </w:rPr>
        <w:t>率高達</w:t>
      </w:r>
      <w:r>
        <w:t xml:space="preserve"> </w:t>
      </w:r>
      <w:r>
        <w:rPr>
          <w:rFonts w:hint="eastAsia"/>
        </w:rPr>
        <w:t>42%</w:t>
      </w:r>
      <w:r>
        <w:rPr>
          <w:rFonts w:hint="eastAsia"/>
        </w:rPr>
        <w:t>（</w:t>
      </w:r>
      <w:r>
        <w:rPr>
          <w:rFonts w:hint="eastAsia"/>
        </w:rPr>
        <w:t>21/50</w:t>
      </w:r>
      <w:r>
        <w:t xml:space="preserve"> </w:t>
      </w:r>
      <w:r>
        <w:rPr>
          <w:rFonts w:hint="eastAsia"/>
        </w:rPr>
        <w:t>筆），在分布外意圖下迭代機制無法收斂。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均分全面崩跌至</w:t>
      </w:r>
      <w:r>
        <w:t xml:space="preserve"> 22–38 </w:t>
      </w:r>
      <w:r>
        <w:rPr>
          <w:rFonts w:hint="eastAsia"/>
        </w:rPr>
        <w:t>分（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為</w:t>
      </w:r>
      <w:r>
        <w:t xml:space="preserve"> </w:t>
      </w:r>
      <w:r>
        <w:rPr>
          <w:rFonts w:hint="eastAsia"/>
        </w:rPr>
        <w:t>51</w:t>
      </w:r>
      <w:r>
        <w:rPr>
          <w:rFonts w:hint="eastAsia"/>
        </w:rPr>
        <w:t>–</w:t>
      </w:r>
      <w:r>
        <w:rPr>
          <w:rFonts w:hint="eastAsia"/>
        </w:rPr>
        <w:t>73</w:t>
      </w:r>
      <w:r>
        <w:rPr>
          <w:rFonts w:hint="eastAsia"/>
        </w:rPr>
        <w:t>），反映現有工具集對新意圖的覆蓋缺口。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呈現</w:t>
      </w:r>
      <w:r>
        <w:t xml:space="preserve"> OOS </w:t>
      </w:r>
      <w:r>
        <w:rPr>
          <w:rFonts w:hint="eastAsia"/>
        </w:rPr>
        <w:t>悖論：有效終止率最高（</w:t>
      </w:r>
      <w:r>
        <w:rPr>
          <w:rFonts w:hint="eastAsia"/>
        </w:rPr>
        <w:t>96%</w:t>
      </w:r>
      <w:r>
        <w:rPr>
          <w:rFonts w:hint="eastAsia"/>
        </w:rPr>
        <w:t>）但</w:t>
      </w:r>
      <w:r>
        <w:t xml:space="preserve"> Judge </w:t>
      </w:r>
      <w:r>
        <w:rPr>
          <w:rFonts w:hint="eastAsia"/>
        </w:rPr>
        <w:t>均分最低（</w:t>
      </w:r>
      <w:r>
        <w:rPr>
          <w:rFonts w:hint="eastAsia"/>
        </w:rPr>
        <w:t>27.3</w:t>
      </w:r>
      <w:r>
        <w:rPr>
          <w:rFonts w:hint="eastAsia"/>
        </w:rPr>
        <w:t>），</w:t>
      </w:r>
      <w:r>
        <w:rPr>
          <w:rFonts w:hint="eastAsia"/>
        </w:rPr>
        <w:t>Immediate</w:t>
      </w:r>
      <w:r>
        <w:t xml:space="preserve"> Synthesis </w:t>
      </w:r>
      <w:r>
        <w:rPr>
          <w:rFonts w:hint="eastAsia"/>
        </w:rPr>
        <w:t>以通用模板計為</w:t>
      </w:r>
      <w:r>
        <w:t xml:space="preserve"> </w:t>
      </w:r>
      <w:r>
        <w:rPr>
          <w:rFonts w:hint="eastAsia"/>
        </w:rPr>
        <w:t>SUCCESS</w:t>
      </w:r>
      <w:r>
        <w:rPr>
          <w:rFonts w:hint="eastAsia"/>
        </w:rPr>
        <w:t>，但需求實際上未被回應。</w:t>
      </w:r>
    </w:p>
    <w:p w14:paraId="53436E70" w14:textId="77777777" w:rsidR="004F5D3F" w:rsidRDefault="00000000">
      <w:pPr>
        <w:pStyle w:val="3"/>
      </w:pPr>
      <w:bookmarkStart w:id="4" w:name="成本效益分析"/>
      <w:bookmarkEnd w:id="3"/>
      <w:r>
        <w:t xml:space="preserve">2.3 </w:t>
      </w:r>
      <w:r>
        <w:rPr>
          <w:rFonts w:hint="eastAsia"/>
        </w:rPr>
        <w:t>成本效益分析</w:t>
      </w:r>
    </w:p>
    <w:p w14:paraId="5CF0AEEE" w14:textId="77777777" w:rsidR="004F5D3F" w:rsidRDefault="00000000">
      <w:pPr>
        <w:pStyle w:val="FirstParagraph"/>
      </w:pPr>
      <w:r>
        <w:rPr>
          <w:b/>
          <w:bCs/>
        </w:rPr>
        <w:t xml:space="preserve">Table 3. ProxyCost / NetValue / </w:t>
      </w:r>
      <w:r>
        <w:rPr>
          <w:rFonts w:hint="eastAsia"/>
          <w:b/>
          <w:bCs/>
        </w:rPr>
        <w:t>Delta_MB</w:t>
      </w:r>
      <w:r>
        <w:rPr>
          <w:rFonts w:hint="eastAsia"/>
          <w:b/>
          <w:bCs/>
        </w:rPr>
        <w:t>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>均值）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5"/>
        <w:gridCol w:w="996"/>
        <w:gridCol w:w="996"/>
        <w:gridCol w:w="1439"/>
        <w:gridCol w:w="1439"/>
        <w:gridCol w:w="886"/>
        <w:gridCol w:w="1439"/>
        <w:gridCol w:w="996"/>
      </w:tblGrid>
      <w:tr w:rsidR="004F5D3F" w14:paraId="4DEDC8BE" w14:textId="77777777" w:rsidTr="004F5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4" w:type="dxa"/>
          </w:tcPr>
          <w:p w14:paraId="1873BE0D" w14:textId="77777777" w:rsidR="004F5D3F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891" w:type="dxa"/>
          </w:tcPr>
          <w:p w14:paraId="2B4EA72E" w14:textId="77777777" w:rsidR="004F5D3F" w:rsidRDefault="00000000">
            <w:pPr>
              <w:pStyle w:val="Compact"/>
            </w:pPr>
            <w:r>
              <w:t>Token IS</w:t>
            </w:r>
          </w:p>
        </w:tc>
        <w:tc>
          <w:tcPr>
            <w:tcW w:w="891" w:type="dxa"/>
          </w:tcPr>
          <w:p w14:paraId="03705ADE" w14:textId="77777777" w:rsidR="004F5D3F" w:rsidRDefault="00000000">
            <w:pPr>
              <w:pStyle w:val="Compact"/>
            </w:pPr>
            <w:r>
              <w:t>Token OOS</w:t>
            </w:r>
          </w:p>
        </w:tc>
        <w:tc>
          <w:tcPr>
            <w:tcW w:w="1287" w:type="dxa"/>
          </w:tcPr>
          <w:p w14:paraId="085AB13F" w14:textId="77777777" w:rsidR="004F5D3F" w:rsidRDefault="00000000">
            <w:pPr>
              <w:pStyle w:val="Compact"/>
            </w:pPr>
            <w:r>
              <w:t>ProxyCost IS</w:t>
            </w:r>
          </w:p>
        </w:tc>
        <w:tc>
          <w:tcPr>
            <w:tcW w:w="1287" w:type="dxa"/>
          </w:tcPr>
          <w:p w14:paraId="1A4E7303" w14:textId="77777777" w:rsidR="004F5D3F" w:rsidRDefault="00000000">
            <w:pPr>
              <w:pStyle w:val="Compact"/>
            </w:pPr>
            <w:r>
              <w:t>NetValue IS</w:t>
            </w:r>
          </w:p>
        </w:tc>
        <w:tc>
          <w:tcPr>
            <w:tcW w:w="792" w:type="dxa"/>
          </w:tcPr>
          <w:p w14:paraId="4E9F0B9C" w14:textId="77777777" w:rsidR="004F5D3F" w:rsidRDefault="00000000">
            <w:pPr>
              <w:pStyle w:val="Compact"/>
            </w:pPr>
            <w:r>
              <w:t>ΔMB IS</w:t>
            </w:r>
          </w:p>
        </w:tc>
        <w:tc>
          <w:tcPr>
            <w:tcW w:w="1287" w:type="dxa"/>
          </w:tcPr>
          <w:p w14:paraId="468D517D" w14:textId="77777777" w:rsidR="004F5D3F" w:rsidRDefault="00000000">
            <w:pPr>
              <w:pStyle w:val="Compact"/>
            </w:pPr>
            <w:r>
              <w:t>NetValue OOS</w:t>
            </w:r>
          </w:p>
        </w:tc>
        <w:tc>
          <w:tcPr>
            <w:tcW w:w="891" w:type="dxa"/>
          </w:tcPr>
          <w:p w14:paraId="367BFEE1" w14:textId="77777777" w:rsidR="004F5D3F" w:rsidRDefault="00000000">
            <w:pPr>
              <w:pStyle w:val="Compact"/>
            </w:pPr>
            <w:r>
              <w:t>ΔMB OOS</w:t>
            </w:r>
          </w:p>
        </w:tc>
      </w:tr>
      <w:tr w:rsidR="004F5D3F" w14:paraId="1D9C51D0" w14:textId="77777777">
        <w:tc>
          <w:tcPr>
            <w:tcW w:w="594" w:type="dxa"/>
          </w:tcPr>
          <w:p w14:paraId="363AF40B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891" w:type="dxa"/>
          </w:tcPr>
          <w:p w14:paraId="0EB12DBB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16,999</w:t>
            </w:r>
          </w:p>
        </w:tc>
        <w:tc>
          <w:tcPr>
            <w:tcW w:w="891" w:type="dxa"/>
          </w:tcPr>
          <w:p w14:paraId="3E340958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21,222</w:t>
            </w:r>
          </w:p>
        </w:tc>
        <w:tc>
          <w:tcPr>
            <w:tcW w:w="1287" w:type="dxa"/>
          </w:tcPr>
          <w:p w14:paraId="6D574776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20.83</w:t>
            </w:r>
          </w:p>
        </w:tc>
        <w:tc>
          <w:tcPr>
            <w:tcW w:w="1287" w:type="dxa"/>
          </w:tcPr>
          <w:p w14:paraId="485D798B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1.429</w:t>
            </w:r>
          </w:p>
        </w:tc>
        <w:tc>
          <w:tcPr>
            <w:tcW w:w="792" w:type="dxa"/>
          </w:tcPr>
          <w:p w14:paraId="450CB71E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+0.162</w:t>
            </w:r>
          </w:p>
        </w:tc>
        <w:tc>
          <w:tcPr>
            <w:tcW w:w="1287" w:type="dxa"/>
          </w:tcPr>
          <w:p w14:paraId="13D9C9C6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0.512</w:t>
            </w:r>
          </w:p>
        </w:tc>
        <w:tc>
          <w:tcPr>
            <w:tcW w:w="891" w:type="dxa"/>
          </w:tcPr>
          <w:p w14:paraId="251E7C89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+0.125</w:t>
            </w:r>
          </w:p>
        </w:tc>
      </w:tr>
      <w:tr w:rsidR="004F5D3F" w14:paraId="33BF2579" w14:textId="77777777">
        <w:tc>
          <w:tcPr>
            <w:tcW w:w="594" w:type="dxa"/>
          </w:tcPr>
          <w:p w14:paraId="10FB5B54" w14:textId="77777777" w:rsidR="004F5D3F" w:rsidRDefault="00000000">
            <w:pPr>
              <w:pStyle w:val="Compact"/>
            </w:pPr>
            <w:r>
              <w:t>Single-slot</w:t>
            </w:r>
          </w:p>
        </w:tc>
        <w:tc>
          <w:tcPr>
            <w:tcW w:w="891" w:type="dxa"/>
          </w:tcPr>
          <w:p w14:paraId="15EB52ED" w14:textId="77777777" w:rsidR="004F5D3F" w:rsidRDefault="00000000">
            <w:pPr>
              <w:pStyle w:val="Compact"/>
            </w:pPr>
            <w:r>
              <w:t>24,086</w:t>
            </w:r>
          </w:p>
        </w:tc>
        <w:tc>
          <w:tcPr>
            <w:tcW w:w="891" w:type="dxa"/>
          </w:tcPr>
          <w:p w14:paraId="7FD9046B" w14:textId="77777777" w:rsidR="004F5D3F" w:rsidRDefault="00000000">
            <w:pPr>
              <w:pStyle w:val="Compact"/>
            </w:pPr>
            <w:r>
              <w:t>29,856</w:t>
            </w:r>
          </w:p>
        </w:tc>
        <w:tc>
          <w:tcPr>
            <w:tcW w:w="1287" w:type="dxa"/>
          </w:tcPr>
          <w:p w14:paraId="438B7129" w14:textId="77777777" w:rsidR="004F5D3F" w:rsidRDefault="00000000">
            <w:pPr>
              <w:pStyle w:val="Compact"/>
            </w:pPr>
            <w:r>
              <w:t>28.70</w:t>
            </w:r>
          </w:p>
        </w:tc>
        <w:tc>
          <w:tcPr>
            <w:tcW w:w="1287" w:type="dxa"/>
          </w:tcPr>
          <w:p w14:paraId="57810823" w14:textId="77777777" w:rsidR="004F5D3F" w:rsidRDefault="00000000">
            <w:pPr>
              <w:pStyle w:val="Compact"/>
            </w:pPr>
            <w:r>
              <w:t>1.247</w:t>
            </w:r>
          </w:p>
        </w:tc>
        <w:tc>
          <w:tcPr>
            <w:tcW w:w="792" w:type="dxa"/>
          </w:tcPr>
          <w:p w14:paraId="0C22032E" w14:textId="77777777" w:rsidR="004F5D3F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（基準）</w:t>
            </w:r>
          </w:p>
        </w:tc>
        <w:tc>
          <w:tcPr>
            <w:tcW w:w="1287" w:type="dxa"/>
          </w:tcPr>
          <w:p w14:paraId="0FE0B4BC" w14:textId="77777777" w:rsidR="004F5D3F" w:rsidRDefault="00000000">
            <w:pPr>
              <w:pStyle w:val="Compact"/>
            </w:pPr>
            <w:r>
              <w:t>0.387</w:t>
            </w:r>
          </w:p>
        </w:tc>
        <w:tc>
          <w:tcPr>
            <w:tcW w:w="891" w:type="dxa"/>
          </w:tcPr>
          <w:p w14:paraId="3A824C8A" w14:textId="77777777" w:rsidR="004F5D3F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（基準）</w:t>
            </w:r>
          </w:p>
        </w:tc>
      </w:tr>
      <w:tr w:rsidR="004F5D3F" w14:paraId="22B420A9" w14:textId="77777777">
        <w:tc>
          <w:tcPr>
            <w:tcW w:w="594" w:type="dxa"/>
          </w:tcPr>
          <w:p w14:paraId="470D568B" w14:textId="77777777" w:rsidR="004F5D3F" w:rsidRDefault="00000000">
            <w:pPr>
              <w:pStyle w:val="Compact"/>
            </w:pPr>
            <w:r>
              <w:t>ReAct</w:t>
            </w:r>
          </w:p>
        </w:tc>
        <w:tc>
          <w:tcPr>
            <w:tcW w:w="891" w:type="dxa"/>
          </w:tcPr>
          <w:p w14:paraId="65BDE630" w14:textId="77777777" w:rsidR="004F5D3F" w:rsidRDefault="00000000">
            <w:pPr>
              <w:pStyle w:val="Compact"/>
            </w:pPr>
            <w:r>
              <w:t>20,831</w:t>
            </w:r>
          </w:p>
        </w:tc>
        <w:tc>
          <w:tcPr>
            <w:tcW w:w="891" w:type="dxa"/>
          </w:tcPr>
          <w:p w14:paraId="4134BB85" w14:textId="77777777" w:rsidR="004F5D3F" w:rsidRDefault="00000000">
            <w:pPr>
              <w:pStyle w:val="Compact"/>
            </w:pPr>
            <w:r>
              <w:t>21,367</w:t>
            </w:r>
          </w:p>
        </w:tc>
        <w:tc>
          <w:tcPr>
            <w:tcW w:w="1287" w:type="dxa"/>
          </w:tcPr>
          <w:p w14:paraId="1F0AAF5D" w14:textId="77777777" w:rsidR="004F5D3F" w:rsidRDefault="00000000">
            <w:pPr>
              <w:pStyle w:val="Compact"/>
            </w:pPr>
            <w:r>
              <w:t>30.30</w:t>
            </w:r>
          </w:p>
        </w:tc>
        <w:tc>
          <w:tcPr>
            <w:tcW w:w="1287" w:type="dxa"/>
          </w:tcPr>
          <w:p w14:paraId="77F658A6" w14:textId="77777777" w:rsidR="004F5D3F" w:rsidRDefault="00000000">
            <w:pPr>
              <w:pStyle w:val="Compact"/>
            </w:pPr>
            <w:r>
              <w:t>1.202</w:t>
            </w:r>
          </w:p>
        </w:tc>
        <w:tc>
          <w:tcPr>
            <w:tcW w:w="792" w:type="dxa"/>
          </w:tcPr>
          <w:p w14:paraId="40B3DEA7" w14:textId="77777777" w:rsidR="004F5D3F" w:rsidRDefault="00000000">
            <w:pPr>
              <w:pStyle w:val="Compact"/>
            </w:pPr>
            <w:r>
              <w:t>-0.059</w:t>
            </w:r>
          </w:p>
        </w:tc>
        <w:tc>
          <w:tcPr>
            <w:tcW w:w="1287" w:type="dxa"/>
          </w:tcPr>
          <w:p w14:paraId="4F717A5E" w14:textId="77777777" w:rsidR="004F5D3F" w:rsidRDefault="00000000">
            <w:pPr>
              <w:pStyle w:val="Compact"/>
            </w:pPr>
            <w:r>
              <w:t>0.363</w:t>
            </w:r>
          </w:p>
        </w:tc>
        <w:tc>
          <w:tcPr>
            <w:tcW w:w="891" w:type="dxa"/>
          </w:tcPr>
          <w:p w14:paraId="4F704FD9" w14:textId="77777777" w:rsidR="004F5D3F" w:rsidRDefault="00000000">
            <w:pPr>
              <w:pStyle w:val="Compact"/>
            </w:pPr>
            <w:r>
              <w:t>-0.023</w:t>
            </w:r>
          </w:p>
        </w:tc>
      </w:tr>
      <w:tr w:rsidR="004F5D3F" w14:paraId="58B994E5" w14:textId="77777777">
        <w:tc>
          <w:tcPr>
            <w:tcW w:w="594" w:type="dxa"/>
          </w:tcPr>
          <w:p w14:paraId="7355AB4A" w14:textId="77777777" w:rsidR="004F5D3F" w:rsidRDefault="00000000">
            <w:pPr>
              <w:pStyle w:val="Compact"/>
            </w:pPr>
            <w:r>
              <w:t>Reflection</w:t>
            </w:r>
          </w:p>
        </w:tc>
        <w:tc>
          <w:tcPr>
            <w:tcW w:w="891" w:type="dxa"/>
          </w:tcPr>
          <w:p w14:paraId="3899230E" w14:textId="77777777" w:rsidR="004F5D3F" w:rsidRDefault="00000000">
            <w:pPr>
              <w:pStyle w:val="Compact"/>
            </w:pPr>
            <w:r>
              <w:t>75,105</w:t>
            </w:r>
          </w:p>
        </w:tc>
        <w:tc>
          <w:tcPr>
            <w:tcW w:w="891" w:type="dxa"/>
          </w:tcPr>
          <w:p w14:paraId="65E29C96" w14:textId="77777777" w:rsidR="004F5D3F" w:rsidRDefault="00000000">
            <w:pPr>
              <w:pStyle w:val="Compact"/>
            </w:pPr>
            <w:r>
              <w:t>72,928</w:t>
            </w:r>
          </w:p>
        </w:tc>
        <w:tc>
          <w:tcPr>
            <w:tcW w:w="1287" w:type="dxa"/>
          </w:tcPr>
          <w:p w14:paraId="419E11CA" w14:textId="77777777" w:rsidR="004F5D3F" w:rsidRDefault="00000000">
            <w:pPr>
              <w:pStyle w:val="Compact"/>
            </w:pPr>
            <w:r>
              <w:t>33.90</w:t>
            </w:r>
          </w:p>
        </w:tc>
        <w:tc>
          <w:tcPr>
            <w:tcW w:w="1287" w:type="dxa"/>
          </w:tcPr>
          <w:p w14:paraId="681D506A" w14:textId="77777777" w:rsidR="004F5D3F" w:rsidRDefault="00000000">
            <w:pPr>
              <w:pStyle w:val="Compact"/>
            </w:pPr>
            <w:r>
              <w:t>0.938</w:t>
            </w:r>
          </w:p>
        </w:tc>
        <w:tc>
          <w:tcPr>
            <w:tcW w:w="792" w:type="dxa"/>
          </w:tcPr>
          <w:p w14:paraId="47A2F123" w14:textId="77777777" w:rsidR="004F5D3F" w:rsidRDefault="00000000">
            <w:pPr>
              <w:pStyle w:val="Compact"/>
            </w:pPr>
            <w:r>
              <w:t>-0.267</w:t>
            </w:r>
          </w:p>
        </w:tc>
        <w:tc>
          <w:tcPr>
            <w:tcW w:w="1287" w:type="dxa"/>
          </w:tcPr>
          <w:p w14:paraId="5109A481" w14:textId="77777777" w:rsidR="004F5D3F" w:rsidRDefault="00000000">
            <w:pPr>
              <w:pStyle w:val="Compact"/>
            </w:pPr>
            <w:r>
              <w:t>0.274</w:t>
            </w:r>
          </w:p>
        </w:tc>
        <w:tc>
          <w:tcPr>
            <w:tcW w:w="891" w:type="dxa"/>
          </w:tcPr>
          <w:p w14:paraId="79F8CC11" w14:textId="77777777" w:rsidR="004F5D3F" w:rsidRDefault="00000000">
            <w:pPr>
              <w:pStyle w:val="Compact"/>
            </w:pPr>
            <w:r>
              <w:t>-0.113</w:t>
            </w:r>
          </w:p>
        </w:tc>
      </w:tr>
    </w:tbl>
    <w:p w14:paraId="6292049C" w14:textId="77777777" w:rsidR="004F5D3F" w:rsidRDefault="00000000">
      <w:pPr>
        <w:pStyle w:val="a0"/>
      </w:pPr>
      <w:r>
        <w:t xml:space="preserve">PlanExecute </w:t>
      </w:r>
      <w:r>
        <w:rPr>
          <w:rFonts w:hint="eastAsia"/>
        </w:rPr>
        <w:t>是唯一在</w:t>
      </w:r>
      <w:r>
        <w:t xml:space="preserve"> IS </w:t>
      </w:r>
      <w:r>
        <w:rPr>
          <w:rFonts w:hint="eastAsia"/>
        </w:rPr>
        <w:t>與</w:t>
      </w:r>
      <w:r>
        <w:t xml:space="preserve"> OOS </w:t>
      </w:r>
      <w:r>
        <w:rPr>
          <w:rFonts w:hint="eastAsia"/>
        </w:rPr>
        <w:t>下</w:t>
      </w:r>
      <w:r>
        <w:t xml:space="preserve"> ΔMB </w:t>
      </w:r>
      <w:r>
        <w:rPr>
          <w:rFonts w:hint="eastAsia"/>
        </w:rPr>
        <w:t>均為正值的架構，低成本優勢在分布外高度保留（Δ</w:t>
      </w:r>
      <w:r>
        <w:rPr>
          <w:rFonts w:hint="eastAsia"/>
        </w:rPr>
        <w:t>MB</w:t>
      </w:r>
      <w:r>
        <w:t xml:space="preserve"> </w:t>
      </w:r>
      <w:r>
        <w:rPr>
          <w:rFonts w:hint="eastAsia"/>
        </w:rPr>
        <w:t>僅從</w:t>
      </w:r>
      <w:r>
        <w:t xml:space="preserve"> +0.162 </w:t>
      </w:r>
      <w:r>
        <w:rPr>
          <w:rFonts w:hint="eastAsia"/>
        </w:rPr>
        <w:t>降至</w:t>
      </w:r>
      <w:r>
        <w:t xml:space="preserve"> </w:t>
      </w:r>
      <w:r>
        <w:rPr>
          <w:rFonts w:hint="eastAsia"/>
        </w:rPr>
        <w:t>+0.125</w:t>
      </w:r>
      <w:r>
        <w:rPr>
          <w:rFonts w:hint="eastAsia"/>
        </w:rPr>
        <w:t>）。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所有架構</w:t>
      </w:r>
      <w:r>
        <w:t xml:space="preserve"> NetValue </w:t>
      </w:r>
      <w:r>
        <w:rPr>
          <w:rFonts w:hint="eastAsia"/>
        </w:rPr>
        <w:t>絕對值縮水約</w:t>
      </w:r>
      <w:r>
        <w:t xml:space="preserve"> </w:t>
      </w:r>
      <w:r>
        <w:rPr>
          <w:rFonts w:hint="eastAsia"/>
        </w:rPr>
        <w:t>60%</w:t>
      </w:r>
      <w:r>
        <w:rPr>
          <w:rFonts w:hint="eastAsia"/>
        </w:rPr>
        <w:t>（</w:t>
      </w:r>
      <w:r>
        <w:rPr>
          <w:rFonts w:hint="eastAsia"/>
        </w:rPr>
        <w:t>IS</w:t>
      </w:r>
      <w:r>
        <w:t xml:space="preserve"> 0.94–1.43 → OOS </w:t>
      </w:r>
      <w:r>
        <w:rPr>
          <w:rFonts w:hint="eastAsia"/>
        </w:rPr>
        <w:t>0.27</w:t>
      </w:r>
      <w:r>
        <w:rPr>
          <w:rFonts w:hint="eastAsia"/>
        </w:rPr>
        <w:t>–</w:t>
      </w:r>
      <w:r>
        <w:rPr>
          <w:rFonts w:hint="eastAsia"/>
        </w:rPr>
        <w:t>0.51</w:t>
      </w:r>
      <w:r>
        <w:rPr>
          <w:rFonts w:hint="eastAsia"/>
        </w:rPr>
        <w:t>），品質崩跌的衝擊遠大於成本變化。</w:t>
      </w:r>
    </w:p>
    <w:p w14:paraId="16C7B256" w14:textId="77777777" w:rsidR="004F5D3F" w:rsidRDefault="00000000">
      <w:pPr>
        <w:pStyle w:val="3"/>
      </w:pPr>
      <w:bookmarkStart w:id="5" w:name="persona-敏感度pss與排名穩健性"/>
      <w:bookmarkEnd w:id="4"/>
      <w:r>
        <w:t xml:space="preserve">2.4 Persona </w:t>
      </w:r>
      <w:r>
        <w:rPr>
          <w:rFonts w:hint="eastAsia"/>
        </w:rPr>
        <w:t>敏感度（</w:t>
      </w:r>
      <w:r>
        <w:rPr>
          <w:rFonts w:hint="eastAsia"/>
        </w:rPr>
        <w:t>PSS</w:t>
      </w:r>
      <w:r>
        <w:rPr>
          <w:rFonts w:hint="eastAsia"/>
        </w:rPr>
        <w:t>）與排名穩健性</w:t>
      </w:r>
    </w:p>
    <w:p w14:paraId="061142AC" w14:textId="77777777" w:rsidR="004F5D3F" w:rsidRDefault="00000000">
      <w:pPr>
        <w:pStyle w:val="FirstParagraph"/>
      </w:pPr>
      <w:r>
        <w:rPr>
          <w:b/>
          <w:bCs/>
        </w:rPr>
        <w:t xml:space="preserve">Table 4. ProSA PSS </w:t>
      </w:r>
      <w:r>
        <w:rPr>
          <w:rFonts w:hint="eastAsia"/>
          <w:b/>
          <w:bCs/>
        </w:rPr>
        <w:t>與</w:t>
      </w:r>
      <w:r>
        <w:rPr>
          <w:b/>
          <w:bCs/>
        </w:rPr>
        <w:t xml:space="preserve"> S_Agent </w:t>
      </w:r>
      <w:r>
        <w:rPr>
          <w:rFonts w:hint="eastAsia"/>
          <w:b/>
          <w:bCs/>
        </w:rPr>
        <w:t>權重敏感度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874"/>
        <w:gridCol w:w="1163"/>
        <w:gridCol w:w="2747"/>
        <w:gridCol w:w="1403"/>
      </w:tblGrid>
      <w:tr w:rsidR="004F5D3F" w14:paraId="07CB5E3C" w14:textId="77777777" w:rsidTr="004F5D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376127" w14:textId="77777777" w:rsidR="004F5D3F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0" w:type="auto"/>
          </w:tcPr>
          <w:p w14:paraId="6A96F67F" w14:textId="77777777" w:rsidR="004F5D3F" w:rsidRDefault="00000000">
            <w:pPr>
              <w:pStyle w:val="Compact"/>
            </w:pPr>
            <w:r>
              <w:t>IS PSS</w:t>
            </w:r>
          </w:p>
        </w:tc>
        <w:tc>
          <w:tcPr>
            <w:tcW w:w="0" w:type="auto"/>
          </w:tcPr>
          <w:p w14:paraId="3C7B6477" w14:textId="77777777" w:rsidR="004F5D3F" w:rsidRDefault="00000000">
            <w:pPr>
              <w:pStyle w:val="Compact"/>
            </w:pPr>
            <w:r>
              <w:t>OOS PSS</w:t>
            </w:r>
          </w:p>
        </w:tc>
        <w:tc>
          <w:tcPr>
            <w:tcW w:w="0" w:type="auto"/>
          </w:tcPr>
          <w:p w14:paraId="64CA0C82" w14:textId="77777777" w:rsidR="004F5D3F" w:rsidRDefault="00000000">
            <w:pPr>
              <w:pStyle w:val="Compact"/>
            </w:pPr>
            <w:r>
              <w:t xml:space="preserve">IS </w:t>
            </w:r>
            <w:r>
              <w:rPr>
                <w:rFonts w:hint="eastAsia"/>
              </w:rPr>
              <w:t>Rank1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969</w:t>
            </w:r>
            <w:r>
              <w:t xml:space="preserve"> </w:t>
            </w:r>
            <w:r>
              <w:rPr>
                <w:rFonts w:hint="eastAsia"/>
              </w:rPr>
              <w:t>種組合）</w:t>
            </w:r>
          </w:p>
        </w:tc>
        <w:tc>
          <w:tcPr>
            <w:tcW w:w="0" w:type="auto"/>
          </w:tcPr>
          <w:p w14:paraId="364ECAEB" w14:textId="77777777" w:rsidR="004F5D3F" w:rsidRDefault="00000000">
            <w:pPr>
              <w:pStyle w:val="Compact"/>
            </w:pPr>
            <w:r>
              <w:t>OOS Rank1</w:t>
            </w:r>
          </w:p>
        </w:tc>
      </w:tr>
      <w:tr w:rsidR="004F5D3F" w14:paraId="00A8FD46" w14:textId="77777777">
        <w:tc>
          <w:tcPr>
            <w:tcW w:w="0" w:type="auto"/>
          </w:tcPr>
          <w:p w14:paraId="1FEAD481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0" w:type="auto"/>
          </w:tcPr>
          <w:p w14:paraId="0EE70EE4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17.96</w:t>
            </w:r>
          </w:p>
        </w:tc>
        <w:tc>
          <w:tcPr>
            <w:tcW w:w="0" w:type="auto"/>
          </w:tcPr>
          <w:p w14:paraId="5132F2E1" w14:textId="77777777" w:rsidR="004F5D3F" w:rsidRDefault="00000000">
            <w:pPr>
              <w:pStyle w:val="Compact"/>
            </w:pPr>
            <w:r>
              <w:t>18.33</w:t>
            </w:r>
          </w:p>
        </w:tc>
        <w:tc>
          <w:tcPr>
            <w:tcW w:w="0" w:type="auto"/>
          </w:tcPr>
          <w:p w14:paraId="2A9C8877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</w:tcPr>
          <w:p w14:paraId="522C1831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99.9%</w:t>
            </w:r>
          </w:p>
        </w:tc>
      </w:tr>
      <w:tr w:rsidR="004F5D3F" w14:paraId="71159AEB" w14:textId="77777777">
        <w:tc>
          <w:tcPr>
            <w:tcW w:w="0" w:type="auto"/>
          </w:tcPr>
          <w:p w14:paraId="6E09285D" w14:textId="77777777" w:rsidR="004F5D3F" w:rsidRDefault="00000000">
            <w:pPr>
              <w:pStyle w:val="Compact"/>
            </w:pPr>
            <w:r>
              <w:lastRenderedPageBreak/>
              <w:t>ReAct</w:t>
            </w:r>
          </w:p>
        </w:tc>
        <w:tc>
          <w:tcPr>
            <w:tcW w:w="0" w:type="auto"/>
          </w:tcPr>
          <w:p w14:paraId="705E71FE" w14:textId="77777777" w:rsidR="004F5D3F" w:rsidRDefault="00000000">
            <w:pPr>
              <w:pStyle w:val="Compact"/>
            </w:pPr>
            <w:r>
              <w:t>20.27</w:t>
            </w:r>
          </w:p>
        </w:tc>
        <w:tc>
          <w:tcPr>
            <w:tcW w:w="0" w:type="auto"/>
          </w:tcPr>
          <w:p w14:paraId="72480C8A" w14:textId="77777777" w:rsidR="004F5D3F" w:rsidRDefault="00000000">
            <w:pPr>
              <w:pStyle w:val="Compact"/>
            </w:pPr>
            <w:r>
              <w:rPr>
                <w:b/>
                <w:bCs/>
              </w:rPr>
              <w:t>17.20</w:t>
            </w:r>
          </w:p>
        </w:tc>
        <w:tc>
          <w:tcPr>
            <w:tcW w:w="0" w:type="auto"/>
          </w:tcPr>
          <w:p w14:paraId="5116004B" w14:textId="77777777" w:rsidR="004F5D3F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54162851" w14:textId="77777777" w:rsidR="004F5D3F" w:rsidRDefault="00000000">
            <w:pPr>
              <w:pStyle w:val="Compact"/>
            </w:pPr>
            <w:r>
              <w:t>0%</w:t>
            </w:r>
          </w:p>
        </w:tc>
      </w:tr>
      <w:tr w:rsidR="004F5D3F" w14:paraId="18960FE5" w14:textId="77777777">
        <w:tc>
          <w:tcPr>
            <w:tcW w:w="0" w:type="auto"/>
          </w:tcPr>
          <w:p w14:paraId="64E50DFF" w14:textId="77777777" w:rsidR="004F5D3F" w:rsidRDefault="00000000">
            <w:pPr>
              <w:pStyle w:val="Compact"/>
            </w:pPr>
            <w:r>
              <w:t>Single-slot</w:t>
            </w:r>
          </w:p>
        </w:tc>
        <w:tc>
          <w:tcPr>
            <w:tcW w:w="0" w:type="auto"/>
          </w:tcPr>
          <w:p w14:paraId="4256EDBE" w14:textId="77777777" w:rsidR="004F5D3F" w:rsidRDefault="00000000">
            <w:pPr>
              <w:pStyle w:val="Compact"/>
            </w:pPr>
            <w:r>
              <w:t>25.08</w:t>
            </w:r>
          </w:p>
        </w:tc>
        <w:tc>
          <w:tcPr>
            <w:tcW w:w="0" w:type="auto"/>
          </w:tcPr>
          <w:p w14:paraId="1BEB6067" w14:textId="77777777" w:rsidR="004F5D3F" w:rsidRDefault="00000000">
            <w:pPr>
              <w:pStyle w:val="Compact"/>
            </w:pPr>
            <w:r>
              <w:t>20.87</w:t>
            </w:r>
          </w:p>
        </w:tc>
        <w:tc>
          <w:tcPr>
            <w:tcW w:w="0" w:type="auto"/>
          </w:tcPr>
          <w:p w14:paraId="2FDE02BF" w14:textId="77777777" w:rsidR="004F5D3F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731C1D1E" w14:textId="77777777" w:rsidR="004F5D3F" w:rsidRDefault="00000000">
            <w:pPr>
              <w:pStyle w:val="Compact"/>
            </w:pPr>
            <w:r>
              <w:t>0.1%</w:t>
            </w:r>
          </w:p>
        </w:tc>
      </w:tr>
      <w:tr w:rsidR="004F5D3F" w14:paraId="2F6545C2" w14:textId="77777777">
        <w:tc>
          <w:tcPr>
            <w:tcW w:w="0" w:type="auto"/>
          </w:tcPr>
          <w:p w14:paraId="4FEC91BE" w14:textId="77777777" w:rsidR="004F5D3F" w:rsidRDefault="00000000">
            <w:pPr>
              <w:pStyle w:val="Compact"/>
            </w:pPr>
            <w:r>
              <w:t>Reflection</w:t>
            </w:r>
          </w:p>
        </w:tc>
        <w:tc>
          <w:tcPr>
            <w:tcW w:w="0" w:type="auto"/>
          </w:tcPr>
          <w:p w14:paraId="419FFFCA" w14:textId="77777777" w:rsidR="004F5D3F" w:rsidRDefault="00000000">
            <w:pPr>
              <w:pStyle w:val="Compact"/>
            </w:pPr>
            <w:r>
              <w:t>28.70</w:t>
            </w:r>
          </w:p>
        </w:tc>
        <w:tc>
          <w:tcPr>
            <w:tcW w:w="0" w:type="auto"/>
          </w:tcPr>
          <w:p w14:paraId="3224B316" w14:textId="77777777" w:rsidR="004F5D3F" w:rsidRDefault="00000000">
            <w:pPr>
              <w:pStyle w:val="Compact"/>
            </w:pPr>
            <w:r>
              <w:t>20.13</w:t>
            </w:r>
          </w:p>
        </w:tc>
        <w:tc>
          <w:tcPr>
            <w:tcW w:w="0" w:type="auto"/>
          </w:tcPr>
          <w:p w14:paraId="44F73081" w14:textId="77777777" w:rsidR="004F5D3F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5A0C92B6" w14:textId="77777777" w:rsidR="004F5D3F" w:rsidRDefault="00000000">
            <w:pPr>
              <w:pStyle w:val="Compact"/>
            </w:pPr>
            <w:r>
              <w:t>0%</w:t>
            </w:r>
          </w:p>
        </w:tc>
      </w:tr>
    </w:tbl>
    <w:p w14:paraId="5B31DDB2" w14:textId="77777777" w:rsidR="004F5D3F" w:rsidRDefault="00000000">
      <w:pPr>
        <w:pStyle w:val="a0"/>
      </w:pPr>
      <w:r>
        <w:t xml:space="preserve">PlanExecute </w:t>
      </w:r>
      <w:r>
        <w:rPr>
          <w:rFonts w:hint="eastAsia"/>
        </w:rPr>
        <w:t>在所有</w:t>
      </w:r>
      <w:r>
        <w:t xml:space="preserve"> 969 </w:t>
      </w:r>
      <w:r>
        <w:rPr>
          <w:rFonts w:hint="eastAsia"/>
        </w:rPr>
        <w:t>種合法權重組合下均排名第一，研究結論對指標設計完全穩健。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下</w:t>
      </w:r>
      <w:r>
        <w:t xml:space="preserve"> ReAct PSS </w:t>
      </w:r>
      <w:r>
        <w:rPr>
          <w:rFonts w:hint="eastAsia"/>
        </w:rPr>
        <w:t>降為最低（</w:t>
      </w:r>
      <w:r>
        <w:rPr>
          <w:rFonts w:hint="eastAsia"/>
        </w:rPr>
        <w:t>17.20</w:t>
      </w:r>
      <w:r>
        <w:rPr>
          <w:rFonts w:hint="eastAsia"/>
        </w:rPr>
        <w:t>），源於</w:t>
      </w:r>
      <w:r>
        <w:rPr>
          <w:rFonts w:hint="eastAsia"/>
          <w:b/>
          <w:bCs/>
        </w:rPr>
        <w:t>分數壓縮效應</w:t>
      </w:r>
      <w:r>
        <w:rPr>
          <w:rFonts w:hint="eastAsia"/>
        </w:rPr>
        <w:t>：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分數範圍從</w:t>
      </w:r>
      <w:r>
        <w:t xml:space="preserve"> IS </w:t>
      </w:r>
      <w:r>
        <w:rPr>
          <w:rFonts w:hint="eastAsia"/>
        </w:rPr>
        <w:t>的</w:t>
      </w:r>
      <w:r>
        <w:t xml:space="preserve"> 51–73 </w:t>
      </w:r>
      <w:r>
        <w:rPr>
          <w:rFonts w:hint="eastAsia"/>
        </w:rPr>
        <w:t>縮小至</w:t>
      </w:r>
      <w:r>
        <w:t xml:space="preserve"> OOS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22</w:t>
      </w:r>
      <w:r>
        <w:rPr>
          <w:rFonts w:hint="eastAsia"/>
        </w:rPr>
        <w:t>–</w:t>
      </w:r>
      <w:r>
        <w:rPr>
          <w:rFonts w:hint="eastAsia"/>
        </w:rPr>
        <w:t>38</w:t>
      </w:r>
      <w:r>
        <w:rPr>
          <w:rFonts w:hint="eastAsia"/>
        </w:rPr>
        <w:t>，跨</w:t>
      </w:r>
      <w:r>
        <w:t xml:space="preserve"> Persona </w:t>
      </w:r>
      <w:r>
        <w:rPr>
          <w:rFonts w:hint="eastAsia"/>
        </w:rPr>
        <w:t>絕對差距自然縮小，而非架構穩定性真正改善。</w:t>
      </w:r>
    </w:p>
    <w:p w14:paraId="2312D4AD" w14:textId="77777777" w:rsidR="004F5D3F" w:rsidRDefault="00000000">
      <w:r>
        <w:pict w14:anchorId="3632C2D0">
          <v:rect id="_x0000_i1027" style="width:0;height:1.5pt" o:hralign="center" o:hrstd="t" o:hr="t"/>
        </w:pict>
      </w:r>
    </w:p>
    <w:p w14:paraId="2475B09D" w14:textId="77777777" w:rsidR="004F5D3F" w:rsidRDefault="00000000">
      <w:pPr>
        <w:pStyle w:val="2"/>
      </w:pPr>
      <w:bookmarkStart w:id="6" w:name="analysis-and-discussion"/>
      <w:bookmarkEnd w:id="1"/>
      <w:bookmarkEnd w:id="5"/>
      <w:r>
        <w:t>3. Analysis and Discussion</w:t>
      </w:r>
    </w:p>
    <w:p w14:paraId="5205409D" w14:textId="77777777" w:rsidR="004F5D3F" w:rsidRDefault="00000000">
      <w:pPr>
        <w:pStyle w:val="aa"/>
      </w:pPr>
      <w:r>
        <w:t xml:space="preserve">📊 </w:t>
      </w:r>
      <w:r>
        <w:rPr>
          <w:b/>
          <w:bCs/>
        </w:rPr>
        <w:t>[Figure 4: fig4_quality_comparison.png] [Figure 5: fig5_cost_efficiency.png] [Figure 6: fig6_marginal_benefit.png]</w:t>
      </w:r>
    </w:p>
    <w:p w14:paraId="2E8CAF1D" w14:textId="77777777" w:rsidR="004F5D3F" w:rsidRDefault="00000000">
      <w:pPr>
        <w:pStyle w:val="3"/>
      </w:pPr>
      <w:bookmarkStart w:id="7" w:name="品質分析四種架構的能力邊界與泛化一致性"/>
      <w:r>
        <w:t xml:space="preserve">3.1 </w:t>
      </w:r>
      <w:r>
        <w:rPr>
          <w:rFonts w:hint="eastAsia"/>
        </w:rPr>
        <w:t>品質分析：四種架構的能力邊界與泛化一致性</w:t>
      </w:r>
    </w:p>
    <w:p w14:paraId="6626AA79" w14:textId="77777777" w:rsidR="004F5D3F" w:rsidRDefault="00000000">
      <w:pPr>
        <w:pStyle w:val="FirstParagraph"/>
      </w:pPr>
      <w:r>
        <w:t xml:space="preserve">IS </w:t>
      </w:r>
      <w:r>
        <w:rPr>
          <w:rFonts w:hint="eastAsia"/>
        </w:rPr>
        <w:t>評估中，四架構整體排名為</w:t>
      </w:r>
      <w:r>
        <w:t xml:space="preserve"> </w:t>
      </w:r>
      <w:r>
        <w:rPr>
          <w:rFonts w:hint="eastAsia"/>
        </w:rPr>
        <w:t>PlanExecute</w:t>
      </w:r>
      <w:r>
        <w:rPr>
          <w:rFonts w:hint="eastAsia"/>
        </w:rPr>
        <w:t>（</w:t>
      </w:r>
      <w:r>
        <w:rPr>
          <w:rFonts w:hint="eastAsia"/>
        </w:rPr>
        <w:t>83.07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Single-slot</w:t>
      </w:r>
      <w:r>
        <w:rPr>
          <w:rFonts w:hint="eastAsia"/>
        </w:rPr>
        <w:t>（</w:t>
      </w:r>
      <w:r>
        <w:rPr>
          <w:rFonts w:hint="eastAsia"/>
        </w:rPr>
        <w:t>78.53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ReAct</w:t>
      </w:r>
      <w:r>
        <w:rPr>
          <w:rFonts w:hint="eastAsia"/>
        </w:rPr>
        <w:t>（</w:t>
      </w:r>
      <w:r>
        <w:rPr>
          <w:rFonts w:hint="eastAsia"/>
        </w:rPr>
        <w:t>76.37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Reflection</w:t>
      </w:r>
      <w:r>
        <w:rPr>
          <w:rFonts w:hint="eastAsia"/>
        </w:rPr>
        <w:t>（</w:t>
      </w:r>
      <w:r>
        <w:rPr>
          <w:rFonts w:hint="eastAsia"/>
        </w:rPr>
        <w:t>65.80</w:t>
      </w:r>
      <w:r>
        <w:rPr>
          <w:rFonts w:hint="eastAsia"/>
        </w:rPr>
        <w:t>）。各架構弱點維度指向不同的設計缺陷：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的</w:t>
      </w:r>
      <w:r>
        <w:t xml:space="preserve"> S_Tool </w:t>
      </w:r>
      <w:r>
        <w:rPr>
          <w:rFonts w:hint="eastAsia"/>
        </w:rPr>
        <w:t>僅</w:t>
      </w:r>
      <w:r>
        <w:t xml:space="preserve"> </w:t>
      </w:r>
      <w:r>
        <w:rPr>
          <w:rFonts w:hint="eastAsia"/>
        </w:rPr>
        <w:t>47.7</w:t>
      </w:r>
      <w:r>
        <w:rPr>
          <w:rFonts w:hint="eastAsia"/>
        </w:rPr>
        <w:t>，源於其</w:t>
      </w:r>
      <w:r>
        <w:t xml:space="preserve"> Thought-Action </w:t>
      </w:r>
      <w:r>
        <w:rPr>
          <w:rFonts w:hint="eastAsia"/>
        </w:rPr>
        <w:t>迭代循環在底層模型能力有限的條件下，</w:t>
      </w:r>
      <w:r>
        <w:rPr>
          <w:rFonts w:hint="eastAsia"/>
        </w:rPr>
        <w:t>LLM</w:t>
      </w:r>
      <w:r>
        <w:t xml:space="preserve"> </w:t>
      </w:r>
      <w:r>
        <w:rPr>
          <w:rFonts w:hint="eastAsia"/>
        </w:rPr>
        <w:t>難以穩定判斷何時應呼叫工具、何時應直接回覆，導致工具呼叫時機紊亂；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的</w:t>
      </w:r>
      <w:r>
        <w:t xml:space="preserve"> S_Efficiency </w:t>
      </w:r>
      <w:r>
        <w:rPr>
          <w:rFonts w:hint="eastAsia"/>
        </w:rPr>
        <w:t>僅</w:t>
      </w:r>
      <w:r>
        <w:t xml:space="preserve"> </w:t>
      </w:r>
      <w:r>
        <w:rPr>
          <w:rFonts w:hint="eastAsia"/>
        </w:rPr>
        <w:t>23.6</w:t>
      </w:r>
      <w:r>
        <w:rPr>
          <w:rFonts w:hint="eastAsia"/>
        </w:rPr>
        <w:t>，因三階段管線（</w:t>
      </w:r>
      <w:r>
        <w:rPr>
          <w:rFonts w:hint="eastAsia"/>
        </w:rPr>
        <w:t>Draft</w:t>
      </w:r>
      <w:r>
        <w:rPr>
          <w:rFonts w:hint="eastAsia"/>
        </w:rPr>
        <w:t>→</w:t>
      </w:r>
      <w:r>
        <w:rPr>
          <w:rFonts w:hint="eastAsia"/>
        </w:rPr>
        <w:t>Reflect</w:t>
      </w:r>
      <w:r>
        <w:rPr>
          <w:rFonts w:hint="eastAsia"/>
        </w:rPr>
        <w:t>→</w:t>
      </w:r>
      <w:r>
        <w:rPr>
          <w:rFonts w:hint="eastAsia"/>
        </w:rPr>
        <w:t>Final</w:t>
      </w:r>
      <w:r>
        <w:rPr>
          <w:rFonts w:hint="eastAsia"/>
        </w:rPr>
        <w:t>）至少需三次</w:t>
      </w:r>
      <w:r>
        <w:t xml:space="preserve"> LLM </w:t>
      </w:r>
      <w:r>
        <w:rPr>
          <w:rFonts w:hint="eastAsia"/>
        </w:rPr>
        <w:t>呼叫，且</w:t>
      </w:r>
      <w:r>
        <w:t xml:space="preserve"> Reflection </w:t>
      </w:r>
      <w:r>
        <w:rPr>
          <w:rFonts w:hint="eastAsia"/>
        </w:rPr>
        <w:t>步驟傾向擴充而非精簡，造成</w:t>
      </w:r>
      <w:r>
        <w:t xml:space="preserve"> token </w:t>
      </w:r>
      <w:r>
        <w:rPr>
          <w:rFonts w:hint="eastAsia"/>
        </w:rPr>
        <w:t>暴增（均值</w:t>
      </w:r>
      <w:r>
        <w:t xml:space="preserve"> </w:t>
      </w:r>
      <w:r>
        <w:rPr>
          <w:rFonts w:hint="eastAsia"/>
        </w:rPr>
        <w:t>75,105</w:t>
      </w:r>
      <w:r>
        <w:rPr>
          <w:rFonts w:hint="eastAsia"/>
        </w:rPr>
        <w:t>）而品質並未等比例提升，形成顯著的效率懲罰；</w:t>
      </w:r>
      <w:r>
        <w:rPr>
          <w:rFonts w:hint="eastAsia"/>
        </w:rPr>
        <w:t>Single-slot</w:t>
      </w:r>
      <w:r>
        <w:t xml:space="preserve"> S_Trajectory </w:t>
      </w:r>
      <w:r>
        <w:rPr>
          <w:rFonts w:hint="eastAsia"/>
        </w:rPr>
        <w:t>達</w:t>
      </w:r>
      <w:r>
        <w:t xml:space="preserve"> </w:t>
      </w:r>
      <w:r>
        <w:rPr>
          <w:rFonts w:hint="eastAsia"/>
        </w:rPr>
        <w:t>99.9</w:t>
      </w:r>
      <w:r>
        <w:rPr>
          <w:rFonts w:hint="eastAsia"/>
        </w:rPr>
        <w:t>，但</w:t>
      </w:r>
      <w:r>
        <w:t xml:space="preserve"> IS </w:t>
      </w:r>
      <w:r>
        <w:rPr>
          <w:rFonts w:hint="eastAsia"/>
        </w:rPr>
        <w:t>有效終止率僅</w:t>
      </w:r>
      <w:r>
        <w:t xml:space="preserve"> </w:t>
      </w:r>
      <w:r>
        <w:rPr>
          <w:rFonts w:hint="eastAsia"/>
        </w:rPr>
        <w:t>59.5%</w:t>
      </w:r>
      <w:r>
        <w:rPr>
          <w:rFonts w:hint="eastAsia"/>
        </w:rPr>
        <w:t>，反映單輪決策在工具呼叫判斷上的根本限制。</w:t>
      </w:r>
    </w:p>
    <w:p w14:paraId="7466D3F9" w14:textId="77777777" w:rsidR="004F5D3F" w:rsidRDefault="00000000">
      <w:pPr>
        <w:pStyle w:val="a0"/>
      </w:pPr>
      <w:r>
        <w:t xml:space="preserve">OOS </w:t>
      </w:r>
      <w:r>
        <w:rPr>
          <w:rFonts w:hint="eastAsia"/>
        </w:rPr>
        <w:t>下四架構排名維持不變，但跌幅差異揭示各架構應對分布偏移的根本策略分歧。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跌幅最大（−</w:t>
      </w:r>
      <w:r>
        <w:rPr>
          <w:rFonts w:hint="eastAsia"/>
        </w:rPr>
        <w:t>10.6</w:t>
      </w:r>
      <w:r>
        <w:rPr>
          <w:rFonts w:hint="eastAsia"/>
        </w:rPr>
        <w:t>），因其迭代機制本質上是一種「探索策略」——透過多次嘗試在工具空間搜尋解方；當工具集無法覆蓋新意圖時，探索機制失去目標，陷入無意義的重複循環並累積懲罰，</w:t>
      </w:r>
      <w:r>
        <w:rPr>
          <w:rFonts w:hint="eastAsia"/>
        </w:rPr>
        <w:t>OOS</w:t>
      </w:r>
      <w:r>
        <w:t xml:space="preserve"> Polite Persona LOOP_FAILURE </w:t>
      </w:r>
      <w:r>
        <w:rPr>
          <w:rFonts w:hint="eastAsia"/>
        </w:rPr>
        <w:t>率達</w:t>
      </w:r>
      <w:r>
        <w:t xml:space="preserve"> 42% </w:t>
      </w:r>
      <w:r>
        <w:rPr>
          <w:rFonts w:hint="eastAsia"/>
        </w:rPr>
        <w:t>即為直接體現。</w:t>
      </w:r>
      <w:r>
        <w:rPr>
          <w:rFonts w:hint="eastAsia"/>
        </w:rPr>
        <w:t>Single-slot</w:t>
      </w:r>
      <w:r>
        <w:t xml:space="preserve"> </w:t>
      </w:r>
      <w:r>
        <w:rPr>
          <w:rFonts w:hint="eastAsia"/>
        </w:rPr>
        <w:t>則呈現相反的邏輯：其單輪「承諾輸出」策略在</w:t>
      </w:r>
      <w:r>
        <w:t xml:space="preserve"> IS </w:t>
      </w:r>
      <w:r>
        <w:rPr>
          <w:rFonts w:hint="eastAsia"/>
        </w:rPr>
        <w:t>下因無法修正錯誤而顯弱，卻在</w:t>
      </w:r>
      <w:r>
        <w:t xml:space="preserve"> OOS </w:t>
      </w:r>
      <w:r>
        <w:rPr>
          <w:rFonts w:hint="eastAsia"/>
        </w:rPr>
        <w:t>下因避免了無效探索的累積懲罰而反超</w:t>
      </w:r>
      <w:r>
        <w:t xml:space="preserve"> </w:t>
      </w:r>
      <w:r>
        <w:rPr>
          <w:rFonts w:hint="eastAsia"/>
        </w:rPr>
        <w:t>ReAct</w:t>
      </w:r>
      <w:r>
        <w:rPr>
          <w:rFonts w:hint="eastAsia"/>
        </w:rPr>
        <w:t>（</w:t>
      </w:r>
      <w:r>
        <w:rPr>
          <w:rFonts w:hint="eastAsia"/>
        </w:rPr>
        <w:t>70.0</w:t>
      </w:r>
      <w:r>
        <w:t xml:space="preserve"> &gt; </w:t>
      </w:r>
      <w:r>
        <w:rPr>
          <w:rFonts w:hint="eastAsia"/>
        </w:rPr>
        <w:t>65.8</w:t>
      </w:r>
      <w:r>
        <w:rPr>
          <w:rFonts w:hint="eastAsia"/>
        </w:rPr>
        <w:t>）。這一逆轉揭示反直覺的泛化規律：在工具覆蓋不確定的情境下，迭代探索能力從優勢轉為負資產，單次提交的確定性策略反而更能維持整體評分。</w:t>
      </w:r>
    </w:p>
    <w:p w14:paraId="27DEE681" w14:textId="77777777" w:rsidR="004F5D3F" w:rsidRDefault="00000000">
      <w:pPr>
        <w:pStyle w:val="a0"/>
      </w:pPr>
      <w:r>
        <w:rPr>
          <w:rFonts w:hint="eastAsia"/>
        </w:rPr>
        <w:t>跨</w:t>
      </w:r>
      <w:r>
        <w:t xml:space="preserve"> Persona </w:t>
      </w:r>
      <w:r>
        <w:rPr>
          <w:rFonts w:hint="eastAsia"/>
        </w:rPr>
        <w:t>品質一致性方面，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下</w:t>
      </w:r>
      <w:r>
        <w:t xml:space="preserve"> PSS </w:t>
      </w:r>
      <w:r>
        <w:rPr>
          <w:rFonts w:hint="eastAsia"/>
        </w:rPr>
        <w:t>與案例難度呈</w:t>
      </w:r>
      <w:r>
        <w:rPr>
          <w:rFonts w:hint="eastAsia"/>
          <w:b/>
          <w:bCs/>
        </w:rPr>
        <w:t>反直覺的負相關</w:t>
      </w:r>
      <w:r>
        <w:rPr>
          <w:rFonts w:hint="eastAsia"/>
        </w:rPr>
        <w:t>：簡單案例</w:t>
      </w:r>
      <w:r>
        <w:t xml:space="preserve"> </w:t>
      </w:r>
      <w:r>
        <w:rPr>
          <w:rFonts w:hint="eastAsia"/>
        </w:rPr>
        <w:t>PSS</w:t>
      </w:r>
      <w:r>
        <w:rPr>
          <w:rFonts w:hint="eastAsia"/>
        </w:rPr>
        <w:t>（</w:t>
      </w:r>
      <w:r>
        <w:rPr>
          <w:rFonts w:hint="eastAsia"/>
        </w:rPr>
        <w:t>24.93</w:t>
      </w:r>
      <w:r>
        <w:rPr>
          <w:rFonts w:hint="eastAsia"/>
        </w:rPr>
        <w:t>）高於困難案例（</w:t>
      </w:r>
      <w:r>
        <w:rPr>
          <w:rFonts w:hint="eastAsia"/>
        </w:rPr>
        <w:t>22.50</w:t>
      </w:r>
      <w:r>
        <w:rPr>
          <w:rFonts w:hint="eastAsia"/>
        </w:rPr>
        <w:t>），與</w:t>
      </w:r>
      <w:r>
        <w:t xml:space="preserve"> ProSA </w:t>
      </w:r>
      <w:r>
        <w:rPr>
          <w:rFonts w:hint="eastAsia"/>
        </w:rPr>
        <w:t>原論文（</w:t>
      </w:r>
      <w:r>
        <w:rPr>
          <w:rFonts w:hint="eastAsia"/>
        </w:rPr>
        <w:t>Zhuo</w:t>
      </w:r>
      <w:r>
        <w:t xml:space="preserve"> et al., </w:t>
      </w:r>
      <w:r>
        <w:rPr>
          <w:rFonts w:hint="eastAsia"/>
        </w:rPr>
        <w:t>2024</w:t>
      </w:r>
      <w:r>
        <w:rPr>
          <w:rFonts w:hint="eastAsia"/>
        </w:rPr>
        <w:t>）「困難任務敏感度較高」的預測相反。本研究的解釋框架是：</w:t>
      </w:r>
      <w:r>
        <w:rPr>
          <w:rFonts w:hint="eastAsia"/>
        </w:rPr>
        <w:t>PSS</w:t>
      </w:r>
      <w:r>
        <w:t xml:space="preserve"> </w:t>
      </w:r>
      <w:r>
        <w:rPr>
          <w:rFonts w:hint="eastAsia"/>
        </w:rPr>
        <w:t>衡量的是「任務結果是否處於成功邊界」，而非難度本身——困難案例在三</w:t>
      </w:r>
      <w:r>
        <w:t xml:space="preserve"> Persona </w:t>
      </w:r>
      <w:r>
        <w:rPr>
          <w:rFonts w:hint="eastAsia"/>
        </w:rPr>
        <w:t>下往往一致失敗，分數集中於低分段，跨</w:t>
      </w:r>
      <w:r>
        <w:t xml:space="preserve"> Persona </w:t>
      </w:r>
      <w:r>
        <w:rPr>
          <w:rFonts w:hint="eastAsia"/>
        </w:rPr>
        <w:t>方差自然偏低；簡單案例存在「成功潛力」，</w:t>
      </w:r>
      <w:r>
        <w:rPr>
          <w:rFonts w:hint="eastAsia"/>
        </w:rPr>
        <w:t>Polite</w:t>
      </w:r>
      <w:r>
        <w:t xml:space="preserve"> Persona </w:t>
      </w:r>
      <w:r>
        <w:rPr>
          <w:rFonts w:hint="eastAsia"/>
        </w:rPr>
        <w:t>下可能完美作答，</w:t>
      </w:r>
      <w:r>
        <w:rPr>
          <w:rFonts w:hint="eastAsia"/>
        </w:rPr>
        <w:t>Adversarial</w:t>
      </w:r>
      <w:r>
        <w:t xml:space="preserve"> </w:t>
      </w:r>
      <w:r>
        <w:rPr>
          <w:rFonts w:hint="eastAsia"/>
        </w:rPr>
        <w:t>下的單次抵抗即足以導致失敗，邊界</w:t>
      </w:r>
      <w:r>
        <w:rPr>
          <w:rFonts w:hint="eastAsia"/>
        </w:rPr>
        <w:lastRenderedPageBreak/>
        <w:t>效應放大了跨</w:t>
      </w:r>
      <w:r>
        <w:t xml:space="preserve"> Persona </w:t>
      </w:r>
      <w:r>
        <w:rPr>
          <w:rFonts w:hint="eastAsia"/>
        </w:rPr>
        <w:t>分差。此結果與</w:t>
      </w:r>
      <w:r>
        <w:t xml:space="preserve"> ProSA </w:t>
      </w:r>
      <w:r>
        <w:rPr>
          <w:rFonts w:hint="eastAsia"/>
        </w:rPr>
        <w:t>的分歧部分源於擾動來源的差異：</w:t>
      </w:r>
      <w:r>
        <w:rPr>
          <w:rFonts w:hint="eastAsia"/>
        </w:rPr>
        <w:t>Zhuo</w:t>
      </w:r>
      <w:r>
        <w:t xml:space="preserve"> et al. </w:t>
      </w:r>
      <w:r>
        <w:rPr>
          <w:rFonts w:hint="eastAsia"/>
        </w:rPr>
        <w:t>以</w:t>
      </w:r>
      <w:r>
        <w:t xml:space="preserve"> prompt </w:t>
      </w:r>
      <w:r>
        <w:rPr>
          <w:rFonts w:hint="eastAsia"/>
        </w:rPr>
        <w:t>改寫（</w:t>
      </w:r>
      <w:r>
        <w:rPr>
          <w:rFonts w:hint="eastAsia"/>
        </w:rPr>
        <w:t>rephrase</w:t>
      </w:r>
      <w:r>
        <w:rPr>
          <w:rFonts w:hint="eastAsia"/>
        </w:rPr>
        <w:t>）作為擾動，主要影響語義理解；本研究以</w:t>
      </w:r>
      <w:r>
        <w:t xml:space="preserve"> Persona </w:t>
      </w:r>
      <w:r>
        <w:rPr>
          <w:rFonts w:hint="eastAsia"/>
        </w:rPr>
        <w:t>行為風格作為擾動，引入多輪對話中的對抗動態，兩者觸發的敏感性機制並不相同。實務上，高</w:t>
      </w:r>
      <w:r>
        <w:t xml:space="preserve"> PSS </w:t>
      </w:r>
      <w:r>
        <w:rPr>
          <w:rFonts w:hint="eastAsia"/>
        </w:rPr>
        <w:t>意圖（如</w:t>
      </w:r>
      <w:r>
        <w:t xml:space="preserve"> </w:t>
      </w:r>
      <w:r>
        <w:rPr>
          <w:rStyle w:val="VerbatimChar"/>
        </w:rPr>
        <w:t>cancel_order</w:t>
      </w:r>
      <w:r>
        <w:t xml:space="preserve"> </w:t>
      </w:r>
      <w:r>
        <w:rPr>
          <w:rFonts w:hint="eastAsia"/>
        </w:rPr>
        <w:t>PSS=29.97</w:t>
      </w:r>
      <w:r>
        <w:rPr>
          <w:rFonts w:hint="eastAsia"/>
        </w:rPr>
        <w:t>）代表「架構能力邊界上的意圖」，是優先強化的目標；低</w:t>
      </w:r>
      <w:r>
        <w:t xml:space="preserve"> PSS </w:t>
      </w:r>
      <w:r>
        <w:rPr>
          <w:rFonts w:hint="eastAsia"/>
        </w:rPr>
        <w:t>新意圖（如</w:t>
      </w:r>
      <w:r>
        <w:t xml:space="preserve"> </w:t>
      </w:r>
      <w:r>
        <w:rPr>
          <w:rStyle w:val="VerbatimChar"/>
        </w:rPr>
        <w:t>check_warranty</w:t>
      </w:r>
      <w:r>
        <w:t xml:space="preserve"> </w:t>
      </w:r>
      <w:r>
        <w:rPr>
          <w:rFonts w:hint="eastAsia"/>
        </w:rPr>
        <w:t>PSS=5.83</w:t>
      </w:r>
      <w:r>
        <w:rPr>
          <w:rFonts w:hint="eastAsia"/>
        </w:rPr>
        <w:t>）代表全面失敗，改善穩定性無法改善結果，需先擴展工具覆蓋。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下</w:t>
      </w:r>
      <w:r>
        <w:t xml:space="preserve"> ReAct PSS </w:t>
      </w:r>
      <w:r>
        <w:rPr>
          <w:rFonts w:hint="eastAsia"/>
        </w:rPr>
        <w:t>降至</w:t>
      </w:r>
      <w:r>
        <w:t xml:space="preserve"> 17.20 </w:t>
      </w:r>
      <w:r>
        <w:rPr>
          <w:rFonts w:hint="eastAsia"/>
        </w:rPr>
        <w:t>並非真正穩定性提升，而是</w:t>
      </w:r>
      <w:r>
        <w:rPr>
          <w:rFonts w:hint="eastAsia"/>
          <w:b/>
          <w:bCs/>
        </w:rPr>
        <w:t>分數壓縮效應</w:t>
      </w:r>
      <w:r>
        <w:rPr>
          <w:rFonts w:hint="eastAsia"/>
        </w:rPr>
        <w:t>所致——三</w:t>
      </w:r>
      <w:r>
        <w:t xml:space="preserve"> Persona </w:t>
      </w:r>
      <w:r>
        <w:rPr>
          <w:rFonts w:hint="eastAsia"/>
        </w:rPr>
        <w:t>在陌生意圖下均趨向低分，跨</w:t>
      </w:r>
      <w:r>
        <w:t xml:space="preserve"> Persona </w:t>
      </w:r>
      <w:r>
        <w:rPr>
          <w:rFonts w:hint="eastAsia"/>
        </w:rPr>
        <w:t>絕對差距自然縮小，此假性穩定需與</w:t>
      </w:r>
      <w:r>
        <w:t xml:space="preserve"> IS </w:t>
      </w:r>
      <w:r>
        <w:rPr>
          <w:rFonts w:hint="eastAsia"/>
        </w:rPr>
        <w:t>下的架構穩定性嚴格區別。</w:t>
      </w:r>
    </w:p>
    <w:p w14:paraId="2D3D9DD5" w14:textId="77777777" w:rsidR="004F5D3F" w:rsidRDefault="00000000">
      <w:pPr>
        <w:pStyle w:val="3"/>
      </w:pPr>
      <w:bookmarkStart w:id="8" w:name="成本分析架構複雜度的效率懲罰"/>
      <w:bookmarkEnd w:id="7"/>
      <w:r>
        <w:t xml:space="preserve">3.2 </w:t>
      </w:r>
      <w:r>
        <w:rPr>
          <w:rFonts w:hint="eastAsia"/>
        </w:rPr>
        <w:t>成本分析：架構複雜度的效率懲罰</w:t>
      </w:r>
    </w:p>
    <w:p w14:paraId="2FDCCC59" w14:textId="77777777" w:rsidR="004F5D3F" w:rsidRDefault="00000000">
      <w:pPr>
        <w:pStyle w:val="FirstParagraph"/>
      </w:pPr>
      <w:r>
        <w:rPr>
          <w:rFonts w:hint="eastAsia"/>
        </w:rPr>
        <w:t>四架構的資源消耗差異顯著，且成本結構各有不同來源。</w:t>
      </w:r>
      <w:r>
        <w:rPr>
          <w:rFonts w:hint="eastAsia"/>
        </w:rPr>
        <w:t>Reflection</w:t>
      </w:r>
      <w:r>
        <w:t xml:space="preserve"> IS token </w:t>
      </w:r>
      <w:r>
        <w:rPr>
          <w:rFonts w:hint="eastAsia"/>
        </w:rPr>
        <w:t>均值達</w:t>
      </w:r>
      <w:r>
        <w:t xml:space="preserve"> </w:t>
      </w:r>
      <w:r>
        <w:rPr>
          <w:rFonts w:hint="eastAsia"/>
        </w:rPr>
        <w:t>75,105</w:t>
      </w:r>
      <w:r>
        <w:rPr>
          <w:rFonts w:hint="eastAsia"/>
        </w:rPr>
        <w:t>，為</w:t>
      </w:r>
      <w:r>
        <w:t xml:space="preserve"> </w:t>
      </w:r>
      <w:r>
        <w:rPr>
          <w:rFonts w:hint="eastAsia"/>
        </w:rPr>
        <w:t>PlanExecute</w:t>
      </w:r>
      <w:r>
        <w:rPr>
          <w:rFonts w:hint="eastAsia"/>
        </w:rPr>
        <w:t>（</w:t>
      </w:r>
      <w:r>
        <w:rPr>
          <w:rFonts w:hint="eastAsia"/>
        </w:rPr>
        <w:t>16,999</w:t>
      </w:r>
      <w:r>
        <w:rPr>
          <w:rFonts w:hint="eastAsia"/>
        </w:rPr>
        <w:t>）的</w:t>
      </w:r>
      <w:r>
        <w:t xml:space="preserve"> 4.4 </w:t>
      </w:r>
      <w:r>
        <w:rPr>
          <w:rFonts w:hint="eastAsia"/>
        </w:rPr>
        <w:t>倍，</w:t>
      </w:r>
      <w:r>
        <w:rPr>
          <w:rFonts w:hint="eastAsia"/>
        </w:rPr>
        <w:t>ProxyCost</w:t>
      </w:r>
      <w:r>
        <w:t xml:space="preserve"> 33.90 </w:t>
      </w:r>
      <w:r>
        <w:rPr>
          <w:rFonts w:hint="eastAsia"/>
        </w:rPr>
        <w:t>全場最高；</w:t>
      </w:r>
      <w:r>
        <w:rPr>
          <w:rFonts w:hint="eastAsia"/>
        </w:rPr>
        <w:t>PlanExecute</w:t>
      </w:r>
      <w:r>
        <w:t xml:space="preserve"> ProxyCost </w:t>
      </w:r>
      <w:r>
        <w:rPr>
          <w:rFonts w:hint="eastAsia"/>
        </w:rPr>
        <w:t>最低（</w:t>
      </w:r>
      <w:r>
        <w:rPr>
          <w:rFonts w:hint="eastAsia"/>
        </w:rPr>
        <w:t>20.83</w:t>
      </w:r>
      <w:r>
        <w:rPr>
          <w:rFonts w:hint="eastAsia"/>
        </w:rPr>
        <w:t>）。</w:t>
      </w:r>
      <w:r>
        <w:rPr>
          <w:rFonts w:hint="eastAsia"/>
        </w:rPr>
        <w:t>ReAct</w:t>
      </w:r>
      <w:r>
        <w:t xml:space="preserve"> IS token </w:t>
      </w:r>
      <w:r>
        <w:rPr>
          <w:rFonts w:hint="eastAsia"/>
        </w:rPr>
        <w:t>均值（</w:t>
      </w:r>
      <w:r>
        <w:rPr>
          <w:rFonts w:hint="eastAsia"/>
        </w:rPr>
        <w:t>20,831</w:t>
      </w:r>
      <w:r>
        <w:rPr>
          <w:rFonts w:hint="eastAsia"/>
        </w:rPr>
        <w:t>）雖低於</w:t>
      </w:r>
      <w:r>
        <w:t xml:space="preserve"> </w:t>
      </w:r>
      <w:r>
        <w:rPr>
          <w:rFonts w:hint="eastAsia"/>
        </w:rPr>
        <w:t>Single-slot</w:t>
      </w:r>
      <w:r>
        <w:rPr>
          <w:rFonts w:hint="eastAsia"/>
        </w:rPr>
        <w:t>（</w:t>
      </w:r>
      <w:r>
        <w:rPr>
          <w:rFonts w:hint="eastAsia"/>
        </w:rPr>
        <w:t>24,086</w:t>
      </w:r>
      <w:r>
        <w:rPr>
          <w:rFonts w:hint="eastAsia"/>
        </w:rPr>
        <w:t>），</w:t>
      </w:r>
      <w:r>
        <w:rPr>
          <w:rFonts w:hint="eastAsia"/>
        </w:rPr>
        <w:t>ProxyCost</w:t>
      </w:r>
      <w:r>
        <w:t xml:space="preserve"> </w:t>
      </w:r>
      <w:r>
        <w:rPr>
          <w:rFonts w:hint="eastAsia"/>
        </w:rPr>
        <w:t>卻反而更高（</w:t>
      </w:r>
      <w:r>
        <w:rPr>
          <w:rFonts w:hint="eastAsia"/>
        </w:rPr>
        <w:t>30.30</w:t>
      </w:r>
      <w:r>
        <w:t xml:space="preserve"> vs </w:t>
      </w:r>
      <w:r>
        <w:rPr>
          <w:rFonts w:hint="eastAsia"/>
        </w:rPr>
        <w:t>28.70</w:t>
      </w:r>
      <w:r>
        <w:rPr>
          <w:rFonts w:hint="eastAsia"/>
        </w:rPr>
        <w:t>）——因</w:t>
      </w:r>
      <w:r>
        <w:t xml:space="preserve"> ProxyCost </w:t>
      </w:r>
      <w:r>
        <w:rPr>
          <w:rFonts w:hint="eastAsia"/>
        </w:rPr>
        <w:t>對</w:t>
      </w:r>
      <w:r>
        <w:t xml:space="preserve"> LLM </w:t>
      </w:r>
      <w:r>
        <w:rPr>
          <w:rFonts w:hint="eastAsia"/>
        </w:rPr>
        <w:t>呼叫次數賦予</w:t>
      </w:r>
      <w:r>
        <w:t xml:space="preserve"> 30% </w:t>
      </w:r>
      <w:r>
        <w:rPr>
          <w:rFonts w:hint="eastAsia"/>
        </w:rPr>
        <w:t>權重，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每輪</w:t>
      </w:r>
      <w:r>
        <w:t xml:space="preserve"> Thought-Action </w:t>
      </w:r>
      <w:r>
        <w:rPr>
          <w:rFonts w:hint="eastAsia"/>
        </w:rPr>
        <w:t>循環各需一次獨立</w:t>
      </w:r>
      <w:r>
        <w:t xml:space="preserve"> LLM </w:t>
      </w:r>
      <w:r>
        <w:rPr>
          <w:rFonts w:hint="eastAsia"/>
        </w:rPr>
        <w:t>呼叫，多輪對話下呼叫次數遠高於</w:t>
      </w:r>
      <w:r>
        <w:t xml:space="preserve"> Single-slot </w:t>
      </w:r>
      <w:r>
        <w:rPr>
          <w:rFonts w:hint="eastAsia"/>
        </w:rPr>
        <w:t>的每輪一次，使得在</w:t>
      </w:r>
      <w:r>
        <w:t xml:space="preserve"> token </w:t>
      </w:r>
      <w:r>
        <w:rPr>
          <w:rFonts w:hint="eastAsia"/>
        </w:rPr>
        <w:t>數相近時</w:t>
      </w:r>
      <w:r>
        <w:t xml:space="preserve"> ReAct </w:t>
      </w:r>
      <w:r>
        <w:rPr>
          <w:rFonts w:hint="eastAsia"/>
        </w:rPr>
        <w:t>仍承受較高的呼叫成本。這說明成本結構取決於架構的呼叫模式，而非單純的</w:t>
      </w:r>
      <w:r>
        <w:t xml:space="preserve"> token </w:t>
      </w:r>
      <w:r>
        <w:rPr>
          <w:rFonts w:hint="eastAsia"/>
        </w:rPr>
        <w:t>量，呼叫次數密集的迭代架構在高頻部署場景下面臨的成本壓力比</w:t>
      </w:r>
      <w:r>
        <w:t xml:space="preserve"> token </w:t>
      </w:r>
      <w:r>
        <w:rPr>
          <w:rFonts w:hint="eastAsia"/>
        </w:rPr>
        <w:t>數字所呈現的更為顯著。</w:t>
      </w:r>
    </w:p>
    <w:p w14:paraId="44982F40" w14:textId="77777777" w:rsidR="004F5D3F" w:rsidRDefault="00000000">
      <w:pPr>
        <w:pStyle w:val="a0"/>
      </w:pPr>
      <w:r>
        <w:t xml:space="preserve">OOS </w:t>
      </w:r>
      <w:r>
        <w:rPr>
          <w:rFonts w:hint="eastAsia"/>
        </w:rPr>
        <w:t>下各架構</w:t>
      </w:r>
      <w:r>
        <w:t xml:space="preserve"> token </w:t>
      </w:r>
      <w:r>
        <w:rPr>
          <w:rFonts w:hint="eastAsia"/>
        </w:rPr>
        <w:t>用量普遍上升（</w:t>
      </w:r>
      <w:r>
        <w:rPr>
          <w:rFonts w:hint="eastAsia"/>
        </w:rPr>
        <w:t>PlanExecute</w:t>
      </w:r>
      <w:r>
        <w:t xml:space="preserve"> +25%</w:t>
      </w:r>
      <w:r>
        <w:t>、</w:t>
      </w:r>
      <w:r>
        <w:t xml:space="preserve">Single-slot </w:t>
      </w:r>
      <w:r>
        <w:rPr>
          <w:rFonts w:hint="eastAsia"/>
        </w:rPr>
        <w:t>+24%</w:t>
      </w:r>
      <w:r>
        <w:rPr>
          <w:rFonts w:hint="eastAsia"/>
        </w:rPr>
        <w:t>），但成本增幅遠小於品質崩跌幅度：所有架構</w:t>
      </w:r>
      <w:r>
        <w:t xml:space="preserve"> NetValue </w:t>
      </w:r>
      <w:r>
        <w:rPr>
          <w:rFonts w:hint="eastAsia"/>
        </w:rPr>
        <w:t>縮水約</w:t>
      </w:r>
      <w:r>
        <w:t xml:space="preserve"> </w:t>
      </w:r>
      <w:r>
        <w:rPr>
          <w:rFonts w:hint="eastAsia"/>
        </w:rPr>
        <w:t>60%</w:t>
      </w:r>
      <w:r>
        <w:rPr>
          <w:rFonts w:hint="eastAsia"/>
        </w:rPr>
        <w:t>（</w:t>
      </w:r>
      <w:r>
        <w:rPr>
          <w:rFonts w:hint="eastAsia"/>
        </w:rPr>
        <w:t>IS</w:t>
      </w:r>
      <w:r>
        <w:t xml:space="preserve"> 0.94–1.43 → OOS </w:t>
      </w:r>
      <w:r>
        <w:rPr>
          <w:rFonts w:hint="eastAsia"/>
        </w:rPr>
        <w:t>0.27</w:t>
      </w:r>
      <w:r>
        <w:rPr>
          <w:rFonts w:hint="eastAsia"/>
        </w:rPr>
        <w:t>–</w:t>
      </w:r>
      <w:r>
        <w:rPr>
          <w:rFonts w:hint="eastAsia"/>
        </w:rPr>
        <w:t>0.51</w:t>
      </w:r>
      <w:r>
        <w:rPr>
          <w:rFonts w:hint="eastAsia"/>
        </w:rPr>
        <w:t>），</w:t>
      </w:r>
      <w:r>
        <w:rPr>
          <w:rFonts w:hint="eastAsia"/>
        </w:rPr>
        <w:t>ProxyCost</w:t>
      </w:r>
      <w:r>
        <w:t xml:space="preserve"> </w:t>
      </w:r>
      <w:r>
        <w:rPr>
          <w:rFonts w:hint="eastAsia"/>
        </w:rPr>
        <w:t>卻僅上升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–</w:t>
      </w:r>
      <w:r>
        <w:rPr>
          <w:rFonts w:hint="eastAsia"/>
        </w:rPr>
        <w:t>20%</w:t>
      </w:r>
      <w:r>
        <w:rPr>
          <w:rFonts w:hint="eastAsia"/>
        </w:rPr>
        <w:t>。這一不對稱性揭示</w:t>
      </w:r>
      <w:r>
        <w:t xml:space="preserve"> OOS </w:t>
      </w:r>
      <w:r>
        <w:rPr>
          <w:rFonts w:hint="eastAsia"/>
        </w:rPr>
        <w:t>下</w:t>
      </w:r>
      <w:r>
        <w:t xml:space="preserve"> ROI </w:t>
      </w:r>
      <w:r>
        <w:rPr>
          <w:rFonts w:hint="eastAsia"/>
        </w:rPr>
        <w:t>惡化的主因是</w:t>
      </w:r>
      <w:r>
        <w:rPr>
          <w:rFonts w:hint="eastAsia"/>
          <w:b/>
          <w:bCs/>
        </w:rPr>
        <w:t>品質崩跌而非成本上升</w:t>
      </w:r>
      <w:r>
        <w:rPr>
          <w:rFonts w:hint="eastAsia"/>
        </w:rPr>
        <w:t>，具有重要的部署策略含義：面對分布外情境，退回更簡單的架構只能改善成本側，對品質側幾乎無效；若要真正維持</w:t>
      </w:r>
      <w:r>
        <w:t xml:space="preserve"> OOS </w:t>
      </w:r>
      <w:r>
        <w:rPr>
          <w:rFonts w:hint="eastAsia"/>
        </w:rPr>
        <w:t>下的</w:t>
      </w:r>
      <w:r>
        <w:t xml:space="preserve"> </w:t>
      </w:r>
      <w:r>
        <w:rPr>
          <w:rFonts w:hint="eastAsia"/>
        </w:rPr>
        <w:t>ROI</w:t>
      </w:r>
      <w:r>
        <w:rPr>
          <w:rFonts w:hint="eastAsia"/>
        </w:rPr>
        <w:t>，需要的是擴展工具覆蓋率，而非替換架構選型。</w:t>
      </w:r>
    </w:p>
    <w:p w14:paraId="1D597794" w14:textId="77777777" w:rsidR="004F5D3F" w:rsidRDefault="00000000">
      <w:pPr>
        <w:pStyle w:val="3"/>
      </w:pPr>
      <w:bookmarkStart w:id="9" w:name="邊際效益綜合商業部署決策框架"/>
      <w:bookmarkEnd w:id="8"/>
      <w:r>
        <w:t xml:space="preserve">3.3 </w:t>
      </w:r>
      <w:r>
        <w:rPr>
          <w:rFonts w:hint="eastAsia"/>
        </w:rPr>
        <w:t>邊際效益綜合：商業部署決策框架</w:t>
      </w:r>
    </w:p>
    <w:p w14:paraId="0C4D2DA1" w14:textId="77777777" w:rsidR="004F5D3F" w:rsidRDefault="00000000">
      <w:pPr>
        <w:pStyle w:val="FirstParagraph"/>
      </w:pPr>
      <w:r>
        <w:rPr>
          <w:rFonts w:hint="eastAsia"/>
        </w:rPr>
        <w:t>以</w:t>
      </w:r>
      <w:r>
        <w:t xml:space="preserve"> ΔMB </w:t>
      </w:r>
      <w:r>
        <w:rPr>
          <w:rFonts w:hint="eastAsia"/>
        </w:rPr>
        <w:t>整合品質與成本後，四架構呈現明顯分層：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是唯一在</w:t>
      </w:r>
      <w:r>
        <w:t xml:space="preserve"> </w:t>
      </w:r>
      <w:r>
        <w:rPr>
          <w:rFonts w:hint="eastAsia"/>
        </w:rPr>
        <w:t>IS</w:t>
      </w:r>
      <w:r>
        <w:rPr>
          <w:rFonts w:hint="eastAsia"/>
        </w:rPr>
        <w:t>（</w:t>
      </w:r>
      <w:r>
        <w:rPr>
          <w:rFonts w:hint="eastAsia"/>
        </w:rPr>
        <w:t>+0.162</w:t>
      </w:r>
      <w:r>
        <w:rPr>
          <w:rFonts w:hint="eastAsia"/>
        </w:rPr>
        <w:t>）與</w:t>
      </w:r>
      <w:r>
        <w:t xml:space="preserve"> </w:t>
      </w:r>
      <w:r>
        <w:rPr>
          <w:rFonts w:hint="eastAsia"/>
        </w:rPr>
        <w:t>OOS</w:t>
      </w:r>
      <w:r>
        <w:rPr>
          <w:rFonts w:hint="eastAsia"/>
        </w:rPr>
        <w:t>（</w:t>
      </w:r>
      <w:r>
        <w:rPr>
          <w:rFonts w:hint="eastAsia"/>
        </w:rPr>
        <w:t>+0.125</w:t>
      </w:r>
      <w:r>
        <w:rPr>
          <w:rFonts w:hint="eastAsia"/>
        </w:rPr>
        <w:t>）均為正值的架構，Δ</w:t>
      </w:r>
      <w:r>
        <w:rPr>
          <w:rFonts w:hint="eastAsia"/>
        </w:rPr>
        <w:t>MB</w:t>
      </w:r>
      <w:r>
        <w:t xml:space="preserve"> </w:t>
      </w:r>
      <w:r>
        <w:rPr>
          <w:rFonts w:hint="eastAsia"/>
        </w:rPr>
        <w:t>跨集穩定性最高（僅下降</w:t>
      </w:r>
      <w:r>
        <w:t xml:space="preserve"> </w:t>
      </w:r>
      <w:r>
        <w:rPr>
          <w:rFonts w:hint="eastAsia"/>
        </w:rPr>
        <w:t>0.037</w:t>
      </w:r>
      <w:r>
        <w:rPr>
          <w:rFonts w:hint="eastAsia"/>
        </w:rPr>
        <w:t>）；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與</w:t>
      </w:r>
      <w:r>
        <w:t xml:space="preserve"> Reflection </w:t>
      </w:r>
      <w:r>
        <w:rPr>
          <w:rFonts w:hint="eastAsia"/>
        </w:rPr>
        <w:t>在兩個資料集下</w:t>
      </w:r>
      <w:r>
        <w:t xml:space="preserve"> ΔMB </w:t>
      </w:r>
      <w:r>
        <w:rPr>
          <w:rFonts w:hint="eastAsia"/>
        </w:rPr>
        <w:t>均為負，代表其架構複雜度帶來的成本無法被品質提升所補償，實際上相較</w:t>
      </w:r>
      <w:r>
        <w:t xml:space="preserve"> Single-slot </w:t>
      </w:r>
      <w:r>
        <w:rPr>
          <w:rFonts w:hint="eastAsia"/>
        </w:rPr>
        <w:t>基準形成負邊際效益。</w:t>
      </w:r>
    </w:p>
    <w:p w14:paraId="07DC2A32" w14:textId="77777777" w:rsidR="004F5D3F" w:rsidRDefault="00000000">
      <w:pPr>
        <w:pStyle w:val="a0"/>
      </w:pPr>
      <w:r>
        <w:t xml:space="preserve">OOS </w:t>
      </w:r>
      <w:r>
        <w:rPr>
          <w:rFonts w:hint="eastAsia"/>
        </w:rPr>
        <w:t>下</w:t>
      </w:r>
      <w:r>
        <w:t xml:space="preserve"> PlanExecute </w:t>
      </w:r>
      <w:r>
        <w:rPr>
          <w:rFonts w:hint="eastAsia"/>
        </w:rPr>
        <w:t>的有效終止率（</w:t>
      </w:r>
      <w:r>
        <w:rPr>
          <w:rFonts w:hint="eastAsia"/>
        </w:rPr>
        <w:t>96%</w:t>
      </w:r>
      <w:r>
        <w:rPr>
          <w:rFonts w:hint="eastAsia"/>
        </w:rPr>
        <w:t>）與</w:t>
      </w:r>
      <w:r>
        <w:t xml:space="preserve"> Judge </w:t>
      </w:r>
      <w:r>
        <w:rPr>
          <w:rFonts w:hint="eastAsia"/>
        </w:rPr>
        <w:t>均分（</w:t>
      </w:r>
      <w:r>
        <w:rPr>
          <w:rFonts w:hint="eastAsia"/>
        </w:rPr>
        <w:t>27.3</w:t>
      </w:r>
      <w:r>
        <w:rPr>
          <w:rFonts w:hint="eastAsia"/>
        </w:rPr>
        <w:t>）的極端背離，揭示一個評估框架設計層面的根本問題：規則型指標（有效終止率）與語義型指標（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分數）在</w:t>
      </w:r>
      <w:r>
        <w:t xml:space="preserve"> IS </w:t>
      </w:r>
      <w:r>
        <w:rPr>
          <w:rFonts w:hint="eastAsia"/>
        </w:rPr>
        <w:t>環境下因工具覆蓋充分而高度共變，但在</w:t>
      </w:r>
      <w:r>
        <w:t xml:space="preserve"> OOS </w:t>
      </w:r>
      <w:r>
        <w:rPr>
          <w:rFonts w:hint="eastAsia"/>
        </w:rPr>
        <w:t>環境下隨工具覆蓋邊界的突破而解耦。有效終止率衡量的是「對話是否以非病態方式終止」，在工具集充分時此條件與任務成功高度相關；在工具集不足時，此條件僅反映系統輸出了某個回覆，而非任務被解決。這種共變關係在分布偏移下的崩潰，類似於</w:t>
      </w:r>
      <w:r>
        <w:t xml:space="preserve"> Goodhart’s Law </w:t>
      </w:r>
      <w:r>
        <w:rPr>
          <w:rFonts w:hint="eastAsia"/>
        </w:rPr>
        <w:t>在評估設計中的體現：代理指標（</w:t>
      </w:r>
      <w:r>
        <w:rPr>
          <w:rFonts w:hint="eastAsia"/>
        </w:rPr>
        <w:t>proxy</w:t>
      </w:r>
      <w:r>
        <w:t xml:space="preserve"> </w:t>
      </w:r>
      <w:r>
        <w:rPr>
          <w:rFonts w:hint="eastAsia"/>
        </w:rPr>
        <w:t>metric</w:t>
      </w:r>
      <w:r>
        <w:rPr>
          <w:rFonts w:hint="eastAsia"/>
        </w:rPr>
        <w:t>）與真實目標在訓</w:t>
      </w:r>
      <w:r>
        <w:rPr>
          <w:rFonts w:hint="eastAsia"/>
        </w:rPr>
        <w:lastRenderedPageBreak/>
        <w:t>練分布內高度相關時，研究者傾向以代理指標作為評估標準；一旦分布偏移，代理指標與真實目標的相關性消失，以代理指標評估的系統將呈現「虛假成功」。本研究的</w:t>
      </w:r>
      <w:r>
        <w:t xml:space="preserve"> OOS </w:t>
      </w:r>
      <w:r>
        <w:rPr>
          <w:rFonts w:hint="eastAsia"/>
        </w:rPr>
        <w:t>悖論提供了此現象在</w:t>
      </w:r>
      <w:r>
        <w:t xml:space="preserve"> LLM Agent </w:t>
      </w:r>
      <w:r>
        <w:rPr>
          <w:rFonts w:hint="eastAsia"/>
        </w:rPr>
        <w:t>評估中的具體案例，並建議在</w:t>
      </w:r>
      <w:r>
        <w:t xml:space="preserve"> benchmark </w:t>
      </w:r>
      <w:r>
        <w:rPr>
          <w:rFonts w:hint="eastAsia"/>
        </w:rPr>
        <w:t>設計中納入</w:t>
      </w:r>
      <w:r>
        <w:t xml:space="preserve"> OOS </w:t>
      </w:r>
      <w:r>
        <w:rPr>
          <w:rFonts w:hint="eastAsia"/>
        </w:rPr>
        <w:t>探針，以主動測試代理指標在分布外的有效性邊界。</w:t>
      </w:r>
    </w:p>
    <w:p w14:paraId="244B7630" w14:textId="77777777" w:rsidR="004F5D3F" w:rsidRDefault="00000000">
      <w:pPr>
        <w:pStyle w:val="a0"/>
      </w:pPr>
      <w:r>
        <w:rPr>
          <w:rFonts w:hint="eastAsia"/>
        </w:rPr>
        <w:t>綜合以上，本研究建議以</w:t>
      </w:r>
      <w:r>
        <w:t xml:space="preserve"> ΔMB </w:t>
      </w:r>
      <w:r>
        <w:rPr>
          <w:rFonts w:hint="eastAsia"/>
        </w:rPr>
        <w:t>取代有效終止率或單一品質分數作為架構選型的核心指標，並依部署情境的意圖覆蓋率進行決策：在已知意圖覆蓋充分時</w:t>
      </w:r>
      <w:r>
        <w:t xml:space="preserve"> PlanExecute </w:t>
      </w:r>
      <w:r>
        <w:rPr>
          <w:rFonts w:hint="eastAsia"/>
        </w:rPr>
        <w:t>提供最佳投資回報；在意圖分布不確定的冷啟動情境下，</w:t>
      </w:r>
      <w:r>
        <w:rPr>
          <w:rFonts w:hint="eastAsia"/>
        </w:rPr>
        <w:t>Single-slot</w:t>
      </w:r>
      <w:r>
        <w:t xml:space="preserve"> </w:t>
      </w:r>
      <w:r>
        <w:rPr>
          <w:rFonts w:hint="eastAsia"/>
        </w:rPr>
        <w:t>的泛化穩健性更具商業保護價值，可作為混合路由架構中處理不確定意圖的退場機制。本研究主要限制在於底層模型（</w:t>
      </w:r>
      <w:r>
        <w:rPr>
          <w:rFonts w:hint="eastAsia"/>
        </w:rPr>
        <w:t>llama3.1:8b</w:t>
      </w:r>
      <w:r>
        <w:rPr>
          <w:rFonts w:hint="eastAsia"/>
        </w:rPr>
        <w:t>）能力有限，</w:t>
      </w:r>
      <w:r>
        <w:rPr>
          <w:rFonts w:hint="eastAsia"/>
        </w:rPr>
        <w:t>Runner</w:t>
      </w:r>
      <w:r>
        <w:t xml:space="preserve"> </w:t>
      </w:r>
      <w:r>
        <w:rPr>
          <w:rFonts w:hint="eastAsia"/>
        </w:rPr>
        <w:t>補償設計針對特定模型缺陷，更強模型下各架構相對表現可能不同；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樣本量（</w:t>
      </w:r>
      <w:r>
        <w:rPr>
          <w:rFonts w:hint="eastAsia"/>
        </w:rPr>
        <w:t>50</w:t>
      </w:r>
      <w:r>
        <w:t xml:space="preserve"> </w:t>
      </w:r>
      <w:r>
        <w:rPr>
          <w:rFonts w:hint="eastAsia"/>
        </w:rPr>
        <w:t>筆）亦限制意圖層分析的統計效力，相關意圖層結論應視為探索性發現。</w:t>
      </w:r>
    </w:p>
    <w:p w14:paraId="256E2875" w14:textId="7EC842F2" w:rsidR="004F5D3F" w:rsidRPr="005E5A83" w:rsidRDefault="004F5D3F">
      <w:pPr>
        <w:pStyle w:val="a0"/>
      </w:pPr>
      <w:bookmarkStart w:id="10" w:name="references"/>
      <w:bookmarkEnd w:id="0"/>
      <w:bookmarkEnd w:id="6"/>
      <w:bookmarkEnd w:id="9"/>
      <w:bookmarkEnd w:id="10"/>
    </w:p>
    <w:sectPr w:rsidR="004F5D3F" w:rsidRPr="005E5A8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7407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4982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5D3F"/>
    <w:rsid w:val="004F5D3F"/>
    <w:rsid w:val="005E5A83"/>
    <w:rsid w:val="00807226"/>
    <w:rsid w:val="00B0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FE9F"/>
  <w15:docId w15:val="{B485337F-FBF8-4941-A053-9F5EAB66A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dowgojashan</cp:lastModifiedBy>
  <cp:revision>3</cp:revision>
  <dcterms:created xsi:type="dcterms:W3CDTF">2026-05-30T11:50:00Z</dcterms:created>
  <dcterms:modified xsi:type="dcterms:W3CDTF">2026-05-30T13:46:00Z</dcterms:modified>
</cp:coreProperties>
</file>