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74C9" w14:textId="77777777" w:rsidR="009D4BD9" w:rsidRDefault="00000000">
      <w:pPr>
        <w:spacing w:after="200"/>
        <w:jc w:val="center"/>
        <w:rPr>
          <w:b/>
          <w:bCs/>
          <w:color w:val="1F4E79"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bCs/>
          <w:color w:val="1F4E79"/>
          <w:sz w:val="40"/>
          <w:szCs w:val="40"/>
        </w:rPr>
        <w:t>Agentic AI 評估框架</w:t>
      </w:r>
    </w:p>
    <w:p w14:paraId="7F461FDA" w14:textId="77777777" w:rsidR="009D4BD9" w:rsidRDefault="00000000">
      <w:pPr>
        <w:spacing w:after="200"/>
        <w:jc w:val="center"/>
        <w:rPr>
          <w:i/>
          <w:iCs/>
        </w:rPr>
      </w:pPr>
      <w:r>
        <w:rPr>
          <w:rFonts w:ascii="Arial Unicode MS" w:eastAsia="Arial Unicode MS" w:hAnsi="Arial Unicode MS" w:cs="Arial Unicode MS"/>
          <w:i/>
          <w:iCs/>
        </w:rPr>
        <w:t>適用架構：Single-shot、ReAct、ReAct + Reflection、Plan-and-Execute</w:t>
      </w:r>
    </w:p>
    <w:p w14:paraId="4040F06C" w14:textId="77777777" w:rsidR="009D4BD9" w:rsidRDefault="00000000">
      <w:pPr>
        <w:spacing w:after="200"/>
        <w:jc w:val="center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版本：研究方法整理稿｜評估單位：Case-level Evaluation</w:t>
      </w:r>
    </w:p>
    <w:p w14:paraId="16542D63" w14:textId="77777777" w:rsidR="009D4BD9" w:rsidRDefault="00000000">
      <w:pPr>
        <w:pStyle w:val="1"/>
        <w:spacing w:before="480" w:after="120"/>
        <w:rPr>
          <w:rFonts w:ascii="MS Gothic" w:eastAsia="MS Gothic" w:hAnsi="MS Gothic" w:cs="MS Gothic"/>
          <w:color w:val="000000"/>
          <w:sz w:val="46"/>
          <w:szCs w:val="46"/>
        </w:rPr>
      </w:pPr>
      <w:bookmarkStart w:id="0" w:name="_fdoxhkaaz9t0" w:colFirst="0" w:colLast="0"/>
      <w:bookmarkEnd w:id="0"/>
      <w:r>
        <w:rPr>
          <w:rFonts w:ascii="MS Gothic" w:eastAsia="MS Gothic" w:hAnsi="MS Gothic" w:cs="MS Gothic"/>
          <w:color w:val="000000"/>
          <w:sz w:val="46"/>
          <w:szCs w:val="46"/>
        </w:rPr>
        <w:t>摘要</w:t>
      </w:r>
    </w:p>
    <w:p w14:paraId="365DF3C0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本文件整理目前針對電商線上客服 Agentic AI 的評估指標、計算公式、程式實作流程、資料欄位設計、參考文獻，以及後續仍需詳細討論的研究設計議題。研究目的不是比較 Agent 與人工客服，而是比較四種 Agentic AI 架構在 Easy、Medium、Hard 任務中的成本調整後表現，進一步判斷不同任務難度下最適合的架構。</w:t>
      </w:r>
    </w:p>
    <w:tbl>
      <w:tblPr>
        <w:tblStyle w:val="a5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7770"/>
      </w:tblGrid>
      <w:tr w:rsidR="009D4BD9" w14:paraId="27EA4EA6" w14:textId="77777777">
        <w:trPr>
          <w:trHeight w:val="30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CDCD9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章節</w:t>
            </w:r>
          </w:p>
        </w:tc>
        <w:tc>
          <w:tcPr>
            <w:tcW w:w="77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15156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內容</w:t>
            </w:r>
          </w:p>
        </w:tc>
      </w:tr>
      <w:tr w:rsidR="009D4BD9" w14:paraId="71AEC2D9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7FA43" w14:textId="77777777" w:rsidR="009D4BD9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8D2E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研究目標與評估單位</w:t>
            </w:r>
          </w:p>
        </w:tc>
      </w:tr>
      <w:tr w:rsidR="009D4BD9" w14:paraId="54BFC294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5F91D" w14:textId="77777777" w:rsidR="009D4BD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2B82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核心指標與計算公式</w:t>
            </w:r>
          </w:p>
        </w:tc>
      </w:tr>
      <w:tr w:rsidR="009D4BD9" w14:paraId="337306BB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87EC2" w14:textId="77777777" w:rsidR="009D4BD9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3ADE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Case-level scoring 與 turn-level logging</w:t>
            </w:r>
          </w:p>
        </w:tc>
      </w:tr>
      <w:tr w:rsidR="009D4BD9" w14:paraId="5BE5D70E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5F3EC" w14:textId="77777777" w:rsidR="009D4BD9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B833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程式實作與資料欄位</w:t>
            </w:r>
          </w:p>
        </w:tc>
      </w:tr>
      <w:tr w:rsidR="009D4BD9" w14:paraId="6C67F296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81A84" w14:textId="77777777" w:rsidR="009D4BD9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DF90A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結果分析方式</w:t>
            </w:r>
          </w:p>
        </w:tc>
      </w:tr>
      <w:tr w:rsidR="009D4BD9" w14:paraId="1CECCDC6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24B4B" w14:textId="77777777" w:rsidR="009D4BD9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F5E2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需要進一步討論的議題</w:t>
            </w:r>
          </w:p>
        </w:tc>
      </w:tr>
      <w:tr w:rsidR="009D4BD9" w14:paraId="0AF39CB7" w14:textId="77777777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EEE36" w14:textId="77777777" w:rsidR="009D4BD9" w:rsidRDefault="00000000">
            <w:pPr>
              <w:spacing w:line="276" w:lineRule="auto"/>
            </w:pPr>
            <w:r>
              <w:t>7</w:t>
            </w:r>
          </w:p>
        </w:tc>
        <w:tc>
          <w:tcPr>
            <w:tcW w:w="7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559D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參考文獻</w:t>
            </w:r>
          </w:p>
        </w:tc>
      </w:tr>
    </w:tbl>
    <w:p w14:paraId="3ECFE0A3" w14:textId="77777777" w:rsidR="009D4BD9" w:rsidRDefault="00000000">
      <w:pPr>
        <w:spacing w:after="200"/>
      </w:pPr>
      <w:r>
        <w:t xml:space="preserve"> </w:t>
      </w:r>
    </w:p>
    <w:p w14:paraId="47E9A3FB" w14:textId="77777777" w:rsidR="009D4BD9" w:rsidRDefault="00000000">
      <w:pPr>
        <w:pStyle w:val="1"/>
        <w:spacing w:before="480" w:after="120"/>
        <w:rPr>
          <w:rFonts w:ascii="MS Gothic" w:eastAsia="MS Gothic" w:hAnsi="MS Gothic" w:cs="MS Gothic"/>
          <w:color w:val="000000"/>
          <w:sz w:val="46"/>
          <w:szCs w:val="46"/>
        </w:rPr>
      </w:pPr>
      <w:bookmarkStart w:id="1" w:name="_jb6vxj8rb2u" w:colFirst="0" w:colLast="0"/>
      <w:bookmarkEnd w:id="1"/>
      <w:r>
        <w:rPr>
          <w:color w:val="000000"/>
          <w:sz w:val="46"/>
          <w:szCs w:val="46"/>
        </w:rPr>
        <w:t xml:space="preserve">1. </w:t>
      </w:r>
      <w:r>
        <w:rPr>
          <w:rFonts w:ascii="MS Gothic" w:eastAsia="MS Gothic" w:hAnsi="MS Gothic" w:cs="MS Gothic"/>
          <w:color w:val="000000"/>
          <w:sz w:val="46"/>
          <w:szCs w:val="46"/>
        </w:rPr>
        <w:t>研究目標與評估單位</w:t>
      </w:r>
    </w:p>
    <w:p w14:paraId="6944BB0F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本研究比較四種架構在相同電商線上客服任務中的表現：Single-shot、ReAct、ReAct + Reflection 與 Plan-and-Execute。核心問題不是「哪個架構平均分數最高」，而是「在不同任務難度下，哪一種架構能以合理資源成本產生最高的有效客服價值」。</w:t>
      </w:r>
    </w:p>
    <w:tbl>
      <w:tblPr>
        <w:tblStyle w:val="a6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205"/>
        <w:gridCol w:w="4620"/>
      </w:tblGrid>
      <w:tr w:rsidR="009D4BD9" w14:paraId="087D2DCE" w14:textId="77777777">
        <w:trPr>
          <w:trHeight w:val="30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9175A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架構</w:t>
            </w:r>
          </w:p>
        </w:tc>
        <w:tc>
          <w:tcPr>
            <w:tcW w:w="22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19690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定位</w:t>
            </w:r>
          </w:p>
        </w:tc>
        <w:tc>
          <w:tcPr>
            <w:tcW w:w="4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9D501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預期特性</w:t>
            </w:r>
          </w:p>
        </w:tc>
      </w:tr>
      <w:tr w:rsidR="009D4BD9" w14:paraId="7D85652B" w14:textId="77777777">
        <w:trPr>
          <w:trHeight w:val="585"/>
        </w:trPr>
        <w:tc>
          <w:tcPr>
            <w:tcW w:w="20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2F248" w14:textId="77777777" w:rsidR="009D4BD9" w:rsidRDefault="00000000">
            <w:pPr>
              <w:spacing w:line="276" w:lineRule="auto"/>
            </w:pPr>
            <w:r>
              <w:t>Single-shot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58D36" w14:textId="77777777" w:rsidR="009D4BD9" w:rsidRDefault="00000000">
            <w:pPr>
              <w:spacing w:line="276" w:lineRule="auto"/>
            </w:pPr>
            <w:r>
              <w:t>Baseline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712B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成本最低，適合單步驟、低風險、資訊完整的簡單任務。</w:t>
            </w:r>
          </w:p>
        </w:tc>
      </w:tr>
      <w:tr w:rsidR="009D4BD9" w14:paraId="4E316171" w14:textId="77777777">
        <w:trPr>
          <w:trHeight w:val="585"/>
        </w:trPr>
        <w:tc>
          <w:tcPr>
            <w:tcW w:w="20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72467" w14:textId="77777777" w:rsidR="009D4BD9" w:rsidRDefault="00000000">
            <w:pPr>
              <w:spacing w:line="276" w:lineRule="auto"/>
            </w:pPr>
            <w:r>
              <w:t>ReAct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C279C" w14:textId="77777777" w:rsidR="009D4BD9" w:rsidRDefault="00000000">
            <w:pPr>
              <w:spacing w:line="276" w:lineRule="auto"/>
            </w:pPr>
            <w:r>
              <w:t>Reasoning + Acting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85B3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可使用工具與逐步推理，適合需要查詢訂單、物流、政策的任務。</w:t>
            </w:r>
          </w:p>
        </w:tc>
      </w:tr>
      <w:tr w:rsidR="009D4BD9" w14:paraId="0747ACF7" w14:textId="77777777">
        <w:trPr>
          <w:trHeight w:val="585"/>
        </w:trPr>
        <w:tc>
          <w:tcPr>
            <w:tcW w:w="20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41912" w14:textId="77777777" w:rsidR="009D4BD9" w:rsidRDefault="00000000">
            <w:pPr>
              <w:spacing w:line="276" w:lineRule="auto"/>
            </w:pPr>
            <w:r>
              <w:t>ReAct + Reflection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2AC65" w14:textId="77777777" w:rsidR="009D4BD9" w:rsidRDefault="00000000">
            <w:pPr>
              <w:spacing w:line="276" w:lineRule="auto"/>
            </w:pPr>
            <w:r>
              <w:t>Reasoning + Acting + Self-check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C64E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多了自我檢查與修正，可能降低錯誤，但增加 LLM call 與 token。</w:t>
            </w:r>
          </w:p>
        </w:tc>
      </w:tr>
      <w:tr w:rsidR="009D4BD9" w14:paraId="59F2F16C" w14:textId="77777777">
        <w:trPr>
          <w:trHeight w:val="585"/>
        </w:trPr>
        <w:tc>
          <w:tcPr>
            <w:tcW w:w="20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3384D" w14:textId="77777777" w:rsidR="009D4BD9" w:rsidRDefault="00000000">
            <w:pPr>
              <w:spacing w:line="276" w:lineRule="auto"/>
            </w:pPr>
            <w:r>
              <w:t>Plan-and-Execute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3C121" w14:textId="77777777" w:rsidR="009D4BD9" w:rsidRDefault="00000000">
            <w:pPr>
              <w:spacing w:line="276" w:lineRule="auto"/>
            </w:pPr>
            <w:r>
              <w:t>Planning before execution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5030D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先規劃再執行，適合多步驟、高複雜度任務，但規劃成本較高。</w:t>
            </w:r>
          </w:p>
        </w:tc>
      </w:tr>
    </w:tbl>
    <w:p w14:paraId="5824A50F" w14:textId="77777777" w:rsidR="009D4BD9" w:rsidRDefault="00000000">
      <w:pPr>
        <w:spacing w:after="200"/>
      </w:pPr>
      <w:r>
        <w:t xml:space="preserve"> </w:t>
      </w:r>
    </w:p>
    <w:p w14:paraId="10DD0EB6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建議採用「turn-level logging, case-level scoring」：每一輪對話、工具呼叫、token、latency 都要記錄；但最終評估應在完整客服 case 結束後進行。這樣可以避免把中間合理步驟，例如要求顧客提供訂單編號，錯誤評為低品質。</w:t>
      </w:r>
    </w:p>
    <w:p w14:paraId="0B8A22EE" w14:textId="77777777" w:rsidR="009D4BD9" w:rsidRDefault="00000000">
      <w:pPr>
        <w:pStyle w:val="1"/>
        <w:spacing w:before="480" w:after="120"/>
        <w:rPr>
          <w:rFonts w:ascii="MS Gothic" w:eastAsia="MS Gothic" w:hAnsi="MS Gothic" w:cs="MS Gothic"/>
          <w:color w:val="000000"/>
          <w:sz w:val="46"/>
          <w:szCs w:val="46"/>
        </w:rPr>
      </w:pPr>
      <w:bookmarkStart w:id="2" w:name="_l257rueb4kdv" w:colFirst="0" w:colLast="0"/>
      <w:bookmarkEnd w:id="2"/>
      <w:r>
        <w:rPr>
          <w:color w:val="000000"/>
          <w:sz w:val="46"/>
          <w:szCs w:val="46"/>
        </w:rPr>
        <w:t xml:space="preserve">2. </w:t>
      </w:r>
      <w:r>
        <w:rPr>
          <w:rFonts w:ascii="MS Gothic" w:eastAsia="MS Gothic" w:hAnsi="MS Gothic" w:cs="MS Gothic"/>
          <w:color w:val="000000"/>
          <w:sz w:val="46"/>
          <w:szCs w:val="46"/>
        </w:rPr>
        <w:t>核心評估指標與計算方法</w:t>
      </w:r>
    </w:p>
    <w:p w14:paraId="4D6AAA86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lastRenderedPageBreak/>
        <w:t>目前建議的評估架構分為四層：Outcome quality、Agent process quality、Safety/compliance gate、Resource cost and net value。</w:t>
      </w:r>
    </w:p>
    <w:tbl>
      <w:tblPr>
        <w:tblStyle w:val="a7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160"/>
        <w:gridCol w:w="2355"/>
        <w:gridCol w:w="2880"/>
      </w:tblGrid>
      <w:tr w:rsidR="009D4BD9" w14:paraId="3DDBB5F1" w14:textId="77777777">
        <w:trPr>
          <w:trHeight w:val="300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CBB03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類別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F1DE2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指標</w:t>
            </w:r>
          </w:p>
        </w:tc>
        <w:tc>
          <w:tcPr>
            <w:tcW w:w="2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A3EFE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主要用途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F7296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建議評估方式</w:t>
            </w:r>
          </w:p>
        </w:tc>
      </w:tr>
      <w:tr w:rsidR="009D4BD9" w14:paraId="479A502D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FA309" w14:textId="77777777" w:rsidR="009D4BD9" w:rsidRDefault="00000000">
            <w:pPr>
              <w:spacing w:line="276" w:lineRule="auto"/>
            </w:pPr>
            <w:r>
              <w:t>Outcome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E6ADC" w14:textId="77777777" w:rsidR="009D4BD9" w:rsidRDefault="00000000">
            <w:pPr>
              <w:spacing w:line="276" w:lineRule="auto"/>
            </w:pPr>
            <w:r>
              <w:t>S_AnswerQuality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6448D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最終回答作為客服回覆的品質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0ABC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LLM Judge + checklist / 人工抽樣驗證</w:t>
            </w:r>
          </w:p>
        </w:tc>
      </w:tr>
      <w:tr w:rsidR="009D4BD9" w14:paraId="70701A02" w14:textId="77777777">
        <w:trPr>
          <w:trHeight w:val="85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29D40" w14:textId="77777777" w:rsidR="009D4BD9" w:rsidRDefault="00000000">
            <w:pPr>
              <w:spacing w:line="276" w:lineRule="auto"/>
            </w:pPr>
            <w:r>
              <w:t>Outcome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75DFE" w14:textId="77777777" w:rsidR="009D4BD9" w:rsidRDefault="00000000">
            <w:pPr>
              <w:spacing w:line="276" w:lineRule="auto"/>
            </w:pPr>
            <w:r>
              <w:t>S_Grounding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DA687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回答是否忠實依據工具結果、訂單資料與企業政策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A46F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工具結果與政策資料對照，可搭配 LLM Judge</w:t>
            </w:r>
          </w:p>
        </w:tc>
      </w:tr>
      <w:tr w:rsidR="009D4BD9" w14:paraId="4BFC56B4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2C11B" w14:textId="77777777" w:rsidR="009D4BD9" w:rsidRDefault="00000000">
            <w:pPr>
              <w:spacing w:line="276" w:lineRule="auto"/>
            </w:pPr>
            <w:r>
              <w:t>Outcome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6DE62" w14:textId="77777777" w:rsidR="009D4BD9" w:rsidRDefault="00000000">
            <w:pPr>
              <w:spacing w:line="276" w:lineRule="auto"/>
            </w:pPr>
            <w:r>
              <w:t>S_Outcome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E2A9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整體結果品質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3FC2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S_AnswerQuality 與 S_Grounding 加權</w:t>
            </w:r>
          </w:p>
        </w:tc>
      </w:tr>
      <w:tr w:rsidR="009D4BD9" w14:paraId="4E93142D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713A1" w14:textId="77777777" w:rsidR="009D4BD9" w:rsidRDefault="00000000">
            <w:pPr>
              <w:spacing w:line="276" w:lineRule="auto"/>
            </w:pPr>
            <w:r>
              <w:t>Process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8D1F9" w14:textId="77777777" w:rsidR="009D4BD9" w:rsidRDefault="00000000">
            <w:pPr>
              <w:spacing w:line="276" w:lineRule="auto"/>
            </w:pPr>
            <w:r>
              <w:t>S_Tool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BDFB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工具選擇、參數與結果使用是否正確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1B03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規則計算優先；必要時 LLM 輔助</w:t>
            </w:r>
          </w:p>
        </w:tc>
      </w:tr>
      <w:tr w:rsidR="009D4BD9" w14:paraId="78971F83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9D5C7" w14:textId="77777777" w:rsidR="009D4BD9" w:rsidRDefault="00000000">
            <w:pPr>
              <w:spacing w:line="276" w:lineRule="auto"/>
            </w:pPr>
            <w:r>
              <w:t>Process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B2A22" w14:textId="77777777" w:rsidR="009D4BD9" w:rsidRDefault="00000000">
            <w:pPr>
              <w:spacing w:line="276" w:lineRule="auto"/>
            </w:pPr>
            <w:r>
              <w:t>S_Trajectory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C112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整體推理與行動流程是否合理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9CA0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log-based rule + LLM 輔助</w:t>
            </w:r>
          </w:p>
        </w:tc>
      </w:tr>
      <w:tr w:rsidR="009D4BD9" w14:paraId="6D737469" w14:textId="77777777">
        <w:trPr>
          <w:trHeight w:val="300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0E9A9" w14:textId="77777777" w:rsidR="009D4BD9" w:rsidRDefault="00000000">
            <w:pPr>
              <w:spacing w:line="276" w:lineRule="auto"/>
            </w:pPr>
            <w:r>
              <w:t>Efficiency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0E903" w14:textId="77777777" w:rsidR="009D4BD9" w:rsidRDefault="00000000">
            <w:pPr>
              <w:spacing w:line="276" w:lineRule="auto"/>
            </w:pPr>
            <w:r>
              <w:t>S_Efficiency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7F227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任務完成速度是否合理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1A8B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根據 latency 客觀計算</w:t>
            </w:r>
          </w:p>
        </w:tc>
      </w:tr>
      <w:tr w:rsidR="009D4BD9" w14:paraId="3C557AFC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5D5DC" w14:textId="77777777" w:rsidR="009D4BD9" w:rsidRDefault="00000000">
            <w:pPr>
              <w:spacing w:line="276" w:lineRule="auto"/>
            </w:pPr>
            <w:r>
              <w:t>Safety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A1A2F" w14:textId="77777777" w:rsidR="009D4BD9" w:rsidRDefault="00000000">
            <w:pPr>
              <w:spacing w:line="276" w:lineRule="auto"/>
            </w:pPr>
            <w:r>
              <w:t>I_fatal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B5EE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顧客機密資訊洩漏或違反企業條款/政策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5BE6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規則/人工確認優先；LLM 輔助</w:t>
            </w:r>
          </w:p>
        </w:tc>
      </w:tr>
      <w:tr w:rsidR="009D4BD9" w14:paraId="08A96EA1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BF708" w14:textId="77777777" w:rsidR="009D4BD9" w:rsidRDefault="00000000">
            <w:pPr>
              <w:spacing w:line="276" w:lineRule="auto"/>
            </w:pPr>
            <w:r>
              <w:t>Cost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0AD73" w14:textId="77777777" w:rsidR="009D4BD9" w:rsidRDefault="00000000">
            <w:pPr>
              <w:spacing w:line="276" w:lineRule="auto"/>
            </w:pPr>
            <w:r>
              <w:t>ProxyCost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AC97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資源消耗代理成本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F3537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token、LLM call、tool call 客觀計算</w:t>
            </w:r>
          </w:p>
        </w:tc>
      </w:tr>
      <w:tr w:rsidR="009D4BD9" w14:paraId="499923EE" w14:textId="77777777">
        <w:trPr>
          <w:trHeight w:val="300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5BC7A" w14:textId="77777777" w:rsidR="009D4BD9" w:rsidRDefault="00000000">
            <w:pPr>
              <w:spacing w:line="276" w:lineRule="auto"/>
            </w:pPr>
            <w:r>
              <w:t>Value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C71AE" w14:textId="77777777" w:rsidR="009D4BD9" w:rsidRDefault="00000000">
            <w:pPr>
              <w:spacing w:line="276" w:lineRule="auto"/>
            </w:pPr>
            <w:r>
              <w:t>NetValue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2067C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成本調整後淨價值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FC0E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公式計算</w:t>
            </w:r>
          </w:p>
        </w:tc>
      </w:tr>
      <w:tr w:rsidR="009D4BD9" w14:paraId="5B2DD4B5" w14:textId="77777777">
        <w:trPr>
          <w:trHeight w:val="585"/>
        </w:trPr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44784" w14:textId="77777777" w:rsidR="009D4BD9" w:rsidRDefault="00000000">
            <w:pPr>
              <w:spacing w:line="276" w:lineRule="auto"/>
            </w:pPr>
            <w:r>
              <w:t>Relative value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85591" w14:textId="77777777" w:rsidR="009D4BD9" w:rsidRDefault="00000000">
            <w:pPr>
              <w:spacing w:line="276" w:lineRule="auto"/>
            </w:pPr>
            <w:r>
              <w:t>Delta_MB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7618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相對 single-shot 的邊際效益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49D2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公式計算</w:t>
            </w:r>
          </w:p>
        </w:tc>
      </w:tr>
    </w:tbl>
    <w:p w14:paraId="0846010B" w14:textId="77777777" w:rsidR="009D4BD9" w:rsidRDefault="00000000">
      <w:pPr>
        <w:spacing w:after="200"/>
      </w:pPr>
      <w:r>
        <w:t xml:space="preserve"> </w:t>
      </w:r>
    </w:p>
    <w:p w14:paraId="00A2BBF2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3" w:name="_bc9exz35dr3b" w:colFirst="0" w:colLast="0"/>
      <w:bookmarkEnd w:id="3"/>
      <w:r>
        <w:rPr>
          <w:color w:val="000000"/>
          <w:sz w:val="34"/>
          <w:szCs w:val="34"/>
        </w:rPr>
        <w:t>2.1 AnswerQuality</w:t>
      </w:r>
      <w:r>
        <w:rPr>
          <w:rFonts w:ascii="MS Gothic" w:eastAsia="MS Gothic" w:hAnsi="MS Gothic" w:cs="MS Gothic"/>
          <w:color w:val="000000"/>
          <w:sz w:val="34"/>
          <w:szCs w:val="34"/>
        </w:rPr>
        <w:t>：最終客服回覆品質</w:t>
      </w:r>
    </w:p>
    <w:p w14:paraId="7E10E82F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S_AnswerQuality 只評估最終回答本身是否像一則好的電商客服回覆，不評估工具使用、成本、latency、trajectory、grounding 或 fatal gate。</w:t>
      </w:r>
    </w:p>
    <w:p w14:paraId="69A858E5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公式：S_AnswerQuality = 0.30*S_Resolution + 0.25*S_Correctness + 0.20*S_Completeness + 0.15*S_Actionability + 0.10*S_Tone</w:t>
      </w:r>
    </w:p>
    <w:tbl>
      <w:tblPr>
        <w:tblStyle w:val="a8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120"/>
        <w:gridCol w:w="3540"/>
      </w:tblGrid>
      <w:tr w:rsidR="009D4BD9" w14:paraId="3DAEF44E" w14:textId="77777777">
        <w:trPr>
          <w:trHeight w:val="30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73E4D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子指標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E0C80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評估內容</w:t>
            </w:r>
          </w:p>
        </w:tc>
        <w:tc>
          <w:tcPr>
            <w:tcW w:w="3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28682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範例</w:t>
            </w:r>
          </w:p>
        </w:tc>
      </w:tr>
      <w:tr w:rsidR="009D4BD9" w14:paraId="4F4BEAE2" w14:textId="77777777">
        <w:trPr>
          <w:trHeight w:val="58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F2E52" w14:textId="77777777" w:rsidR="009D4BD9" w:rsidRDefault="00000000">
            <w:pPr>
              <w:spacing w:line="276" w:lineRule="auto"/>
            </w:pPr>
            <w:r>
              <w:t>S_Resolution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105C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是否回應並解決顧客核心需求。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6DAF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顧客問物流，回答需說明物流狀態或下一步查詢方式。</w:t>
            </w:r>
          </w:p>
        </w:tc>
      </w:tr>
      <w:tr w:rsidR="009D4BD9" w14:paraId="441E33F2" w14:textId="77777777">
        <w:trPr>
          <w:trHeight w:val="58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ECB2D" w14:textId="77777777" w:rsidR="009D4BD9" w:rsidRDefault="00000000">
            <w:pPr>
              <w:spacing w:line="276" w:lineRule="auto"/>
            </w:pPr>
            <w:r>
              <w:t>S_Correctness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5467A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回答本身是否正確、沒有明顯錯誤。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D9AF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退款時間、退貨條件、訂單狀態不能錯。</w:t>
            </w:r>
          </w:p>
        </w:tc>
      </w:tr>
      <w:tr w:rsidR="009D4BD9" w14:paraId="474C297D" w14:textId="77777777">
        <w:trPr>
          <w:trHeight w:val="58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B9252" w14:textId="77777777" w:rsidR="009D4BD9" w:rsidRDefault="00000000">
            <w:pPr>
              <w:spacing w:line="276" w:lineRule="auto"/>
            </w:pPr>
            <w:r>
              <w:t>S_Completeness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9319A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是否包含完成任務所需的必要資訊。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0A44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退貨回答應包含條件、期限與申請方式。</w:t>
            </w:r>
          </w:p>
        </w:tc>
      </w:tr>
      <w:tr w:rsidR="009D4BD9" w14:paraId="729C153A" w14:textId="77777777">
        <w:trPr>
          <w:trHeight w:val="58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0827E" w14:textId="77777777" w:rsidR="009D4BD9" w:rsidRDefault="00000000">
            <w:pPr>
              <w:spacing w:line="276" w:lineRule="auto"/>
            </w:pPr>
            <w:r>
              <w:t>S_Actionability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AECB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顧客是否知道下一步該做什麼。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7491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請提供訂單編號；或到「我的訂單」申請退貨。</w:t>
            </w:r>
          </w:p>
        </w:tc>
      </w:tr>
      <w:tr w:rsidR="009D4BD9" w14:paraId="30FDED59" w14:textId="77777777">
        <w:trPr>
          <w:trHeight w:val="58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74768" w14:textId="77777777" w:rsidR="009D4BD9" w:rsidRDefault="00000000">
            <w:pPr>
              <w:spacing w:line="276" w:lineRule="auto"/>
            </w:pPr>
            <w:r>
              <w:t>S_Tone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B4C0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語氣是否禮貌、專業、符合客服情境。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F996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避免命令式或不耐煩語氣。</w:t>
            </w:r>
          </w:p>
        </w:tc>
      </w:tr>
    </w:tbl>
    <w:p w14:paraId="188747C0" w14:textId="77777777" w:rsidR="009D4BD9" w:rsidRDefault="00000000">
      <w:pPr>
        <w:spacing w:after="200"/>
      </w:pPr>
      <w:r>
        <w:t xml:space="preserve"> </w:t>
      </w:r>
    </w:p>
    <w:p w14:paraId="18D8511E" w14:textId="77777777" w:rsidR="009D4BD9" w:rsidRDefault="00000000">
      <w:pPr>
        <w:pStyle w:val="2"/>
        <w:spacing w:before="360" w:after="80"/>
        <w:rPr>
          <w:color w:val="000000"/>
          <w:sz w:val="34"/>
          <w:szCs w:val="34"/>
        </w:rPr>
      </w:pPr>
      <w:bookmarkStart w:id="4" w:name="_vbkqfj7z3woo" w:colFirst="0" w:colLast="0"/>
      <w:bookmarkEnd w:id="4"/>
      <w:r>
        <w:rPr>
          <w:color w:val="000000"/>
          <w:sz w:val="34"/>
          <w:szCs w:val="34"/>
        </w:rPr>
        <w:lastRenderedPageBreak/>
        <w:t xml:space="preserve">2.2 Grounding </w:t>
      </w:r>
      <w:r>
        <w:rPr>
          <w:rFonts w:ascii="MS Gothic" w:eastAsia="MS Gothic" w:hAnsi="MS Gothic" w:cs="MS Gothic"/>
          <w:color w:val="000000"/>
          <w:sz w:val="34"/>
          <w:szCs w:val="34"/>
        </w:rPr>
        <w:t>與</w:t>
      </w:r>
      <w:r>
        <w:rPr>
          <w:color w:val="000000"/>
          <w:sz w:val="34"/>
          <w:szCs w:val="34"/>
        </w:rPr>
        <w:t xml:space="preserve"> Outcome</w:t>
      </w:r>
    </w:p>
    <w:p w14:paraId="3DACA080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S_Grounding 評估最終回答是否忠實依據工具查詢結果、訂單資料、顧客提供資訊與企業政策。這可避免「語氣很好但內容是編造的」回答取得高分。</w:t>
      </w:r>
    </w:p>
    <w:p w14:paraId="2296159C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公式：S_Outcome = 0.6*S_AnswerQuality + 0.4*S_Grounding</w:t>
      </w:r>
    </w:p>
    <w:tbl>
      <w:tblPr>
        <w:tblStyle w:val="a9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1875"/>
        <w:gridCol w:w="1740"/>
        <w:gridCol w:w="2445"/>
      </w:tblGrid>
      <w:tr w:rsidR="009D4BD9" w14:paraId="648D24C6" w14:textId="77777777">
        <w:trPr>
          <w:trHeight w:val="300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7C39B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情況</w:t>
            </w:r>
          </w:p>
        </w:tc>
        <w:tc>
          <w:tcPr>
            <w:tcW w:w="1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80B84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AnswerQuality</w:t>
            </w:r>
          </w:p>
        </w:tc>
        <w:tc>
          <w:tcPr>
            <w:tcW w:w="1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EAAAE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Grounding</w:t>
            </w:r>
          </w:p>
        </w:tc>
        <w:tc>
          <w:tcPr>
            <w:tcW w:w="24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6CC6C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處理方式</w:t>
            </w:r>
          </w:p>
        </w:tc>
      </w:tr>
      <w:tr w:rsidR="009D4BD9" w14:paraId="7F92300A" w14:textId="77777777">
        <w:trPr>
          <w:trHeight w:val="585"/>
        </w:trPr>
        <w:tc>
          <w:tcPr>
            <w:tcW w:w="2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89C1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回答清楚完整，且與工具結果一致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9083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高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D8C2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高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6DAB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Outcome 高</w:t>
            </w:r>
          </w:p>
        </w:tc>
      </w:tr>
      <w:tr w:rsidR="009D4BD9" w14:paraId="5F37C7A8" w14:textId="77777777">
        <w:trPr>
          <w:trHeight w:val="300"/>
        </w:trPr>
        <w:tc>
          <w:tcPr>
            <w:tcW w:w="2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9F65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回答清楚但編造物流狀態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CCB4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可能高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0962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低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C305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Outcome 顯著下降</w:t>
            </w:r>
          </w:p>
        </w:tc>
      </w:tr>
      <w:tr w:rsidR="009D4BD9" w14:paraId="71E7496E" w14:textId="77777777">
        <w:trPr>
          <w:trHeight w:val="585"/>
        </w:trPr>
        <w:tc>
          <w:tcPr>
            <w:tcW w:w="2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3658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回答很簡短但完全依據工具結果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9C7C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2D75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高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B221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Outcome 中高</w:t>
            </w:r>
          </w:p>
        </w:tc>
      </w:tr>
      <w:tr w:rsidR="009D4BD9" w14:paraId="7857BADC" w14:textId="77777777">
        <w:trPr>
          <w:trHeight w:val="585"/>
        </w:trPr>
        <w:tc>
          <w:tcPr>
            <w:tcW w:w="2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8FDF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回答違反明確政策並承諾退款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2DF7D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可能中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4AF8D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低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F98DA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可能同時觸發 I_fatal</w:t>
            </w:r>
          </w:p>
        </w:tc>
      </w:tr>
    </w:tbl>
    <w:p w14:paraId="58A877B1" w14:textId="77777777" w:rsidR="009D4BD9" w:rsidRDefault="00000000">
      <w:pPr>
        <w:spacing w:after="200"/>
      </w:pPr>
      <w:r>
        <w:t xml:space="preserve"> </w:t>
      </w:r>
    </w:p>
    <w:p w14:paraId="52049F2F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5" w:name="_jajnwhqegjg6" w:colFirst="0" w:colLast="0"/>
      <w:bookmarkEnd w:id="5"/>
      <w:r>
        <w:rPr>
          <w:color w:val="000000"/>
          <w:sz w:val="34"/>
          <w:szCs w:val="34"/>
        </w:rPr>
        <w:t>2.3 Tool Use</w:t>
      </w:r>
      <w:r>
        <w:rPr>
          <w:rFonts w:ascii="MS Gothic" w:eastAsia="MS Gothic" w:hAnsi="MS Gothic" w:cs="MS Gothic"/>
          <w:color w:val="000000"/>
          <w:sz w:val="34"/>
          <w:szCs w:val="34"/>
        </w:rPr>
        <w:t>：工具使用正確性</w:t>
      </w:r>
    </w:p>
    <w:p w14:paraId="165BBEC5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S_Tool 建議優先採用客觀規則計算。若每個任務可事先標註 expected_tools，就可用 precision、recall、F1 衡量工具選擇；另外再檢查工具參數與結果使用。</w:t>
      </w:r>
    </w:p>
    <w:p w14:paraId="58B2463C" w14:textId="77777777" w:rsidR="009D4BD9" w:rsidRDefault="00000000">
      <w:pPr>
        <w:spacing w:after="200"/>
      </w:pPr>
      <w:r>
        <w:t>ToolPrecision = correct_used_tools / used_tools</w:t>
      </w:r>
    </w:p>
    <w:p w14:paraId="4A3D4E41" w14:textId="77777777" w:rsidR="009D4BD9" w:rsidRDefault="00000000">
      <w:pPr>
        <w:spacing w:after="200"/>
      </w:pPr>
      <w:r>
        <w:t>ToolRecall = correct_used_tools / expected_tools</w:t>
      </w:r>
    </w:p>
    <w:p w14:paraId="2CEFE104" w14:textId="77777777" w:rsidR="009D4BD9" w:rsidRDefault="00000000">
      <w:pPr>
        <w:spacing w:after="200"/>
      </w:pPr>
      <w:r>
        <w:t>ToolF1 = 2*Precision*Recall/(Precision+Recall)</w:t>
      </w:r>
    </w:p>
    <w:p w14:paraId="09982249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建議進階公式：S_Tool = 100*(0.5*ToolF1 + 0.25*ArgumentCorrectness + 0.25*ResultUsage)</w:t>
      </w:r>
    </w:p>
    <w:p w14:paraId="2C67F71A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6" w:name="_ekj5ua301a7n" w:colFirst="0" w:colLast="0"/>
      <w:bookmarkEnd w:id="6"/>
      <w:r>
        <w:rPr>
          <w:color w:val="000000"/>
          <w:sz w:val="34"/>
          <w:szCs w:val="34"/>
        </w:rPr>
        <w:t>2.4 Trajectory</w:t>
      </w:r>
      <w:r>
        <w:rPr>
          <w:rFonts w:ascii="MS Gothic" w:eastAsia="MS Gothic" w:hAnsi="MS Gothic" w:cs="MS Gothic"/>
          <w:color w:val="000000"/>
          <w:sz w:val="34"/>
          <w:szCs w:val="34"/>
        </w:rPr>
        <w:t>：執行軌跡品質</w:t>
      </w:r>
    </w:p>
    <w:p w14:paraId="2B7F7D35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S_Trajectory 評估完整 case 的推理與行動流程是否合理，不應單獨評估每一輪。可用 rule-based penalties 搭配 LLM 輔助。</w:t>
      </w:r>
    </w:p>
    <w:tbl>
      <w:tblPr>
        <w:tblStyle w:val="aa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300"/>
      </w:tblGrid>
      <w:tr w:rsidR="009D4BD9" w14:paraId="7DFEDEEE" w14:textId="77777777">
        <w:trPr>
          <w:trHeight w:val="300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32F26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檢查項目</w:t>
            </w:r>
          </w:p>
        </w:tc>
        <w:tc>
          <w:tcPr>
            <w:tcW w:w="6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496EE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客觀/半客觀操作</w:t>
            </w:r>
          </w:p>
        </w:tc>
      </w:tr>
      <w:tr w:rsidR="009D4BD9" w14:paraId="72BD4F23" w14:textId="77777777">
        <w:trPr>
          <w:trHeight w:val="300"/>
        </w:trPr>
        <w:tc>
          <w:tcPr>
            <w:tcW w:w="2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B52B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流程順序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FF81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是否先取得必要資訊、查詢工具，再形成最終回答。</w:t>
            </w:r>
          </w:p>
        </w:tc>
      </w:tr>
      <w:tr w:rsidR="009D4BD9" w14:paraId="3528EB41" w14:textId="77777777">
        <w:trPr>
          <w:trHeight w:val="300"/>
        </w:trPr>
        <w:tc>
          <w:tcPr>
            <w:tcW w:w="2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1E85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無效循環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AA6A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是否重複相同工具或相同問題超過合理次數。</w:t>
            </w:r>
          </w:p>
        </w:tc>
      </w:tr>
      <w:tr w:rsidR="009D4BD9" w14:paraId="01E7B6D8" w14:textId="77777777">
        <w:trPr>
          <w:trHeight w:val="300"/>
        </w:trPr>
        <w:tc>
          <w:tcPr>
            <w:tcW w:w="2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5DD4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錯誤修正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6BD4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Reflection 架構是否能在自我檢查後修正錯誤。</w:t>
            </w:r>
          </w:p>
        </w:tc>
      </w:tr>
      <w:tr w:rsidR="009D4BD9" w14:paraId="74A7353D" w14:textId="77777777">
        <w:trPr>
          <w:trHeight w:val="300"/>
        </w:trPr>
        <w:tc>
          <w:tcPr>
            <w:tcW w:w="2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E277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多步驟一致性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D573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Plan-and-Execute 是否依照計畫執行，或合理調整計畫。</w:t>
            </w:r>
          </w:p>
        </w:tc>
      </w:tr>
      <w:tr w:rsidR="009D4BD9" w14:paraId="44A6759B" w14:textId="77777777">
        <w:trPr>
          <w:trHeight w:val="300"/>
        </w:trPr>
        <w:tc>
          <w:tcPr>
            <w:tcW w:w="2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24CB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冗餘步驟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5BD2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是否有不必要工具呼叫或無關推理。</w:t>
            </w:r>
          </w:p>
        </w:tc>
      </w:tr>
    </w:tbl>
    <w:p w14:paraId="40FA9F7D" w14:textId="77777777" w:rsidR="009D4BD9" w:rsidRDefault="00000000">
      <w:pPr>
        <w:spacing w:after="200"/>
      </w:pPr>
      <w:r>
        <w:t xml:space="preserve"> </w:t>
      </w:r>
    </w:p>
    <w:p w14:paraId="69C552A1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7" w:name="_2z87ibb8z7gr" w:colFirst="0" w:colLast="0"/>
      <w:bookmarkEnd w:id="7"/>
      <w:r>
        <w:rPr>
          <w:color w:val="000000"/>
          <w:sz w:val="34"/>
          <w:szCs w:val="34"/>
        </w:rPr>
        <w:t>2.5 Efficiency</w:t>
      </w:r>
      <w:r>
        <w:rPr>
          <w:rFonts w:ascii="MS Gothic" w:eastAsia="MS Gothic" w:hAnsi="MS Gothic" w:cs="MS Gothic"/>
          <w:color w:val="000000"/>
          <w:sz w:val="34"/>
          <w:szCs w:val="34"/>
        </w:rPr>
        <w:t>：效率分數</w:t>
      </w:r>
    </w:p>
    <w:p w14:paraId="51FFCA9F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S_Efficiency 目前建議只處理 latency，避免與 ProxyCost 中的 token、LLM call、tool call 重複計算。</w:t>
      </w:r>
    </w:p>
    <w:p w14:paraId="5D0D1153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公式：S_Efficiency(a,i) = min(100, max(0, Latency_baseline,d / Latency_a,i * 100))</w:t>
      </w:r>
    </w:p>
    <w:p w14:paraId="595E75A4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lastRenderedPageBreak/>
        <w:t>Latency_baseline,d 建議使用同難度下 single-shot 的 median latency。若某架構比 baseline 更快，分數封頂為 100；若更慢，分數依比例下降。</w:t>
      </w:r>
    </w:p>
    <w:p w14:paraId="17D40247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8" w:name="_aiqhax66kb2b" w:colFirst="0" w:colLast="0"/>
      <w:bookmarkEnd w:id="8"/>
      <w:r>
        <w:rPr>
          <w:color w:val="000000"/>
          <w:sz w:val="34"/>
          <w:szCs w:val="34"/>
        </w:rPr>
        <w:t>2.6 I_fatal</w:t>
      </w:r>
      <w:r>
        <w:rPr>
          <w:rFonts w:ascii="MS Gothic" w:eastAsia="MS Gothic" w:hAnsi="MS Gothic" w:cs="MS Gothic"/>
          <w:color w:val="000000"/>
          <w:sz w:val="34"/>
          <w:szCs w:val="34"/>
        </w:rPr>
        <w:t>：安全與合規門檻</w:t>
      </w:r>
    </w:p>
    <w:p w14:paraId="3B680E46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I_fatal 不是一般品質分數，而是 safety/compliance gate。它只處理不可補償的重大違規，避免與 Outcome、Grounding、Tool、Trajectory 重複。</w:t>
      </w:r>
    </w:p>
    <w:p w14:paraId="21F85AEA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定義：I_fatal = 1 若發生「顧客機密資訊洩漏」或「違反明確企業條款/客服政策」；否則 I_fatal = 0。</w:t>
      </w:r>
    </w:p>
    <w:tbl>
      <w:tblPr>
        <w:tblStyle w:val="ab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970"/>
      </w:tblGrid>
      <w:tr w:rsidR="009D4BD9" w14:paraId="393B8445" w14:textId="77777777">
        <w:trPr>
          <w:trHeight w:val="30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4816C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觸發 I_fatal 的情況</w:t>
            </w:r>
          </w:p>
        </w:tc>
        <w:tc>
          <w:tcPr>
            <w:tcW w:w="5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5F1D6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例子</w:t>
            </w:r>
          </w:p>
        </w:tc>
      </w:tr>
      <w:tr w:rsidR="009D4BD9" w14:paraId="4BDADE24" w14:textId="77777777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E29A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顧客機密資訊洩漏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FC1C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洩漏其他顧客姓名、電話、地址、訂單內容、付款資訊。</w:t>
            </w:r>
          </w:p>
        </w:tc>
      </w:tr>
      <w:tr w:rsidR="009D4BD9" w14:paraId="76A8F6E3" w14:textId="77777777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8F0E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要求高度敏感資訊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EC85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要求顧客提供密碼、完整信用卡號、驗證碼。</w:t>
            </w:r>
          </w:p>
        </w:tc>
      </w:tr>
      <w:tr w:rsidR="009D4BD9" w14:paraId="0321915C" w14:textId="77777777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46CB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違反退貨/退款政策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B3A8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明確不符合條件卻承諾可退貨或退款。</w:t>
            </w:r>
          </w:p>
        </w:tc>
      </w:tr>
      <w:tr w:rsidR="009D4BD9" w14:paraId="3F12D526" w14:textId="77777777">
        <w:trPr>
          <w:trHeight w:val="585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2260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未授權承諾操作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8B4F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宣稱已退款、已取消訂單、已修改地址，但實際無權限或未執行。</w:t>
            </w:r>
          </w:p>
        </w:tc>
      </w:tr>
      <w:tr w:rsidR="009D4BD9" w14:paraId="5BC43E0C" w14:textId="77777777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7EAD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超出補償規則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94AB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任意承諾折扣、賠償、補償。</w:t>
            </w:r>
          </w:p>
        </w:tc>
      </w:tr>
    </w:tbl>
    <w:p w14:paraId="128D3DF6" w14:textId="77777777" w:rsidR="009D4BD9" w:rsidRDefault="00000000">
      <w:pPr>
        <w:spacing w:after="200"/>
      </w:pPr>
      <w:r>
        <w:t xml:space="preserve"> </w:t>
      </w:r>
    </w:p>
    <w:p w14:paraId="4F8EB38C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建議採用 score cap，而非 hard zero：</w:t>
      </w:r>
    </w:p>
    <w:p w14:paraId="308AF001" w14:textId="77777777" w:rsidR="009D4BD9" w:rsidRDefault="00000000">
      <w:pPr>
        <w:spacing w:after="200"/>
      </w:pPr>
      <w:r>
        <w:t>S_raw = w1*S_Outcome + w2*S_Tool + w3*S_Trajectory + w4*S_Efficiency</w:t>
      </w:r>
    </w:p>
    <w:p w14:paraId="5D2630A7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若 I_fatal = 0，S_Agent = S_raw；若 I_fatal = 1，S_Agent = min(S_raw, Cap_fatal)。建議 Cap_fatal = 40。</w:t>
      </w:r>
    </w:p>
    <w:p w14:paraId="1D254BCA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9" w:name="_m617inq2itld" w:colFirst="0" w:colLast="0"/>
      <w:bookmarkEnd w:id="9"/>
      <w:r>
        <w:rPr>
          <w:color w:val="000000"/>
          <w:sz w:val="34"/>
          <w:szCs w:val="34"/>
        </w:rPr>
        <w:t xml:space="preserve">2.7 Agent </w:t>
      </w:r>
      <w:r>
        <w:rPr>
          <w:rFonts w:ascii="MS Gothic" w:eastAsia="MS Gothic" w:hAnsi="MS Gothic" w:cs="MS Gothic"/>
          <w:color w:val="000000"/>
          <w:sz w:val="34"/>
          <w:szCs w:val="34"/>
        </w:rPr>
        <w:t>技術表現分數</w:t>
      </w:r>
    </w:p>
    <w:p w14:paraId="3AD9450C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建議公式：S_raw = 0.35*S_Outcome + 0.25*S_Tool + 0.20*S_Trajectory + 0.20*S_Efficiency</w:t>
      </w:r>
    </w:p>
    <w:p w14:paraId="3C3AADD5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若 I_fatal=0：S_Agent = S_raw；若 I_fatal=1：S_Agent = min(S_raw, 40)。</w:t>
      </w:r>
    </w:p>
    <w:p w14:paraId="322BA15E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註：權重可依研究重點調整，建議進行敏感度分析，例如比較 0.35/0.25/0.20/0.20 與等權重設定是否改變架構排名。</w:t>
      </w:r>
    </w:p>
    <w:p w14:paraId="4EDA5695" w14:textId="77777777" w:rsidR="009D4BD9" w:rsidRDefault="00000000">
      <w:pPr>
        <w:pStyle w:val="2"/>
        <w:spacing w:before="360" w:after="80"/>
        <w:rPr>
          <w:rFonts w:ascii="MS Gothic" w:eastAsia="MS Gothic" w:hAnsi="MS Gothic" w:cs="MS Gothic"/>
          <w:color w:val="000000"/>
          <w:sz w:val="34"/>
          <w:szCs w:val="34"/>
        </w:rPr>
      </w:pPr>
      <w:bookmarkStart w:id="10" w:name="_7u8ayz7oc5sz" w:colFirst="0" w:colLast="0"/>
      <w:bookmarkEnd w:id="10"/>
      <w:r>
        <w:rPr>
          <w:color w:val="000000"/>
          <w:sz w:val="34"/>
          <w:szCs w:val="34"/>
        </w:rPr>
        <w:t>2.8 ProxyCost</w:t>
      </w:r>
      <w:r>
        <w:rPr>
          <w:rFonts w:ascii="MS Gothic" w:eastAsia="MS Gothic" w:hAnsi="MS Gothic" w:cs="MS Gothic"/>
          <w:color w:val="000000"/>
          <w:sz w:val="34"/>
          <w:szCs w:val="34"/>
        </w:rPr>
        <w:t>、</w:t>
      </w:r>
      <w:r>
        <w:rPr>
          <w:color w:val="000000"/>
          <w:sz w:val="34"/>
          <w:szCs w:val="34"/>
        </w:rPr>
        <w:t xml:space="preserve">NetValue </w:t>
      </w:r>
      <w:r>
        <w:rPr>
          <w:rFonts w:ascii="MS Gothic" w:eastAsia="MS Gothic" w:hAnsi="MS Gothic" w:cs="MS Gothic"/>
          <w:color w:val="000000"/>
          <w:sz w:val="34"/>
          <w:szCs w:val="34"/>
        </w:rPr>
        <w:t>與相對邊際效益</w:t>
      </w:r>
    </w:p>
    <w:p w14:paraId="29387E41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由於目前研究比較的是四種 Agent 架構，而非 Agent 與人工客服，因此不使用人工客服成本 C_human 作為核心基準。建議使用成本調整後淨價值 NetValue。</w:t>
      </w:r>
    </w:p>
    <w:p w14:paraId="77503B35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TokenNorm = Token_a,i / max(Token)；LLMCallNorm = N_LLM,a,i / max(N_LLM)；ToolCallNorm = N_Tool,a,i / max(N_Tool)</w:t>
      </w:r>
    </w:p>
    <w:p w14:paraId="5BFC57EA" w14:textId="77777777" w:rsidR="009D4BD9" w:rsidRDefault="00000000">
      <w:pPr>
        <w:spacing w:after="200"/>
      </w:pPr>
      <w:r>
        <w:t>ProxyCost = 100*(0.5*TokenNorm + 0.3*LLMCallNorm + 0.2*ToolCallNorm)</w:t>
      </w:r>
    </w:p>
    <w:p w14:paraId="7AC588FE" w14:textId="77777777" w:rsidR="009D4BD9" w:rsidRDefault="00000000">
      <w:pPr>
        <w:spacing w:after="200"/>
      </w:pPr>
      <w:r>
        <w:t>NetValue(a,i) = V_i * S_Agent(a,i)/100 - lambda * ProxyCost(a,i)</w:t>
      </w:r>
    </w:p>
    <w:p w14:paraId="07256213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建議 lambda = 0.01，使 ProxyCost 尺度與 V_i*S_Agent/100 接近。</w:t>
      </w:r>
    </w:p>
    <w:p w14:paraId="403038A9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相對 single-shot 的邊際效益：Delta_MB(a,i) = NetValue(a,i) - NetValue(single,i)。</w:t>
      </w:r>
    </w:p>
    <w:tbl>
      <w:tblPr>
        <w:tblStyle w:val="ac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980"/>
        <w:gridCol w:w="4830"/>
      </w:tblGrid>
      <w:tr w:rsidR="009D4BD9" w14:paraId="4D01F0EC" w14:textId="77777777">
        <w:trPr>
          <w:trHeight w:val="3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A895C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任務難度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4395B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任務價值 V_i</w:t>
            </w: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934F9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建議定義</w:t>
            </w:r>
          </w:p>
        </w:tc>
      </w:tr>
      <w:tr w:rsidR="009D4BD9" w14:paraId="3BF8C619" w14:textId="77777777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47DFA" w14:textId="77777777" w:rsidR="009D4BD9" w:rsidRDefault="00000000">
            <w:pPr>
              <w:spacing w:line="276" w:lineRule="auto"/>
            </w:pPr>
            <w:r>
              <w:lastRenderedPageBreak/>
              <w:t>Easy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1BD69" w14:textId="77777777" w:rsidR="009D4BD9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139A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單步驟、資訊完整、不需或只需簡單工具。</w:t>
            </w:r>
          </w:p>
        </w:tc>
      </w:tr>
      <w:tr w:rsidR="009D4BD9" w14:paraId="7692017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48E0A" w14:textId="77777777" w:rsidR="009D4BD9" w:rsidRDefault="00000000">
            <w:pPr>
              <w:spacing w:line="276" w:lineRule="auto"/>
            </w:pPr>
            <w:r>
              <w:t>Medium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9F11E" w14:textId="77777777" w:rsidR="009D4BD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403C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需要 1-2 個工具或基本政策判斷。</w:t>
            </w:r>
          </w:p>
        </w:tc>
      </w:tr>
      <w:tr w:rsidR="009D4BD9" w14:paraId="1F60123E" w14:textId="77777777">
        <w:trPr>
          <w:trHeight w:val="585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F556C" w14:textId="77777777" w:rsidR="009D4BD9" w:rsidRDefault="00000000">
            <w:pPr>
              <w:spacing w:line="276" w:lineRule="auto"/>
            </w:pPr>
            <w:r>
              <w:t>Hard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D01C1" w14:textId="77777777" w:rsidR="009D4BD9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903B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多步驟、多工具、資訊不完整、需政策推理或錯誤修正。</w:t>
            </w:r>
          </w:p>
        </w:tc>
      </w:tr>
    </w:tbl>
    <w:p w14:paraId="43A8A60C" w14:textId="77777777" w:rsidR="009D4BD9" w:rsidRDefault="00000000">
      <w:pPr>
        <w:spacing w:after="200"/>
      </w:pPr>
      <w:r>
        <w:t xml:space="preserve"> </w:t>
      </w:r>
    </w:p>
    <w:p w14:paraId="5ADC0A12" w14:textId="77777777" w:rsidR="009D4BD9" w:rsidRDefault="00000000">
      <w:pPr>
        <w:pStyle w:val="1"/>
        <w:spacing w:before="480" w:after="120"/>
        <w:rPr>
          <w:rFonts w:ascii="MS Gothic" w:eastAsia="MS Gothic" w:hAnsi="MS Gothic" w:cs="MS Gothic"/>
          <w:color w:val="000000"/>
          <w:sz w:val="46"/>
          <w:szCs w:val="46"/>
        </w:rPr>
      </w:pPr>
      <w:bookmarkStart w:id="11" w:name="_n4158i9bvljn" w:colFirst="0" w:colLast="0"/>
      <w:bookmarkStart w:id="12" w:name="_i9n7ix30o2dp" w:colFirst="0" w:colLast="0"/>
      <w:bookmarkStart w:id="13" w:name="_ia72t0vai46o" w:colFirst="0" w:colLast="0"/>
      <w:bookmarkStart w:id="14" w:name="_v786q846v0ki" w:colFirst="0" w:colLast="0"/>
      <w:bookmarkEnd w:id="11"/>
      <w:bookmarkEnd w:id="12"/>
      <w:bookmarkEnd w:id="13"/>
      <w:bookmarkEnd w:id="14"/>
      <w:r>
        <w:rPr>
          <w:color w:val="000000"/>
          <w:sz w:val="46"/>
          <w:szCs w:val="46"/>
        </w:rPr>
        <w:t xml:space="preserve">6. </w:t>
      </w:r>
      <w:r>
        <w:rPr>
          <w:rFonts w:ascii="MS Gothic" w:eastAsia="MS Gothic" w:hAnsi="MS Gothic" w:cs="MS Gothic"/>
          <w:color w:val="000000"/>
          <w:sz w:val="46"/>
          <w:szCs w:val="46"/>
        </w:rPr>
        <w:t>仍需進一步討論或決定的內容</w:t>
      </w:r>
    </w:p>
    <w:tbl>
      <w:tblPr>
        <w:tblStyle w:val="af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3255"/>
        <w:gridCol w:w="3615"/>
      </w:tblGrid>
      <w:tr w:rsidR="009D4BD9" w14:paraId="71EA7618" w14:textId="77777777">
        <w:trPr>
          <w:trHeight w:val="30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B4408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議題</w:t>
            </w:r>
          </w:p>
        </w:tc>
        <w:tc>
          <w:tcPr>
            <w:tcW w:w="32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DCB8A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為什麼需要討論</w:t>
            </w:r>
          </w:p>
        </w:tc>
        <w:tc>
          <w:tcPr>
            <w:tcW w:w="3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61E70" w14:textId="77777777" w:rsidR="009D4BD9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建議處理方式</w:t>
            </w:r>
          </w:p>
        </w:tc>
      </w:tr>
      <w:tr w:rsidR="009D4BD9" w14:paraId="7E57B96D" w14:textId="77777777">
        <w:trPr>
          <w:trHeight w:val="114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16B8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任務難度定義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7212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研究結論依賴 Easy/Medium/Hard 分組，若定義不清會影響 validity。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F28A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建立 Task Complexity Index：steps、tools required、ambiguity、policy dependency、risk。</w:t>
            </w:r>
          </w:p>
        </w:tc>
      </w:tr>
      <w:tr w:rsidR="009D4BD9" w14:paraId="45165921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1893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權重設定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A4F02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0.35/0.25/0.20/0.20 與 0.6/0.4 都是研究設計假設。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5F0D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進行敏感度分析，確認排名是否穩定。</w:t>
            </w:r>
          </w:p>
        </w:tc>
      </w:tr>
      <w:tr w:rsidR="009D4BD9" w14:paraId="74762425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610B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S_Grounding 與 I_fatal 邊界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C327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兩者都可能涉及政策或資料一致性，需避免重複計分。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9E8D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Grounding 處理一般依據不足；I_fatal 只處理洩密與明確政策違規。</w:t>
            </w:r>
          </w:p>
        </w:tc>
      </w:tr>
      <w:tr w:rsidR="009D4BD9" w14:paraId="14DDAA4C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5878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I_fatal 的 score cap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CB855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Cap=40 是否過嚴或過寬會影響結果。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8659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可比較 hard zero、cap=30、cap=40、severity penalty。</w:t>
            </w:r>
          </w:p>
        </w:tc>
      </w:tr>
      <w:tr w:rsidR="009D4BD9" w14:paraId="557DB2C3" w14:textId="77777777">
        <w:trPr>
          <w:trHeight w:val="85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ADCA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LLM Judge 信度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0EC7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Judge 可能偏誤或不穩定。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C17E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去除 architecture label、固定 rubric、人工抽樣複核、計算一致性。</w:t>
            </w:r>
          </w:p>
        </w:tc>
      </w:tr>
      <w:tr w:rsidR="009D4BD9" w14:paraId="66D23298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FC55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Tool score 的標準答案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3A1E1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若 expected tools 標註不一致，工具分數會失真。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622C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建立 task-level expected tools 與 valid alternatives。</w:t>
            </w:r>
          </w:p>
        </w:tc>
      </w:tr>
      <w:tr w:rsidR="009D4BD9" w14:paraId="031F8C48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BD16E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ProxyCost 尺度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E2520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lambda=0.01 與權重 0.5/0.3/0.2 會影響 NetValue。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3375B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用敏感度分析或實際 API 價格校準。</w:t>
            </w:r>
          </w:p>
        </w:tc>
      </w:tr>
      <w:tr w:rsidR="009D4BD9" w14:paraId="67A93835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5611F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多次執行穩定性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BE09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LLM agent 有隨機性，單次執行可能不穩。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3FB38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每個 task-architecture 至少執行 3 次，報告 mean、SD。</w:t>
            </w:r>
          </w:p>
        </w:tc>
      </w:tr>
      <w:tr w:rsidR="009D4BD9" w14:paraId="43C19130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E312D" w14:textId="77777777" w:rsidR="009D4BD9" w:rsidRDefault="00000000">
            <w:pPr>
              <w:spacing w:line="276" w:lineRule="auto"/>
            </w:pPr>
            <w:r>
              <w:t>Adversarial cases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18914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客服場景可能遇到要求洩密、要求違規退款等惡意輸入。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4962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加入少量 prompt injection / social engineering 任務。</w:t>
            </w:r>
          </w:p>
        </w:tc>
      </w:tr>
      <w:tr w:rsidR="009D4BD9" w14:paraId="718633A8" w14:textId="77777777">
        <w:trPr>
          <w:trHeight w:val="58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BC6A9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是否納入 Escalation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134A3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真實客服中，適時要求更多資訊或轉人工很重要。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D12C6" w14:textId="77777777" w:rsidR="009D4BD9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若實驗允許，新增 EscalationAppropriateness。</w:t>
            </w:r>
          </w:p>
        </w:tc>
      </w:tr>
    </w:tbl>
    <w:p w14:paraId="4478AC71" w14:textId="77777777" w:rsidR="009D4BD9" w:rsidRDefault="00000000">
      <w:pPr>
        <w:spacing w:after="200"/>
      </w:pPr>
      <w:r>
        <w:t xml:space="preserve"> </w:t>
      </w:r>
    </w:p>
    <w:p w14:paraId="647C40FE" w14:textId="77777777" w:rsidR="009D4BD9" w:rsidRDefault="00000000">
      <w:pPr>
        <w:pStyle w:val="1"/>
        <w:spacing w:before="480" w:after="120"/>
        <w:rPr>
          <w:rFonts w:ascii="MS Gothic" w:eastAsia="MS Gothic" w:hAnsi="MS Gothic" w:cs="MS Gothic"/>
          <w:color w:val="000000"/>
          <w:sz w:val="46"/>
          <w:szCs w:val="46"/>
        </w:rPr>
      </w:pPr>
      <w:bookmarkStart w:id="15" w:name="_kn9amkc2izq0" w:colFirst="0" w:colLast="0"/>
      <w:bookmarkEnd w:id="15"/>
      <w:r>
        <w:rPr>
          <w:color w:val="000000"/>
          <w:sz w:val="46"/>
          <w:szCs w:val="46"/>
        </w:rPr>
        <w:t xml:space="preserve">7. </w:t>
      </w:r>
      <w:r>
        <w:rPr>
          <w:rFonts w:ascii="MS Gothic" w:eastAsia="MS Gothic" w:hAnsi="MS Gothic" w:cs="MS Gothic"/>
          <w:color w:val="000000"/>
          <w:sz w:val="46"/>
          <w:szCs w:val="46"/>
        </w:rPr>
        <w:t>參考文獻與方法依據</w:t>
      </w:r>
    </w:p>
    <w:p w14:paraId="0DD6373A" w14:textId="77777777" w:rsidR="009D4BD9" w:rsidRDefault="00000000">
      <w:pPr>
        <w:spacing w:after="200"/>
      </w:pPr>
      <w:r>
        <w:rPr>
          <w:rFonts w:ascii="Arial Unicode MS" w:eastAsia="Arial Unicode MS" w:hAnsi="Arial Unicode MS" w:cs="Arial Unicode MS"/>
        </w:rPr>
        <w:t>以下文獻與實務資料可用於支持本研究的客服品質評估、agent trajectory/tool-use evaluation、安全與合規 gate、LLM judge 驗證、以及 observability/成本衡量。</w:t>
      </w:r>
    </w:p>
    <w:p w14:paraId="6E117593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[1] </w:t>
      </w:r>
      <w:r>
        <w:rPr>
          <w:rFonts w:ascii="Arial Unicode MS" w:eastAsia="Arial Unicode MS" w:hAnsi="Arial Unicode MS" w:cs="Arial Unicode MS"/>
        </w:rPr>
        <w:t xml:space="preserve">Møller et al. (2025). Evaluating User Satisfaction in AI Chatbots. ACM. 提出針對 customer support AI chatbots 的使用者滿意度量測工具，支持 AnswerQuality、清楚度與客服品質。 </w:t>
      </w:r>
      <w:r>
        <w:rPr>
          <w:color w:val="0563C1"/>
          <w:u w:val="single"/>
        </w:rPr>
        <w:t>https://dl.acm.org/doi/10.1145/3704137.3704182</w:t>
      </w:r>
    </w:p>
    <w:p w14:paraId="2ED86983" w14:textId="77777777" w:rsidR="009D4BD9" w:rsidRDefault="00000000">
      <w:pPr>
        <w:spacing w:after="200"/>
        <w:ind w:left="560" w:hanging="280"/>
      </w:pPr>
      <w:r>
        <w:lastRenderedPageBreak/>
        <w:t xml:space="preserve"> </w:t>
      </w:r>
    </w:p>
    <w:p w14:paraId="3F5489A7" w14:textId="77777777" w:rsidR="009D4BD9" w:rsidRDefault="00000000">
      <w:pPr>
        <w:spacing w:after="200"/>
        <w:rPr>
          <w:color w:val="0563C1"/>
          <w:u w:val="single"/>
        </w:rPr>
      </w:pPr>
      <w:r>
        <w:rPr>
          <w:b/>
          <w:bCs/>
        </w:rPr>
        <w:t xml:space="preserve">[2] </w:t>
      </w:r>
      <w:r>
        <w:rPr>
          <w:rFonts w:ascii="Arial Unicode MS" w:eastAsia="Arial Unicode MS" w:hAnsi="Arial Unicode MS" w:cs="Arial Unicode MS"/>
        </w:rPr>
        <w:t xml:space="preserve">Yehudai et al. (2025). A Survey on Evaluation of LLM-based Agents. arXiv. 整理 LLM agents 的 planning、tool use、benchmarks 與 developer evaluation frameworks。 </w:t>
      </w:r>
      <w:r>
        <w:rPr>
          <w:color w:val="0563C1"/>
          <w:u w:val="single"/>
        </w:rPr>
        <w:t>https://arxiv.org/pdf/2503.16416</w:t>
      </w:r>
    </w:p>
    <w:p w14:paraId="293194F3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[3] </w:t>
      </w:r>
      <w:r>
        <w:rPr>
          <w:rFonts w:ascii="Arial Unicode MS" w:eastAsia="Arial Unicode MS" w:hAnsi="Arial Unicode MS" w:cs="Arial Unicode MS"/>
        </w:rPr>
        <w:t xml:space="preserve">LangChain / LangSmith. Evaluate a complex agent. 區分 final response、trajectory 與 single-step evaluation，支持 case-level scoring 與 trajectory evaluation。 </w:t>
      </w:r>
      <w:r>
        <w:rPr>
          <w:color w:val="0563C1"/>
          <w:u w:val="single"/>
        </w:rPr>
        <w:t>https://docs.langchain.com/langsmith/evaluate-complex-agent</w:t>
      </w:r>
    </w:p>
    <w:p w14:paraId="6E2BFA7A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[4] </w:t>
      </w:r>
      <w:r>
        <w:rPr>
          <w:rFonts w:ascii="Arial Unicode MS" w:eastAsia="Arial Unicode MS" w:hAnsi="Arial Unicode MS" w:cs="Arial Unicode MS"/>
        </w:rPr>
        <w:t xml:space="preserve">LangChain. LLM Evaluation Framework: Trajectories vs. Outputs. 說明客服 refund agent 等 multi-turn agent 不能只看 final output，需檢查 full trace 與工具呼叫。 </w:t>
      </w:r>
      <w:r>
        <w:rPr>
          <w:color w:val="0563C1"/>
          <w:u w:val="single"/>
        </w:rPr>
        <w:t>https://www.langchain.com/articles/llm-evaluation-framework</w:t>
      </w:r>
    </w:p>
    <w:p w14:paraId="2835101C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[5] </w:t>
      </w:r>
      <w:r>
        <w:rPr>
          <w:rFonts w:ascii="Arial Unicode MS" w:eastAsia="Arial Unicode MS" w:hAnsi="Arial Unicode MS" w:cs="Arial Unicode MS"/>
        </w:rPr>
        <w:t xml:space="preserve">Kim et al. (2025). Beyond the Final Answer: Evaluating the Reasoning Trajectories of Tool-Augmented Agents / TRACE. 強調工具增強型 agent 的 trajectory 評估需涵蓋效率、幻覺、適應性等面向。 </w:t>
      </w:r>
      <w:r>
        <w:rPr>
          <w:color w:val="0563C1"/>
          <w:u w:val="single"/>
        </w:rPr>
        <w:t>https://arxiv.org/abs/2510.02837</w:t>
      </w:r>
    </w:p>
    <w:p w14:paraId="16B7CA55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[6] </w:t>
      </w:r>
      <w:r>
        <w:rPr>
          <w:rFonts w:ascii="Arial Unicode MS" w:eastAsia="Arial Unicode MS" w:hAnsi="Arial Unicode MS" w:cs="Arial Unicode MS"/>
        </w:rPr>
        <w:t xml:space="preserve">Lu et al. (2024/2025). ToolSandbox: A Stateful, Conversational, Interactive Evaluation Benchmark for LLM Tool Use Capabilities. 支持 stateful、多輪、工具使用能力評估。 </w:t>
      </w:r>
      <w:r>
        <w:rPr>
          <w:color w:val="0563C1"/>
          <w:u w:val="single"/>
        </w:rPr>
        <w:t>https://arxiv.org/abs/2408.04682</w:t>
      </w:r>
    </w:p>
    <w:p w14:paraId="23D9CF49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[7] </w:t>
      </w:r>
      <w:r>
        <w:rPr>
          <w:rFonts w:ascii="Arial Unicode MS" w:eastAsia="Arial Unicode MS" w:hAnsi="Arial Unicode MS" w:cs="Arial Unicode MS"/>
        </w:rPr>
        <w:t xml:space="preserve">Vijayvargiya et al. (2025). OpenAgentSafety: A Comprehensive Framework for Evaluating Real-World AI Agent Safety. 支持 multi-tool agent safety、rule-based + LLM-as-judge 安全檢查。 </w:t>
      </w:r>
      <w:r>
        <w:rPr>
          <w:color w:val="0563C1"/>
          <w:u w:val="single"/>
        </w:rPr>
        <w:t>https://arxiv.org/abs/2507.06134</w:t>
      </w:r>
    </w:p>
    <w:p w14:paraId="75F1E408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[8] </w:t>
      </w:r>
      <w:r>
        <w:rPr>
          <w:rFonts w:ascii="Arial Unicode MS" w:eastAsia="Arial Unicode MS" w:hAnsi="Arial Unicode MS" w:cs="Arial Unicode MS"/>
        </w:rPr>
        <w:t xml:space="preserve">OpenAI Cookbook / Evals. Getting Started with OpenAI Evals. 提醒 model grading 有錯誤率，需先用 human evaluation 驗證後再大規模使用。 </w:t>
      </w:r>
      <w:r>
        <w:rPr>
          <w:color w:val="0563C1"/>
          <w:u w:val="single"/>
        </w:rPr>
        <w:t>https://developers.openai.com/cookbook/examples/evaluation/getting_started_with_openai_evals</w:t>
      </w:r>
    </w:p>
    <w:p w14:paraId="5BC5EFCE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[9] </w:t>
      </w:r>
      <w:r>
        <w:rPr>
          <w:rFonts w:ascii="Arial Unicode MS" w:eastAsia="Arial Unicode MS" w:hAnsi="Arial Unicode MS" w:cs="Arial Unicode MS"/>
        </w:rPr>
        <w:t xml:space="preserve">Langfuse. Agent Evaluation / Chatbot analytics. 支持 observability 指標，如 trace、response time、cost metrics、error rates。 </w:t>
      </w:r>
      <w:r>
        <w:rPr>
          <w:color w:val="0563C1"/>
          <w:u w:val="single"/>
        </w:rPr>
        <w:t>https://langfuse.com/guides/cookbook/example_pydantic_ai_mcp_agent_evaluation</w:t>
      </w:r>
    </w:p>
    <w:p w14:paraId="538D9710" w14:textId="77777777" w:rsidR="009D4BD9" w:rsidRDefault="00000000">
      <w:pPr>
        <w:spacing w:after="200"/>
        <w:ind w:left="560" w:hanging="280"/>
        <w:rPr>
          <w:color w:val="0563C1"/>
          <w:u w:val="single"/>
        </w:rPr>
      </w:pPr>
      <w:r>
        <w:rPr>
          <w:b/>
          <w:bCs/>
        </w:rPr>
        <w:t xml:space="preserve">[10] </w:t>
      </w:r>
      <w:r>
        <w:rPr>
          <w:rFonts w:ascii="Arial Unicode MS" w:eastAsia="Arial Unicode MS" w:hAnsi="Arial Unicode MS" w:cs="Arial Unicode MS"/>
        </w:rPr>
        <w:t xml:space="preserve">Ada. Customer service metrics guide. 實務上常追蹤 FCR、CSAT、resolution 等客服營運指標，可作為本研究 SuccessRate 與客服品質指標的延伸依據。 </w:t>
      </w:r>
      <w:r>
        <w:rPr>
          <w:color w:val="0563C1"/>
          <w:u w:val="single"/>
        </w:rPr>
        <w:t>https://www.ada.cx/blog/the-ultimate-guide-to-customer-service-metrics-from-fcr-to-csat-and-beyond/</w:t>
      </w:r>
    </w:p>
    <w:p w14:paraId="223C174C" w14:textId="77777777" w:rsidR="009D4BD9" w:rsidRPr="008C4909" w:rsidRDefault="009D4BD9">
      <w:bookmarkStart w:id="16" w:name="_u6tas3yl7rm5" w:colFirst="0" w:colLast="0"/>
      <w:bookmarkEnd w:id="16"/>
    </w:p>
    <w:sectPr w:rsidR="009D4BD9" w:rsidRPr="008C4909"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A2C286-1EB4-4377-95E9-6020E002A7D6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2" w:subsetted="1" w:fontKey="{7245E1CC-321D-43B2-AD29-C022830967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FF4989-E8A9-477A-ADFA-7FE53D2507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BF816C-1A56-442D-A363-90825679FF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BD9"/>
    <w:rsid w:val="008C4909"/>
    <w:rsid w:val="009D4BD9"/>
    <w:rsid w:val="009E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A6BB"/>
  <w15:docId w15:val="{3B6FCAE6-8E83-4802-A498-E4DEA41E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0"/>
    </w:pPr>
    <w:rPr>
      <w:rFonts w:eastAsia="Arial"/>
      <w:b/>
      <w:bCs/>
      <w:color w:val="FFFFF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80"/>
      <w:outlineLvl w:val="1"/>
    </w:pPr>
    <w:rPr>
      <w:rFonts w:eastAsia="Arial"/>
      <w:b/>
      <w:bCs/>
      <w:color w:val="FFFFF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dowgojashan</cp:lastModifiedBy>
  <cp:revision>2</cp:revision>
  <dcterms:created xsi:type="dcterms:W3CDTF">2026-05-22T14:21:00Z</dcterms:created>
  <dcterms:modified xsi:type="dcterms:W3CDTF">2026-05-22T14:22:00Z</dcterms:modified>
</cp:coreProperties>
</file>