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color w:val="666666"/>
          <w:sz w:val="24"/>
          <w:szCs w:val="24"/>
        </w:rPr>
        <w:t xml:space="preserve">DSC651 | PROJECT PROPOSAL</w:t>
      </w:r>
    </w:p>
    <w:p>
      <w:pPr>
        <w:spacing w:after="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864"/>
          <w:sz w:val="40"/>
          <w:szCs w:val="40"/>
        </w:rPr>
        <w:t xml:space="preserve">Predictive Modeling of Telco Churn Intention:</w:t>
      </w:r>
    </w:p>
    <w:p>
      <w:pPr>
        <w:spacing w:after="480"/>
        <w:jc w:val="center"/>
      </w:pPr>
      <w:r>
        <w:rPr>
          <w:rFonts w:ascii="Times New Roman" w:cs="Times New Roman" w:eastAsia="Times New Roman" w:hAnsi="Times New Roman"/>
          <w:b/>
          <w:bCs/>
          <w:color w:val="1F3864"/>
          <w:sz w:val="36"/>
          <w:szCs w:val="36"/>
        </w:rPr>
        <w:t xml:space="preserve">An Analytical Dashboard Approach</w:t>
      </w:r>
    </w:p>
    <w:p>
      <w:pPr>
        <w:spacing w:after="80"/>
        <w:jc w:val="center"/>
      </w:pPr>
      <w:r>
        <w:rPr>
          <w:rFonts w:ascii="Times New Roman" w:cs="Times New Roman" w:eastAsia="Times New Roman" w:hAnsi="Times New Roman"/>
          <w:color w:val="444444"/>
          <w:sz w:val="22"/>
          <w:szCs w:val="22"/>
        </w:rPr>
        <w:t xml:space="preserve">Submitted in partial fulfilment of the requirements for</w:t>
      </w:r>
    </w:p>
    <w:p>
      <w:pPr>
        <w:spacing w:after="480"/>
        <w:jc w:val="center"/>
      </w:pPr>
      <w:r>
        <w:rPr>
          <w:rFonts w:ascii="Times New Roman" w:cs="Times New Roman" w:eastAsia="Times New Roman" w:hAnsi="Times New Roman"/>
          <w:b/>
          <w:bCs/>
          <w:color w:val="333333"/>
          <w:sz w:val="24"/>
          <w:szCs w:val="24"/>
        </w:rPr>
        <w:t xml:space="preserve">DSC651 — Data Analytics Project</w:t>
      </w:r>
    </w:p>
    <w:p>
      <w:pPr>
        <w:spacing w:after="80"/>
        <w:jc w:val="center"/>
      </w:pPr>
      <w:r>
        <w:rPr>
          <w:rFonts w:ascii="Times New Roman" w:cs="Times New Roman" w:eastAsia="Times New Roman" w:hAnsi="Times New Roman"/>
          <w:sz w:val="22"/>
          <w:szCs w:val="22"/>
        </w:rPr>
        <w:t xml:space="preserve">Faculty of Computer and Mathematical Sciences</w:t>
      </w:r>
    </w:p>
    <w:p>
      <w:pPr>
        <w:spacing w:after="80"/>
        <w:jc w:val="center"/>
      </w:pPr>
      <w:r>
        <w:rPr>
          <w:rFonts w:ascii="Times New Roman" w:cs="Times New Roman" w:eastAsia="Times New Roman" w:hAnsi="Times New Roman"/>
          <w:b/>
          <w:bCs/>
          <w:sz w:val="24"/>
          <w:szCs w:val="24"/>
        </w:rPr>
        <w:t xml:space="preserve">Universiti Teknologi MARA (UiTM)</w:t>
      </w:r>
    </w:p>
    <w:p>
      <w:pPr>
        <w:spacing w:after="480"/>
        <w:jc w:val="center"/>
      </w:pPr>
      <w:r>
        <w:rPr>
          <w:rFonts w:ascii="Times New Roman" w:cs="Times New Roman" w:eastAsia="Times New Roman" w:hAnsi="Times New Roman"/>
          <w:sz w:val="22"/>
          <w:szCs w:val="22"/>
        </w:rPr>
        <w:t xml:space="preserve">Bachelor of Science (Hons.) in Statistics</w:t>
      </w:r>
    </w:p>
    <w:p>
      <w:pPr>
        <w:spacing w:after="0"/>
        <w:jc w:val="center"/>
      </w:pPr>
      <w:r>
        <w:rPr>
          <w:rFonts w:ascii="Times New Roman" w:cs="Times New Roman" w:eastAsia="Times New Roman" w:hAnsi="Times New Roman"/>
          <w:color w:val="444444"/>
          <w:sz w:val="22"/>
          <w:szCs w:val="22"/>
        </w:rPr>
        <w:t xml:space="preserve">April 2025</w:t>
      </w:r>
    </w:p>
    <w:p>
      <w:pPr>
        <w:spacing w:after="0"/>
      </w:pPr>
      <w:r>
        <w:br w:type="page"/>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1. Introduction and Background of Study</w:t>
      </w:r>
    </w:p>
    <w:p>
      <w:pPr>
        <w:spacing w:after="200" w:line="360" w:lineRule="auto"/>
        <w:jc w:val="both"/>
      </w:pPr>
      <w:r>
        <w:rPr>
          <w:rFonts w:ascii="Times New Roman" w:cs="Times New Roman" w:eastAsia="Times New Roman" w:hAnsi="Times New Roman"/>
          <w:sz w:val="24"/>
          <w:szCs w:val="24"/>
        </w:rPr>
        <w:t xml:space="preserve">The telecommunications industry represents one of the most competitive and data-intensive sectors of the modern global economy. As digital connectivity has become an essential utility for both consumers and enterprises, telecommunications service providers (TSPs) face a persistent and financially consequential challenge: customer churn. Customer churn, formally defined as the voluntary or involuntary discontinuation of service by a subscriber, constitutes a critical operational and strategic concern for TSPs worldwide. The global telecommunications market, valued at over USD 1.8 trillion in 2023, continues to demonstrate extraordinarily high subscriber mobility, with average monthly churn rates typically ranging between 1.5% and 3.5% across mature markets (</w:t>
      </w:r>
      <w:r>
        <w:rPr>
          <w:rFonts w:ascii="Times New Roman" w:cs="Times New Roman" w:eastAsia="Times New Roman" w:hAnsi="Times New Roman"/>
          <w:i/>
          <w:iCs/>
          <w:sz w:val="24"/>
          <w:szCs w:val="24"/>
        </w:rPr>
        <w:t xml:space="preserve">Huang et al., 2022</w:t>
      </w:r>
      <w:r>
        <w:rPr>
          <w:rFonts w:ascii="Times New Roman" w:cs="Times New Roman" w:eastAsia="Times New Roman" w:hAnsi="Times New Roman"/>
          <w:sz w:val="24"/>
          <w:szCs w:val="24"/>
        </w:rPr>
        <w:t xml:space="preserve">). These figures underscore not merely a statistical phenomenon, but a tangible threat to the long-term revenue sustainability of any TSP.</w:t>
      </w:r>
    </w:p>
    <w:p>
      <w:pPr>
        <w:spacing w:after="200" w:line="360" w:lineRule="auto"/>
        <w:jc w:val="both"/>
      </w:pPr>
      <w:r>
        <w:rPr>
          <w:rFonts w:ascii="Times New Roman" w:cs="Times New Roman" w:eastAsia="Times New Roman" w:hAnsi="Times New Roman"/>
          <w:sz w:val="24"/>
          <w:szCs w:val="24"/>
        </w:rPr>
        <w:t xml:space="preserve">The financial implications of customer attrition are well-established in the academic and practitioner literature. Acquiring a new customer has been consistently reported to cost between five and seven times more than retaining an existing one (</w:t>
      </w:r>
      <w:r>
        <w:rPr>
          <w:rFonts w:ascii="Times New Roman" w:cs="Times New Roman" w:eastAsia="Times New Roman" w:hAnsi="Times New Roman"/>
          <w:i/>
          <w:iCs/>
          <w:sz w:val="24"/>
          <w:szCs w:val="24"/>
        </w:rPr>
        <w:t xml:space="preserve">Ahmad et al., 2022</w:t>
      </w:r>
      <w:r>
        <w:rPr>
          <w:rFonts w:ascii="Times New Roman" w:cs="Times New Roman" w:eastAsia="Times New Roman" w:hAnsi="Times New Roman"/>
          <w:sz w:val="24"/>
          <w:szCs w:val="24"/>
        </w:rPr>
        <w:t xml:space="preserve">). In the telecommunications context, this economic asymmetry is further magnified by the substantial infrastructure investment required to onboard new subscribers, including device subsidies, installation costs, and introductory pricing schemes. Consequently, even marginal improvements in customer retention rates translate directly into disproportionate gains in profitability and customer lifetime value (CLV). The strategic imperative of churn reduction has therefore elevated customer analytics from a secondary management function to a core business intelligence priority.</w:t>
      </w:r>
    </w:p>
    <w:p>
      <w:pPr>
        <w:spacing w:after="200" w:line="360" w:lineRule="auto"/>
        <w:jc w:val="both"/>
      </w:pPr>
      <w:r>
        <w:rPr>
          <w:rFonts w:ascii="Times New Roman" w:cs="Times New Roman" w:eastAsia="Times New Roman" w:hAnsi="Times New Roman"/>
          <w:sz w:val="24"/>
          <w:szCs w:val="24"/>
        </w:rPr>
        <w:t xml:space="preserve">Contemporary literature has increasingly documented the shift from reactive to proactive customer retention strategies, driven by the proliferation of advanced analytical tools and machine learning methodologies. Traditional statistical models such as logistic regression and survival analysis, while foundational, have been augmented by ensemble machine learning approaches — most notably gradient boosting, random forests, and neural networks — which demonstrate superior predictive accuracy in high-dimensional telecommunications datasets (</w:t>
      </w:r>
      <w:r>
        <w:rPr>
          <w:rFonts w:ascii="Times New Roman" w:cs="Times New Roman" w:eastAsia="Times New Roman" w:hAnsi="Times New Roman"/>
          <w:i/>
          <w:iCs/>
          <w:sz w:val="24"/>
          <w:szCs w:val="24"/>
        </w:rPr>
        <w:t xml:space="preserve">Essien &amp; Chukwudi, 2021</w:t>
      </w:r>
      <w:r>
        <w:rPr>
          <w:rFonts w:ascii="Times New Roman" w:cs="Times New Roman" w:eastAsia="Times New Roman" w:hAnsi="Times New Roman"/>
          <w:sz w:val="24"/>
          <w:szCs w:val="24"/>
        </w:rPr>
        <w:t xml:space="preserve">). However, the operationalization of these models within practitioner-accessible, business intelligence (BI) frameworks remains a significant gap in the applied literature, as data science outputs are frequently isolated from the decision-making workflows of marketing and customer operations teams.</w:t>
      </w:r>
    </w:p>
    <w:p>
      <w:pPr>
        <w:spacing w:after="200" w:line="360" w:lineRule="auto"/>
        <w:jc w:val="both"/>
      </w:pPr>
      <w:r>
        <w:rPr>
          <w:rFonts w:ascii="Times New Roman" w:cs="Times New Roman" w:eastAsia="Times New Roman" w:hAnsi="Times New Roman"/>
          <w:sz w:val="24"/>
          <w:szCs w:val="24"/>
        </w:rPr>
        <w:t xml:space="preserve">The emergence of self-service business intelligence platforms has fundamentally transformed the landscape of organizational data utilization. Microsoft Power BI, in particular, has established itself as the dominant BI and data visualization platform globally, consistently recognized as a Leader in the Gartner Magic Quadrant for Analytics and Business Intelligence Platforms (</w:t>
      </w:r>
      <w:r>
        <w:rPr>
          <w:rFonts w:ascii="Times New Roman" w:cs="Times New Roman" w:eastAsia="Times New Roman" w:hAnsi="Times New Roman"/>
          <w:i/>
          <w:iCs/>
          <w:sz w:val="24"/>
          <w:szCs w:val="24"/>
        </w:rPr>
        <w:t xml:space="preserve">Gartner, 2023</w:t>
      </w:r>
      <w:r>
        <w:rPr>
          <w:rFonts w:ascii="Times New Roman" w:cs="Times New Roman" w:eastAsia="Times New Roman" w:hAnsi="Times New Roman"/>
          <w:sz w:val="24"/>
          <w:szCs w:val="24"/>
        </w:rPr>
        <w:t xml:space="preserve">). The platform's capacity to integrate ETL (Extract, Transform, Load) workflows, semantic data modeling via Power Query and the DAX (Data Analysis Expressions) formula language, and richly interactive visual analytics within a single, unified environment positions it as an ideal instrument for bridging the gap between complex statistical insights and actionable managerial decision-making. Recent scholarly work has validated the role of Power BI in enabling evidence-based customer retention strategies by democratizing access to real-time and historical churn indicators (</w:t>
      </w:r>
      <w:r>
        <w:rPr>
          <w:rFonts w:ascii="Times New Roman" w:cs="Times New Roman" w:eastAsia="Times New Roman" w:hAnsi="Times New Roman"/>
          <w:i/>
          <w:iCs/>
          <w:sz w:val="24"/>
          <w:szCs w:val="24"/>
        </w:rPr>
        <w:t xml:space="preserve">Al-Fattah &amp; Ibrahim,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The rapid acceleration of digital transformation across the Asia-Pacific telecommunications landscape has further heightened the urgency of sophisticated churn analytics. The region's mobile penetration rate exceeded 95% in 2023, creating intensely saturated markets where subscriber differentiation is minimal and switching costs are declining (</w:t>
      </w:r>
      <w:r>
        <w:rPr>
          <w:rFonts w:ascii="Times New Roman" w:cs="Times New Roman" w:eastAsia="Times New Roman" w:hAnsi="Times New Roman"/>
          <w:i/>
          <w:iCs/>
          <w:sz w:val="24"/>
          <w:szCs w:val="24"/>
        </w:rPr>
        <w:t xml:space="preserve">GSMA Intelligence, 2023</w:t>
      </w:r>
      <w:r>
        <w:rPr>
          <w:rFonts w:ascii="Times New Roman" w:cs="Times New Roman" w:eastAsia="Times New Roman" w:hAnsi="Times New Roman"/>
          <w:sz w:val="24"/>
          <w:szCs w:val="24"/>
        </w:rPr>
        <w:t xml:space="preserve">). In this environment, TSPs are compelled to leverage customer behavioural, demographic, and transactional data to proactively identify at-risk segments and design targeted retention interventions. The capacity to transform raw customer data into actionable intelligence through descriptive and diagnostic analytics represents a fundamental competency for maintaining competitive positioning.</w:t>
      </w:r>
    </w:p>
    <w:p>
      <w:pPr>
        <w:spacing w:after="200" w:line="360" w:lineRule="auto"/>
        <w:jc w:val="both"/>
      </w:pPr>
      <w:r>
        <w:rPr>
          <w:rFonts w:ascii="Times New Roman" w:cs="Times New Roman" w:eastAsia="Times New Roman" w:hAnsi="Times New Roman"/>
          <w:sz w:val="24"/>
          <w:szCs w:val="24"/>
        </w:rPr>
        <w:t xml:space="preserve">Despite the growing body of literature on churn prediction modelling, a persistent research gap exists at the intersection of statistical analysis and interactive visual analytics. The majority of extant studies focus on algorithmic performance benchmarking, with comparatively limited attention paid to the development of comprehensive, exploratory analytical frameworks that enable practitioners to understand the structural determinants and behavioural correlates of churn through dynamic data visualization (</w:t>
      </w:r>
      <w:r>
        <w:rPr>
          <w:rFonts w:ascii="Times New Roman" w:cs="Times New Roman" w:eastAsia="Times New Roman" w:hAnsi="Times New Roman"/>
          <w:i/>
          <w:iCs/>
          <w:sz w:val="24"/>
          <w:szCs w:val="24"/>
        </w:rPr>
        <w:t xml:space="preserve">Verbeke et al., 2023</w:t>
      </w:r>
      <w:r>
        <w:rPr>
          <w:rFonts w:ascii="Times New Roman" w:cs="Times New Roman" w:eastAsia="Times New Roman" w:hAnsi="Times New Roman"/>
          <w:sz w:val="24"/>
          <w:szCs w:val="24"/>
        </w:rPr>
        <w:t xml:space="preserve">). This proposal addresses that gap by developing an analytical dashboard solution using Microsoft Power BI, applied to the widely referenced IBM Telco Customer Churn Dataset, to deliver a robust platform for descriptive and diagnostic churn analytics.</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2. Problem Statement</w:t>
      </w:r>
    </w:p>
    <w:p>
      <w:pPr>
        <w:spacing w:after="200" w:line="360" w:lineRule="auto"/>
        <w:jc w:val="both"/>
      </w:pPr>
      <w:r>
        <w:rPr>
          <w:rFonts w:ascii="Times New Roman" w:cs="Times New Roman" w:eastAsia="Times New Roman" w:hAnsi="Times New Roman"/>
          <w:sz w:val="24"/>
          <w:szCs w:val="24"/>
        </w:rPr>
        <w:t xml:space="preserve">Despite the significant investments that telecommunications service providers make in customer acquisition and service delivery, the industry continues to suffer disproportionately high rates of voluntary subscriber attrition. The inability to systematically identify customers at elevated risk of churning — prior to the point of contract termination — represents both an operational inefficiency and a missed revenue opportunity. Globally, TSPs lose an estimated USD 394 billion annually to customer churn, with a substantial proportion of this loss attributable to the failure of organizations to leverage available customer data in a timely and analytically rigorous manner (</w:t>
      </w:r>
      <w:r>
        <w:rPr>
          <w:rFonts w:ascii="Times New Roman" w:cs="Times New Roman" w:eastAsia="Times New Roman" w:hAnsi="Times New Roman"/>
          <w:i/>
          <w:iCs/>
          <w:sz w:val="24"/>
          <w:szCs w:val="24"/>
        </w:rPr>
        <w:t xml:space="preserve">Bhuse et al., 2022</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Within the academic and applied analytics community, two specific and interconnected deficiencies have been identified. First, the data held by telecommunications firms is frequently fragmented across disparate source systems — including CRM platforms, billing engines, network operations databases, and customer service records — rendering holistic analysis difficult without structured data preparation and modeling frameworks. Raw customer data in its unprocessed form suffers from inconsistencies, missing values, incorrectly typed variables, and a lack of derived analytical features, all of which fundamentally compromise the validity of any downstream analysis (</w:t>
      </w:r>
      <w:r>
        <w:rPr>
          <w:rFonts w:ascii="Times New Roman" w:cs="Times New Roman" w:eastAsia="Times New Roman" w:hAnsi="Times New Roman"/>
          <w:i/>
          <w:iCs/>
          <w:sz w:val="24"/>
          <w:szCs w:val="24"/>
        </w:rPr>
        <w:t xml:space="preserve">Han et al., 2023</w:t>
      </w:r>
      <w:r>
        <w:rPr>
          <w:rFonts w:ascii="Times New Roman" w:cs="Times New Roman" w:eastAsia="Times New Roman" w:hAnsi="Times New Roman"/>
          <w:sz w:val="24"/>
          <w:szCs w:val="24"/>
        </w:rPr>
        <w:t xml:space="preserve">). The absence of a structured data preparation methodology that conforms to best practices in data quality management represents a foundational problem that must be addressed before any meaningful analytical insight can be generated.</w:t>
      </w:r>
    </w:p>
    <w:p>
      <w:pPr>
        <w:spacing w:after="200" w:line="360" w:lineRule="auto"/>
        <w:jc w:val="both"/>
      </w:pPr>
      <w:r>
        <w:rPr>
          <w:rFonts w:ascii="Times New Roman" w:cs="Times New Roman" w:eastAsia="Times New Roman" w:hAnsi="Times New Roman"/>
          <w:sz w:val="24"/>
          <w:szCs w:val="24"/>
        </w:rPr>
        <w:t xml:space="preserve">Second, and of equal strategic significance, is the disconnect between the outputs of data analytical processes and the decision-making capacity of non-technical business stakeholders. In many telecommunications firms, churn analyses are produced by data science or IT teams in formats — such as programming scripts, static spreadsheets, or complex model outputs — that are not readily interpretable by marketing managers, customer operations leaders, or executive teams (</w:t>
      </w:r>
      <w:r>
        <w:rPr>
          <w:rFonts w:ascii="Times New Roman" w:cs="Times New Roman" w:eastAsia="Times New Roman" w:hAnsi="Times New Roman"/>
          <w:i/>
          <w:iCs/>
          <w:sz w:val="24"/>
          <w:szCs w:val="24"/>
        </w:rPr>
        <w:t xml:space="preserve">Pouyanfar et al., 2021</w:t>
      </w:r>
      <w:r>
        <w:rPr>
          <w:rFonts w:ascii="Times New Roman" w:cs="Times New Roman" w:eastAsia="Times New Roman" w:hAnsi="Times New Roman"/>
          <w:sz w:val="24"/>
          <w:szCs w:val="24"/>
        </w:rPr>
        <w:t xml:space="preserve">). This communicative gap significantly attenuates the organizational value of churn analytics, as the insights generated cannot be readily translated into targeted retention campaigns or service improvement initiatives. A solution that integrates structured data modeling with intuitive, interactive data visualization is therefore required.</w:t>
      </w:r>
    </w:p>
    <w:p>
      <w:pPr>
        <w:spacing w:after="200" w:line="360" w:lineRule="auto"/>
        <w:jc w:val="both"/>
      </w:pPr>
      <w:r>
        <w:rPr>
          <w:rFonts w:ascii="Times New Roman" w:cs="Times New Roman" w:eastAsia="Times New Roman" w:hAnsi="Times New Roman"/>
          <w:sz w:val="24"/>
          <w:szCs w:val="24"/>
        </w:rPr>
        <w:t xml:space="preserve">Existing studies, while valuable in their algorithmic contributions, have largely neglected the development of integrated analytical environments that serve both the data preparation and visual communication needs of a churn analytics workflow within a single, practitioner-accessible platform. Specifically, there is limited scholarly documentation of how Power BI's full analytical suite — encompassing Power Query for data transformation, the DAX language for computed measure development, and interactive visual layers for exploratory data analysis — can be systematically applied to structure and present telecommunications churn data for descriptive and diagnostic purposes (</w:t>
      </w:r>
      <w:r>
        <w:rPr>
          <w:rFonts w:ascii="Times New Roman" w:cs="Times New Roman" w:eastAsia="Times New Roman" w:hAnsi="Times New Roman"/>
          <w:i/>
          <w:iCs/>
          <w:sz w:val="24"/>
          <w:szCs w:val="24"/>
        </w:rPr>
        <w:t xml:space="preserve">Al-Fattah &amp; Ibrahim, 2023</w:t>
      </w:r>
      <w:r>
        <w:rPr>
          <w:rFonts w:ascii="Times New Roman" w:cs="Times New Roman" w:eastAsia="Times New Roman" w:hAnsi="Times New Roman"/>
          <w:sz w:val="24"/>
          <w:szCs w:val="24"/>
        </w:rPr>
        <w:t xml:space="preserve">). This research directly addresses this gap, providing both a methodological framework and a functional analytical artifact.</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3. Research Objectives</w:t>
      </w:r>
    </w:p>
    <w:p>
      <w:pPr>
        <w:spacing w:after="200" w:line="360" w:lineRule="auto"/>
        <w:jc w:val="both"/>
      </w:pPr>
      <w:r>
        <w:rPr>
          <w:rFonts w:ascii="Times New Roman" w:cs="Times New Roman" w:eastAsia="Times New Roman" w:hAnsi="Times New Roman"/>
          <w:sz w:val="24"/>
          <w:szCs w:val="24"/>
        </w:rPr>
        <w:t xml:space="preserve">The present study is guided by two primary research objectives, each aligned with a distinct phase of the analytical workflow and corresponding to the dual imperatives of data quality and analytical communication identified in the problem statement.</w:t>
      </w:r>
    </w:p>
    <w:p>
      <w:pPr>
        <w:spacing w:after="0"/>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b/>
          <w:bCs/>
          <w:sz w:val="24"/>
          <w:szCs w:val="24"/>
        </w:rPr>
        <w:t xml:space="preserve">Objective 1: Data Preparation and Structural Modeling</w:t>
      </w:r>
    </w:p>
    <w:p>
      <w:pPr>
        <w:spacing w:after="200" w:line="360" w:lineRule="auto"/>
        <w:jc w:val="both"/>
      </w:pPr>
      <w:r>
        <w:rPr>
          <w:rFonts w:ascii="Times New Roman" w:cs="Times New Roman" w:eastAsia="Times New Roman" w:hAnsi="Times New Roman"/>
          <w:sz w:val="24"/>
          <w:szCs w:val="24"/>
        </w:rPr>
        <w:t xml:space="preserve">To clean, transform, and structure the IBM Telco Customer Churn Dataset through a systematic data preparation workflow utilizing Power BI's data modeling capabilities, including Power Query Editor for data type standardization, missing value treatment, and feature engineering, as well as the development of a coherent relational data model with calculated columns and DAX-based measures, ensuring the dataset is analytically valid, internally consistent, and ready for exploratory analysis.</w:t>
      </w:r>
    </w:p>
    <w:p>
      <w:pPr>
        <w:spacing w:after="0"/>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b/>
          <w:bCs/>
          <w:sz w:val="24"/>
          <w:szCs w:val="24"/>
        </w:rPr>
        <w:t xml:space="preserve">Objective 2: Data Presentation and Interactive Visual Analytics</w:t>
      </w:r>
    </w:p>
    <w:p>
      <w:pPr>
        <w:spacing w:after="200" w:line="360" w:lineRule="auto"/>
        <w:jc w:val="both"/>
      </w:pPr>
      <w:r>
        <w:rPr>
          <w:rFonts w:ascii="Times New Roman" w:cs="Times New Roman" w:eastAsia="Times New Roman" w:hAnsi="Times New Roman"/>
          <w:sz w:val="24"/>
          <w:szCs w:val="24"/>
        </w:rPr>
        <w:t xml:space="preserve">To develop a multi-page, interactive Power BI dashboard that presents descriptive and diagnostic analytics of customer churn behavior, incorporating dynamic visual representations of churn rates by demographic, service, and contractual dimensions, drill-through and cross-filtering capabilities, and DAX-powered KPI indicators, thereby enabling stakeholders to explore, interpret, and derive actionable insights from the processed telecommunications churn data.</w:t>
      </w:r>
    </w:p>
    <w:p>
      <w:pPr>
        <w:spacing w:after="0"/>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These objectives are deliberately structured to be sequential and mutually reinforcing: the successful execution of Objective 1 establishes the data infrastructure upon which the analytical visualizations of Objective 2 are built. Together, they constitute a comprehensive analytical pipeline from raw data ingestion to interactive insight delivery, aligned with the descriptive and diagnostic analytics paradigm.</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4. Methodology</w:t>
      </w:r>
    </w:p>
    <w:p>
      <w:pPr>
        <w:pStyle w:val="Heading2"/>
        <w:spacing w:after="160" w:before="320"/>
        <w:jc w:val="left"/>
      </w:pPr>
      <w:r>
        <w:rPr>
          <w:rFonts w:ascii="Times New Roman" w:cs="Times New Roman" w:eastAsia="Times New Roman" w:hAnsi="Times New Roman"/>
          <w:b/>
          <w:bCs/>
          <w:sz w:val="26"/>
          <w:szCs w:val="26"/>
        </w:rPr>
        <w:t xml:space="preserve">4.1 Research Design</w:t>
      </w:r>
    </w:p>
    <w:p>
      <w:pPr>
        <w:spacing w:after="200" w:line="360" w:lineRule="auto"/>
        <w:jc w:val="both"/>
      </w:pPr>
      <w:r>
        <w:rPr>
          <w:rFonts w:ascii="Times New Roman" w:cs="Times New Roman" w:eastAsia="Times New Roman" w:hAnsi="Times New Roman"/>
          <w:sz w:val="24"/>
          <w:szCs w:val="24"/>
        </w:rPr>
        <w:t xml:space="preserve">This study adopts a quantitative analytical research design, grounded in the principles of descriptive and diagnostic analytics. The descriptive analytics component addresses the question of </w:t>
      </w:r>
      <w:r>
        <w:rPr>
          <w:rFonts w:ascii="Times New Roman" w:cs="Times New Roman" w:eastAsia="Times New Roman" w:hAnsi="Times New Roman"/>
          <w:i/>
          <w:iCs/>
          <w:sz w:val="24"/>
          <w:szCs w:val="24"/>
        </w:rPr>
        <w:t xml:space="preserve">what happened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what is currently occurring</w:t>
      </w:r>
      <w:r>
        <w:rPr>
          <w:rFonts w:ascii="Times New Roman" w:cs="Times New Roman" w:eastAsia="Times New Roman" w:hAnsi="Times New Roman"/>
          <w:sz w:val="24"/>
          <w:szCs w:val="24"/>
        </w:rPr>
        <w:t xml:space="preserve"> within the customer base — quantifying churn rates, characterizing churner profiles, and summarizing service usage patterns. The diagnostic analytics component addresses </w:t>
      </w:r>
      <w:r>
        <w:rPr>
          <w:rFonts w:ascii="Times New Roman" w:cs="Times New Roman" w:eastAsia="Times New Roman" w:hAnsi="Times New Roman"/>
          <w:i/>
          <w:iCs/>
          <w:sz w:val="24"/>
          <w:szCs w:val="24"/>
        </w:rPr>
        <w:t xml:space="preserve">why it happened</w:t>
      </w:r>
      <w:r>
        <w:rPr>
          <w:rFonts w:ascii="Times New Roman" w:cs="Times New Roman" w:eastAsia="Times New Roman" w:hAnsi="Times New Roman"/>
          <w:sz w:val="24"/>
          <w:szCs w:val="24"/>
        </w:rPr>
        <w:t xml:space="preserve">, employing comparative analysis, segmentation, and correlation-based visualizations to identify the key predictors and contextual conditions associated with churn behavior (</w:t>
      </w:r>
      <w:r>
        <w:rPr>
          <w:rFonts w:ascii="Times New Roman" w:cs="Times New Roman" w:eastAsia="Times New Roman" w:hAnsi="Times New Roman"/>
          <w:i/>
          <w:iCs/>
          <w:sz w:val="24"/>
          <w:szCs w:val="24"/>
        </w:rPr>
        <w:t xml:space="preserve">Davenport &amp; Harris, 2022</w:t>
      </w:r>
      <w:r>
        <w:rPr>
          <w:rFonts w:ascii="Times New Roman" w:cs="Times New Roman" w:eastAsia="Times New Roman" w:hAnsi="Times New Roman"/>
          <w:sz w:val="24"/>
          <w:szCs w:val="24"/>
        </w:rPr>
        <w:t xml:space="preserve">). The combined application of these two analytics levels, operationalized through an interactive Power BI environment, reflects a practitioner-oriented approach to knowledge generation that prioritizes both analytical rigor and communicative accessibility.</w:t>
      </w:r>
    </w:p>
    <w:p>
      <w:pPr>
        <w:pStyle w:val="Heading2"/>
        <w:spacing w:after="160" w:before="320"/>
        <w:jc w:val="left"/>
      </w:pPr>
      <w:r>
        <w:rPr>
          <w:rFonts w:ascii="Times New Roman" w:cs="Times New Roman" w:eastAsia="Times New Roman" w:hAnsi="Times New Roman"/>
          <w:b/>
          <w:bCs/>
          <w:sz w:val="26"/>
          <w:szCs w:val="26"/>
        </w:rPr>
        <w:t xml:space="preserve">4.2 Data Source and Target Population</w:t>
      </w:r>
    </w:p>
    <w:p>
      <w:pPr>
        <w:spacing w:after="200" w:line="360" w:lineRule="auto"/>
        <w:jc w:val="both"/>
      </w:pPr>
      <w:r>
        <w:rPr>
          <w:rFonts w:ascii="Times New Roman" w:cs="Times New Roman" w:eastAsia="Times New Roman" w:hAnsi="Times New Roman"/>
          <w:sz w:val="24"/>
          <w:szCs w:val="24"/>
        </w:rPr>
        <w:t xml:space="preserve">The dataset employed in this study is the IBM Telco Customer Churn Dataset, a publicly available, synthetic dataset originally published by IBM as a sample dataset for the IBM Watson Analytics platform. The dataset comprises 7,043 individual customer records, each representing a unique subscriber to a fictional telecommunications company based in California. While synthetic in origin, the dataset is structurally representative of real-world telecommunications customer data and is widely utilized in the academic and applied data science literature as a benchmark for churn analysis and predictive modeling (</w:t>
      </w:r>
      <w:r>
        <w:rPr>
          <w:rFonts w:ascii="Times New Roman" w:cs="Times New Roman" w:eastAsia="Times New Roman" w:hAnsi="Times New Roman"/>
          <w:i/>
          <w:iCs/>
          <w:sz w:val="24"/>
          <w:szCs w:val="24"/>
        </w:rPr>
        <w:t xml:space="preserve">Essien &amp; Chukwudi, 2021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Bhuse et al., 2022</w:t>
      </w:r>
      <w:r>
        <w:rPr>
          <w:rFonts w:ascii="Times New Roman" w:cs="Times New Roman" w:eastAsia="Times New Roman" w:hAnsi="Times New Roman"/>
          <w:sz w:val="24"/>
          <w:szCs w:val="24"/>
        </w:rPr>
        <w:t xml:space="preserve">). Its public availability ensures full reproducibility of the research workflow, which is a critical criterion for methodological validity in applied data science.</w:t>
      </w:r>
    </w:p>
    <w:p>
      <w:pPr>
        <w:spacing w:after="200" w:line="360" w:lineRule="auto"/>
        <w:jc w:val="both"/>
      </w:pPr>
      <w:r>
        <w:rPr>
          <w:rFonts w:ascii="Times New Roman" w:cs="Times New Roman" w:eastAsia="Times New Roman" w:hAnsi="Times New Roman"/>
          <w:sz w:val="24"/>
          <w:szCs w:val="24"/>
        </w:rPr>
        <w:t xml:space="preserve">The target population of this study is the complete set of 7,043 customer records contained within the dataset, representing a cross-sectional snapshot of subscriber status and associated behavioral and demographic characteristics at a single point in time. The unit of analysis is the individual customer record. No probabilistic sampling is applied, as the analytical objective is to characterize patterns across the full available dataset rather than to generalize to an external population.</w:t>
      </w:r>
    </w:p>
    <w:p>
      <w:pPr>
        <w:pStyle w:val="Heading2"/>
        <w:spacing w:after="160" w:before="320"/>
        <w:jc w:val="left"/>
      </w:pPr>
      <w:r>
        <w:rPr>
          <w:rFonts w:ascii="Times New Roman" w:cs="Times New Roman" w:eastAsia="Times New Roman" w:hAnsi="Times New Roman"/>
          <w:b/>
          <w:bCs/>
          <w:sz w:val="26"/>
          <w:szCs w:val="26"/>
        </w:rPr>
        <w:t xml:space="preserve">4.3 Variables</w:t>
      </w:r>
    </w:p>
    <w:p>
      <w:pPr>
        <w:spacing w:after="200" w:line="360" w:lineRule="auto"/>
        <w:jc w:val="both"/>
      </w:pPr>
      <w:r>
        <w:rPr>
          <w:rFonts w:ascii="Times New Roman" w:cs="Times New Roman" w:eastAsia="Times New Roman" w:hAnsi="Times New Roman"/>
          <w:sz w:val="24"/>
          <w:szCs w:val="24"/>
        </w:rPr>
        <w:t xml:space="preserve">The IBM Telco Customer Churn Dataset contains 21 variables spanning four conceptual domains. Table 1 presents a summary of the key variables and their operational categorizations.</w:t>
      </w:r>
    </w:p>
    <w:p>
      <w:pPr>
        <w:spacing w:after="0"/>
      </w:pPr>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2"/>
          <w:szCs w:val="22"/>
        </w:rPr>
        <w:t xml:space="preserve">Table 1</w:t>
      </w:r>
    </w:p>
    <w:p>
      <w:pPr>
        <w:spacing w:after="200"/>
        <w:jc w:val="center"/>
      </w:pPr>
      <w:r>
        <w:rPr>
          <w:rFonts w:ascii="Times New Roman" w:cs="Times New Roman" w:eastAsia="Times New Roman" w:hAnsi="Times New Roman"/>
          <w:i/>
          <w:iCs/>
          <w:sz w:val="22"/>
          <w:szCs w:val="22"/>
        </w:rPr>
        <w:t xml:space="preserve">Summary of Key Variables in the IBM Telco Customer Churn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160"/>
            </w:tcMar>
          </w:tcPr>
          <w:p>
            <w:pPr>
              <w:jc w:val="left"/>
            </w:pPr>
            <w:r>
              <w:rPr>
                <w:rFonts w:ascii="Times New Roman" w:cs="Times New Roman" w:eastAsia="Times New Roman" w:hAnsi="Times New Roman"/>
                <w:b/>
                <w:bCs/>
                <w:sz w:val="22"/>
                <w:szCs w:val="22"/>
              </w:rPr>
              <w:t xml:space="preserve">Variable</w:t>
            </w:r>
          </w:p>
        </w:tc>
        <w:tc>
          <w:tcPr>
            <w:tcW w:type="dxa" w:w="28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160"/>
            </w:tcMar>
          </w:tcPr>
          <w:p>
            <w:pPr>
              <w:jc w:val="left"/>
            </w:pPr>
            <w:r>
              <w:rPr>
                <w:rFonts w:ascii="Times New Roman" w:cs="Times New Roman" w:eastAsia="Times New Roman" w:hAnsi="Times New Roman"/>
                <w:b/>
                <w:bCs/>
                <w:sz w:val="22"/>
                <w:szCs w:val="22"/>
              </w:rPr>
              <w:t xml:space="preserve">Description</w:t>
            </w:r>
          </w:p>
        </w:tc>
        <w:tc>
          <w:tcPr>
            <w:tcW w:type="dxa" w:w="2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160"/>
            </w:tcMar>
          </w:tcPr>
          <w:p>
            <w:pPr>
              <w:jc w:val="left"/>
            </w:pPr>
            <w:r>
              <w:rPr>
                <w:rFonts w:ascii="Times New Roman" w:cs="Times New Roman" w:eastAsia="Times New Roman" w:hAnsi="Times New Roman"/>
                <w:b/>
                <w:bCs/>
                <w:sz w:val="22"/>
                <w:szCs w:val="22"/>
              </w:rPr>
              <w:t xml:space="preserve">Type</w:t>
            </w:r>
          </w:p>
        </w:tc>
        <w:tc>
          <w:tcPr>
            <w:tcW w:type="dxa" w:w="23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160"/>
            </w:tcMar>
          </w:tcPr>
          <w:p>
            <w:pPr>
              <w:jc w:val="left"/>
            </w:pPr>
            <w:r>
              <w:rPr>
                <w:rFonts w:ascii="Times New Roman" w:cs="Times New Roman" w:eastAsia="Times New Roman" w:hAnsi="Times New Roman"/>
                <w:b/>
                <w:bCs/>
                <w:sz w:val="22"/>
                <w:szCs w:val="22"/>
              </w:rPr>
              <w:t xml:space="preserve">Analytical Domain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CustomerID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Unique customer identifier</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Nominal</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Identifier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Churn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Whether the customer churned (Yes/No)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Binary</w:t>
            </w:r>
          </w:p>
        </w:tc>
        <w:tc>
          <w:tcPr>
            <w:tcW w:type="dxa" w:w="23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Target Variable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Gender</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Customer gender (Male/Female)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Nominal</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Demographic</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SeniorCitizen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Whether customer is a senior (1/0)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Binary</w:t>
            </w:r>
          </w:p>
        </w:tc>
        <w:tc>
          <w:tcPr>
            <w:tcW w:type="dxa" w:w="23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Demographic</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Tenure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Months subscribed to service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Continuous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Behavioral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Contract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Contract type (M2M, 1-year, 2-year)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Ordinal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Contractual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MonthlyCharges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Monthly billing amount (USD)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Continuous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Financial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TotalCharges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Cumulative charges over tenure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Continuous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Financial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InternetService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Type of internet service subscribed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Nominal</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Service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PaymentMethod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Mode of bill payment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Nominal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Financial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TechSupport / OnlineSecurity</w:t>
            </w:r>
          </w:p>
        </w:tc>
        <w:tc>
          <w:tcPr>
            <w:tcW w:type="dxa" w:w="28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Add-on service subscriptions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Binary</w:t>
            </w:r>
          </w:p>
        </w:tc>
        <w:tc>
          <w:tcPr>
            <w:tcW w:type="dxa" w:w="2360"/>
            <w:tcBorders>
              <w:top w:val="single" w:color="AAAAAA" w:sz="4"/>
              <w:left w:val="single" w:color="AAAAAA" w:sz="4"/>
              <w:bottom w:val="single" w:color="AAAAAA" w:sz="4"/>
              <w:right w:val="single" w:color="AAAAAA" w:sz="4"/>
            </w:tcBorders>
            <w:shd w:fill="F2F2F2" w:val="clear"/>
            <w:tcMar>
              <w:top w:type="dxa" w:w="80"/>
              <w:left w:type="dxa" w:w="160"/>
              <w:bottom w:type="dxa" w:w="80"/>
              <w:right w:type="dxa" w:w="160"/>
            </w:tcMar>
          </w:tcPr>
          <w:p>
            <w:pPr>
              <w:jc w:val="left"/>
            </w:pPr>
            <w:r>
              <w:rPr>
                <w:rFonts w:ascii="Times New Roman" w:cs="Times New Roman" w:eastAsia="Times New Roman" w:hAnsi="Times New Roman"/>
                <w:b w:val="false"/>
                <w:bCs w:val="false"/>
                <w:sz w:val="22"/>
                <w:szCs w:val="22"/>
              </w:rPr>
              <w:t xml:space="preserve">Service</w:t>
            </w:r>
          </w:p>
        </w:tc>
      </w:tr>
    </w:tbl>
    <w:p>
      <w:pPr>
        <w:spacing w:after="0"/>
      </w:pPr>
      <w:r>
        <w:rPr>
          <w:rFonts w:ascii="Times New Roman" w:cs="Times New Roman" w:eastAsia="Times New Roman" w:hAnsi="Times New Roman"/>
          <w:sz w:val="24"/>
          <w:szCs w:val="24"/>
        </w:rPr>
        <w:t xml:space="preserve"/>
      </w:r>
    </w:p>
    <w:p>
      <w:pPr>
        <w:spacing w:after="280"/>
        <w:jc w:val="left"/>
      </w:pPr>
      <w:r>
        <w:rPr>
          <w:rFonts w:ascii="Times New Roman" w:cs="Times New Roman" w:eastAsia="Times New Roman" w:hAnsi="Times New Roman"/>
          <w:i/>
          <w:iCs/>
          <w:sz w:val="20"/>
          <w:szCs w:val="20"/>
        </w:rPr>
        <w:t xml:space="preserve">Note. M2M = Month-to-Month contract.</w:t>
      </w:r>
    </w:p>
    <w:p>
      <w:pPr>
        <w:pStyle w:val="Heading2"/>
        <w:spacing w:after="160" w:before="320"/>
        <w:jc w:val="left"/>
      </w:pPr>
      <w:r>
        <w:rPr>
          <w:rFonts w:ascii="Times New Roman" w:cs="Times New Roman" w:eastAsia="Times New Roman" w:hAnsi="Times New Roman"/>
          <w:b/>
          <w:bCs/>
          <w:sz w:val="26"/>
          <w:szCs w:val="26"/>
        </w:rPr>
        <w:t xml:space="preserve">4.4 Data Preparation and Modeling (Objective 1)</w:t>
      </w:r>
    </w:p>
    <w:p>
      <w:pPr>
        <w:spacing w:after="200" w:line="360" w:lineRule="auto"/>
        <w:jc w:val="both"/>
      </w:pPr>
      <w:r>
        <w:rPr>
          <w:rFonts w:ascii="Times New Roman" w:cs="Times New Roman" w:eastAsia="Times New Roman" w:hAnsi="Times New Roman"/>
          <w:sz w:val="24"/>
          <w:szCs w:val="24"/>
        </w:rPr>
        <w:t xml:space="preserve">The first phase of the analytical methodology corresponds directly to Objective 1 and encompasses the full data preparation and structural modeling pipeline within Power BI. This phase is executed through three sequential sub-processes: data importation and profiling, data cleaning and transformation via Power Query, and semantic data modeling using DAX.</w:t>
      </w:r>
    </w:p>
    <w:p>
      <w:pPr>
        <w:spacing w:after="200" w:line="360" w:lineRule="auto"/>
        <w:jc w:val="both"/>
      </w:pPr>
      <w:r>
        <w:rPr>
          <w:rFonts w:ascii="Times New Roman" w:cs="Times New Roman" w:eastAsia="Times New Roman" w:hAnsi="Times New Roman"/>
          <w:b/>
          <w:bCs/>
          <w:sz w:val="24"/>
          <w:szCs w:val="24"/>
        </w:rPr>
        <w:t xml:space="preserve">4.4.1 Data Importation and Profiling</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The IBM Telco Customer Churn Dataset will be imported into Power BI Desktop in .CSV format via the native </w:t>
      </w:r>
      <w:r>
        <w:rPr>
          <w:rFonts w:ascii="Times New Roman" w:cs="Times New Roman" w:eastAsia="Times New Roman" w:hAnsi="Times New Roman"/>
          <w:i/>
          <w:iCs/>
          <w:sz w:val="24"/>
          <w:szCs w:val="24"/>
        </w:rPr>
        <w:t xml:space="preserve">Get Data</w:t>
      </w:r>
      <w:r>
        <w:rPr>
          <w:rFonts w:ascii="Times New Roman" w:cs="Times New Roman" w:eastAsia="Times New Roman" w:hAnsi="Times New Roman"/>
          <w:sz w:val="24"/>
          <w:szCs w:val="24"/>
        </w:rPr>
        <w:t xml:space="preserve"> connector. Following importation, Power BI's built-in </w:t>
      </w:r>
      <w:r>
        <w:rPr>
          <w:rFonts w:ascii="Times New Roman" w:cs="Times New Roman" w:eastAsia="Times New Roman" w:hAnsi="Times New Roman"/>
          <w:i/>
          <w:iCs/>
          <w:sz w:val="24"/>
          <w:szCs w:val="24"/>
        </w:rPr>
        <w:t xml:space="preserve">Column Quality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Column Distribution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Column Profile</w:t>
      </w:r>
      <w:r>
        <w:rPr>
          <w:rFonts w:ascii="Times New Roman" w:cs="Times New Roman" w:eastAsia="Times New Roman" w:hAnsi="Times New Roman"/>
          <w:sz w:val="24"/>
          <w:szCs w:val="24"/>
        </w:rPr>
        <w:t xml:space="preserve"> features within Power Query Editor will be activated to produce a systematic data quality audit. This profiling process will identify the prevalence and distribution of null values (notably in the </w:t>
      </w:r>
      <w:r>
        <w:rPr>
          <w:rFonts w:ascii="Times New Roman" w:cs="Times New Roman" w:eastAsia="Times New Roman" w:hAnsi="Times New Roman"/>
          <w:i/>
          <w:iCs/>
          <w:sz w:val="24"/>
          <w:szCs w:val="24"/>
        </w:rPr>
        <w:t xml:space="preserve">TotalCharges</w:t>
      </w:r>
      <w:r>
        <w:rPr>
          <w:rFonts w:ascii="Times New Roman" w:cs="Times New Roman" w:eastAsia="Times New Roman" w:hAnsi="Times New Roman"/>
          <w:sz w:val="24"/>
          <w:szCs w:val="24"/>
        </w:rPr>
        <w:t xml:space="preserve"> variable, which is known to contain blank entries for customers with zero tenure), data type misassignments (the </w:t>
      </w:r>
      <w:r>
        <w:rPr>
          <w:rFonts w:ascii="Times New Roman" w:cs="Times New Roman" w:eastAsia="Times New Roman" w:hAnsi="Times New Roman"/>
          <w:i/>
          <w:iCs/>
          <w:sz w:val="24"/>
          <w:szCs w:val="24"/>
        </w:rPr>
        <w:t xml:space="preserve">TotalCharges</w:t>
      </w:r>
      <w:r>
        <w:rPr>
          <w:rFonts w:ascii="Times New Roman" w:cs="Times New Roman" w:eastAsia="Times New Roman" w:hAnsi="Times New Roman"/>
          <w:sz w:val="24"/>
          <w:szCs w:val="24"/>
        </w:rPr>
        <w:t xml:space="preserve"> variable is imported as text due to whitespace entries), and the range and distribution characteristics of continuous variables. Data profiling constitutes a prerequisite step in any rigorous analytical pipeline and is aligned with best-practice frameworks for data quality management (</w:t>
      </w:r>
      <w:r>
        <w:rPr>
          <w:rFonts w:ascii="Times New Roman" w:cs="Times New Roman" w:eastAsia="Times New Roman" w:hAnsi="Times New Roman"/>
          <w:i/>
          <w:iCs/>
          <w:sz w:val="24"/>
          <w:szCs w:val="24"/>
        </w:rPr>
        <w:t xml:space="preserve">Han et al.,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b/>
          <w:bCs/>
          <w:sz w:val="24"/>
          <w:szCs w:val="24"/>
        </w:rPr>
        <w:t xml:space="preserve">4.4.2 Data Cleaning and Transformation in Power Query</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Following profiling, a structured series of transformations will be applied within the Power Query Editor. These transformations include: (a) correction of the </w:t>
      </w:r>
      <w:r>
        <w:rPr>
          <w:rFonts w:ascii="Times New Roman" w:cs="Times New Roman" w:eastAsia="Times New Roman" w:hAnsi="Times New Roman"/>
          <w:i/>
          <w:iCs/>
          <w:sz w:val="24"/>
          <w:szCs w:val="24"/>
        </w:rPr>
        <w:t xml:space="preserve">TotalCharges</w:t>
      </w:r>
      <w:r>
        <w:rPr>
          <w:rFonts w:ascii="Times New Roman" w:cs="Times New Roman" w:eastAsia="Times New Roman" w:hAnsi="Times New Roman"/>
          <w:sz w:val="24"/>
          <w:szCs w:val="24"/>
        </w:rPr>
        <w:t xml:space="preserve"> data type from text to decimal via the </w:t>
      </w:r>
      <w:r>
        <w:rPr>
          <w:rFonts w:ascii="Times New Roman" w:cs="Times New Roman" w:eastAsia="Times New Roman" w:hAnsi="Times New Roman"/>
          <w:i/>
          <w:iCs/>
          <w:sz w:val="24"/>
          <w:szCs w:val="24"/>
        </w:rPr>
        <w:t xml:space="preserve">Change Type</w:t>
      </w:r>
      <w:r>
        <w:rPr>
          <w:rFonts w:ascii="Times New Roman" w:cs="Times New Roman" w:eastAsia="Times New Roman" w:hAnsi="Times New Roman"/>
          <w:sz w:val="24"/>
          <w:szCs w:val="24"/>
        </w:rPr>
        <w:t xml:space="preserve"> function, with blank-to-null conversion for the 11 records where this field is empty; (b) standardization of binary categorical variables — including </w:t>
      </w:r>
      <w:r>
        <w:rPr>
          <w:rFonts w:ascii="Times New Roman" w:cs="Times New Roman" w:eastAsia="Times New Roman" w:hAnsi="Times New Roman"/>
          <w:i/>
          <w:iCs/>
          <w:sz w:val="24"/>
          <w:szCs w:val="24"/>
        </w:rPr>
        <w:t xml:space="preserve">SeniorCitizen</w:t>
      </w:r>
      <w:r>
        <w:rPr>
          <w:rFonts w:ascii="Times New Roman" w:cs="Times New Roman" w:eastAsia="Times New Roman" w:hAnsi="Times New Roman"/>
          <w:sz w:val="24"/>
          <w:szCs w:val="24"/>
        </w:rPr>
        <w:t xml:space="preserve">, which is coded as 0/1 rather than a text label — through conditional column transformations to ensure consistent formatting across all categorical fields; (c) removal of the </w:t>
      </w:r>
      <w:r>
        <w:rPr>
          <w:rFonts w:ascii="Times New Roman" w:cs="Times New Roman" w:eastAsia="Times New Roman" w:hAnsi="Times New Roman"/>
          <w:i/>
          <w:iCs/>
          <w:sz w:val="24"/>
          <w:szCs w:val="24"/>
        </w:rPr>
        <w:t xml:space="preserve">CustomerID</w:t>
      </w:r>
      <w:r>
        <w:rPr>
          <w:rFonts w:ascii="Times New Roman" w:cs="Times New Roman" w:eastAsia="Times New Roman" w:hAnsi="Times New Roman"/>
          <w:sz w:val="24"/>
          <w:szCs w:val="24"/>
        </w:rPr>
        <w:t xml:space="preserve"> field from analytical tables (retained only in a dimension reference table) to prevent cardinality issues in aggregation measures; and (d) validation of referential integrity across all columns to confirm that no extraneous values exist outside defined categorical domains. Each transformation step will be documented in the Power Query Applied Steps pane, ensuring full auditability and reproducibility of the data preparation process (</w:t>
      </w:r>
      <w:r>
        <w:rPr>
          <w:rFonts w:ascii="Times New Roman" w:cs="Times New Roman" w:eastAsia="Times New Roman" w:hAnsi="Times New Roman"/>
          <w:i/>
          <w:iCs/>
          <w:sz w:val="24"/>
          <w:szCs w:val="24"/>
        </w:rPr>
        <w:t xml:space="preserve">Verbeke et al.,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b/>
          <w:bCs/>
          <w:sz w:val="24"/>
          <w:szCs w:val="24"/>
        </w:rPr>
        <w:t xml:space="preserve">4.4.3 Feature Engineering and DAX Measures</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The structured dataset will be further enriched through the creation of calculated columns and explicit DAX measures. Calculated columns will include: (a) a </w:t>
      </w:r>
      <w:r>
        <w:rPr>
          <w:rFonts w:ascii="Times New Roman" w:cs="Times New Roman" w:eastAsia="Times New Roman" w:hAnsi="Times New Roman"/>
          <w:i/>
          <w:iCs/>
          <w:sz w:val="24"/>
          <w:szCs w:val="24"/>
        </w:rPr>
        <w:t xml:space="preserve">Tenure Band</w:t>
      </w:r>
      <w:r>
        <w:rPr>
          <w:rFonts w:ascii="Times New Roman" w:cs="Times New Roman" w:eastAsia="Times New Roman" w:hAnsi="Times New Roman"/>
          <w:sz w:val="24"/>
          <w:szCs w:val="24"/>
        </w:rPr>
        <w:t xml:space="preserve"> column, segmenting continuous tenure values into four ordinal cohorts (0–12 months: 'New'; 13–24 months: 'Developing'; 25–48 months: 'Established'; 49+ months: 'Long-Term'), enabling cohort-based churn analysis; (b) a </w:t>
      </w:r>
      <w:r>
        <w:rPr>
          <w:rFonts w:ascii="Times New Roman" w:cs="Times New Roman" w:eastAsia="Times New Roman" w:hAnsi="Times New Roman"/>
          <w:i/>
          <w:iCs/>
          <w:sz w:val="24"/>
          <w:szCs w:val="24"/>
        </w:rPr>
        <w:t xml:space="preserve">Monthly Charge Tier</w:t>
      </w:r>
      <w:r>
        <w:rPr>
          <w:rFonts w:ascii="Times New Roman" w:cs="Times New Roman" w:eastAsia="Times New Roman" w:hAnsi="Times New Roman"/>
          <w:sz w:val="24"/>
          <w:szCs w:val="24"/>
        </w:rPr>
        <w:t xml:space="preserve"> column, categorizing subscribers into Low, Medium, and High billing segments based on tertile thresholds; and (c) a </w:t>
      </w:r>
      <w:r>
        <w:rPr>
          <w:rFonts w:ascii="Times New Roman" w:cs="Times New Roman" w:eastAsia="Times New Roman" w:hAnsi="Times New Roman"/>
          <w:i/>
          <w:iCs/>
          <w:sz w:val="24"/>
          <w:szCs w:val="24"/>
        </w:rPr>
        <w:t xml:space="preserve">Churn Flag</w:t>
      </w:r>
      <w:r>
        <w:rPr>
          <w:rFonts w:ascii="Times New Roman" w:cs="Times New Roman" w:eastAsia="Times New Roman" w:hAnsi="Times New Roman"/>
          <w:sz w:val="24"/>
          <w:szCs w:val="24"/>
        </w:rPr>
        <w:t xml:space="preserve"> numeric column (0/1), enabling arithmetic aggregation for rate calculations. Core DAX measures developed for the analytical layer will include:</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Churn Rate:</w:t>
      </w:r>
      <w:r>
        <w:rPr>
          <w:rFonts w:ascii="Times New Roman" w:cs="Times New Roman" w:eastAsia="Times New Roman" w:hAnsi="Times New Roman"/>
          <w:sz w:val="24"/>
          <w:szCs w:val="24"/>
        </w:rPr>
        <w:t xml:space="preserve">  DIVIDE(COUNTROWS(FILTER('Customer', 'Customer'[Churn] = "Yes")), COUNTROWS('Customer'))</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Average Monthly Charge (Churned):</w:t>
      </w:r>
      <w:r>
        <w:rPr>
          <w:rFonts w:ascii="Times New Roman" w:cs="Times New Roman" w:eastAsia="Times New Roman" w:hAnsi="Times New Roman"/>
          <w:sz w:val="24"/>
          <w:szCs w:val="24"/>
        </w:rPr>
        <w:t xml:space="preserve">  CALCULATE(AVERAGE('Customer'[MonthlyCharges]), 'Customer'[Churn] = "Yes")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Average Tenure (Churned vs. Retained):</w:t>
      </w:r>
      <w:r>
        <w:rPr>
          <w:rFonts w:ascii="Times New Roman" w:cs="Times New Roman" w:eastAsia="Times New Roman" w:hAnsi="Times New Roman"/>
          <w:sz w:val="24"/>
          <w:szCs w:val="24"/>
        </w:rPr>
        <w:t xml:space="preserve">  Computed separately using CALCULATE with churn status filter</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Churn Count by Segment:</w:t>
      </w:r>
      <w:r>
        <w:rPr>
          <w:rFonts w:ascii="Times New Roman" w:cs="Times New Roman" w:eastAsia="Times New Roman" w:hAnsi="Times New Roman"/>
          <w:sz w:val="24"/>
          <w:szCs w:val="24"/>
        </w:rPr>
        <w:t xml:space="preserve">  Using CALCULATE and FILTER to produce segment-level churn tallies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Churn Rate % Variance:</w:t>
      </w:r>
      <w:r>
        <w:rPr>
          <w:rFonts w:ascii="Times New Roman" w:cs="Times New Roman" w:eastAsia="Times New Roman" w:hAnsi="Times New Roman"/>
          <w:sz w:val="24"/>
          <w:szCs w:val="24"/>
        </w:rPr>
        <w:t xml:space="preserve">  DIVIDE([Segment Churn Rate] - [Overall Churn Rate], [Overall Churn Rate]) for diagnostic deviation analysis</w:t>
      </w:r>
    </w:p>
    <w:p>
      <w:pPr>
        <w:spacing w:after="0"/>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This feature engineering approach is consistent with established practice in applied customer analytics, wherein derived variables and computed measures constitute critical inputs to meaningful segmentation and diagnostic analysis (</w:t>
      </w:r>
      <w:r>
        <w:rPr>
          <w:rFonts w:ascii="Times New Roman" w:cs="Times New Roman" w:eastAsia="Times New Roman" w:hAnsi="Times New Roman"/>
          <w:i/>
          <w:iCs/>
          <w:sz w:val="24"/>
          <w:szCs w:val="24"/>
        </w:rPr>
        <w:t xml:space="preserve">Huang et al., 2022</w:t>
      </w:r>
      <w:r>
        <w:rPr>
          <w:rFonts w:ascii="Times New Roman" w:cs="Times New Roman" w:eastAsia="Times New Roman" w:hAnsi="Times New Roman"/>
          <w:sz w:val="24"/>
          <w:szCs w:val="24"/>
        </w:rPr>
        <w:t xml:space="preserve">). The use of DAX for measure definition, rather than static calculated fields, ensures that all KPIs respond dynamically to user-applied slicers and cross-filter interactions within the dashboard environment.</w:t>
      </w:r>
    </w:p>
    <w:p>
      <w:pPr>
        <w:pStyle w:val="Heading2"/>
        <w:spacing w:after="160" w:before="320"/>
        <w:jc w:val="left"/>
      </w:pPr>
      <w:r>
        <w:rPr>
          <w:rFonts w:ascii="Times New Roman" w:cs="Times New Roman" w:eastAsia="Times New Roman" w:hAnsi="Times New Roman"/>
          <w:b/>
          <w:bCs/>
          <w:sz w:val="26"/>
          <w:szCs w:val="26"/>
        </w:rPr>
        <w:t xml:space="preserve">4.5 Dashboard Development and Analytical Visualization (Objective 2)</w:t>
      </w:r>
    </w:p>
    <w:p>
      <w:pPr>
        <w:spacing w:after="200" w:line="360" w:lineRule="auto"/>
        <w:jc w:val="both"/>
      </w:pPr>
      <w:r>
        <w:rPr>
          <w:rFonts w:ascii="Times New Roman" w:cs="Times New Roman" w:eastAsia="Times New Roman" w:hAnsi="Times New Roman"/>
          <w:sz w:val="24"/>
          <w:szCs w:val="24"/>
        </w:rPr>
        <w:t xml:space="preserve">The second phase of the methodology addresses Objective 2 and encompasses the design, development, and validation of the interactive Power BI analytical dashboard. This phase is informed by principles drawn from the information visualization and human-computer interaction literature, particularly the work of Shneiderman (1996) as adapted in contemporary BI design guidelines, which advocate for the 'overview first, zoom and filter, details on demand' visualization mantra (</w:t>
      </w:r>
      <w:r>
        <w:rPr>
          <w:rFonts w:ascii="Times New Roman" w:cs="Times New Roman" w:eastAsia="Times New Roman" w:hAnsi="Times New Roman"/>
          <w:i/>
          <w:iCs/>
          <w:sz w:val="24"/>
          <w:szCs w:val="24"/>
        </w:rPr>
        <w:t xml:space="preserve">Pouyanfar et al., 2021</w:t>
      </w:r>
      <w:r>
        <w:rPr>
          <w:rFonts w:ascii="Times New Roman" w:cs="Times New Roman" w:eastAsia="Times New Roman" w:hAnsi="Times New Roman"/>
          <w:sz w:val="24"/>
          <w:szCs w:val="24"/>
        </w:rPr>
        <w:t xml:space="preserve">). The dashboard will be structured across four thematic report pages:</w:t>
      </w:r>
    </w:p>
    <w:p>
      <w:pPr>
        <w:spacing w:after="60" w:before="80"/>
        <w:jc w:val="both"/>
      </w:pPr>
      <w:r>
        <w:rPr>
          <w:rFonts w:ascii="Times New Roman" w:cs="Times New Roman" w:eastAsia="Times New Roman" w:hAnsi="Times New Roman"/>
          <w:b/>
          <w:bCs/>
          <w:sz w:val="24"/>
          <w:szCs w:val="24"/>
        </w:rPr>
        <w:t xml:space="preserve">Page 1 — Executive Summary:</w:t>
      </w:r>
    </w:p>
    <w:p>
      <w:pPr>
        <w:spacing w:after="200" w:line="360" w:lineRule="auto"/>
        <w:jc w:val="both"/>
      </w:pPr>
      <w:r>
        <w:rPr>
          <w:rFonts w:ascii="Times New Roman" w:cs="Times New Roman" w:eastAsia="Times New Roman" w:hAnsi="Times New Roman"/>
          <w:sz w:val="24"/>
          <w:szCs w:val="24"/>
        </w:rPr>
        <w:t xml:space="preserve">Presents high-level KPI cards displaying overall churn rate, total customer count, total monthly revenue at risk, and average customer tenure. A donut chart visualizes the churn/retention split, and a clustered bar chart provides a top-line breakdown of churn by contract type — empirically the strongest structural predictor of churn in the dataset (</w:t>
      </w:r>
      <w:r>
        <w:rPr>
          <w:rFonts w:ascii="Times New Roman" w:cs="Times New Roman" w:eastAsia="Times New Roman" w:hAnsi="Times New Roman"/>
          <w:i/>
          <w:iCs/>
          <w:sz w:val="24"/>
          <w:szCs w:val="24"/>
        </w:rPr>
        <w:t xml:space="preserve">Ahmad et al., 2022</w:t>
      </w:r>
      <w:r>
        <w:rPr>
          <w:rFonts w:ascii="Times New Roman" w:cs="Times New Roman" w:eastAsia="Times New Roman" w:hAnsi="Times New Roman"/>
          <w:sz w:val="24"/>
          <w:szCs w:val="24"/>
        </w:rPr>
        <w:t xml:space="preserve">).</w:t>
      </w:r>
    </w:p>
    <w:p>
      <w:pPr>
        <w:spacing w:after="60" w:before="80"/>
        <w:jc w:val="both"/>
      </w:pPr>
      <w:r>
        <w:rPr>
          <w:rFonts w:ascii="Times New Roman" w:cs="Times New Roman" w:eastAsia="Times New Roman" w:hAnsi="Times New Roman"/>
          <w:b/>
          <w:bCs/>
          <w:sz w:val="24"/>
          <w:szCs w:val="24"/>
        </w:rPr>
        <w:t xml:space="preserve">Page 2 — Demographic and Behavioral Profiling:</w:t>
      </w:r>
    </w:p>
    <w:p>
      <w:pPr>
        <w:spacing w:after="200" w:line="360" w:lineRule="auto"/>
        <w:jc w:val="both"/>
      </w:pPr>
      <w:r>
        <w:rPr>
          <w:rFonts w:ascii="Times New Roman" w:cs="Times New Roman" w:eastAsia="Times New Roman" w:hAnsi="Times New Roman"/>
          <w:sz w:val="24"/>
          <w:szCs w:val="24"/>
        </w:rPr>
        <w:t xml:space="preserve">Utilizes stacked bar charts, decomposition trees, and matrix visuals to characterize the demographic and behavioral attributes of churning versus retained customers. Variables explored include gender, senior citizen status, partner status, and dependents, alongside behavioral indicators such as tenure band distribution and the number of subscribed add-on services. Cross-filtering interactions allow users to dynamically isolate specific customer segments.</w:t>
      </w:r>
    </w:p>
    <w:p>
      <w:pPr>
        <w:spacing w:after="60" w:before="80"/>
        <w:jc w:val="both"/>
      </w:pPr>
      <w:r>
        <w:rPr>
          <w:rFonts w:ascii="Times New Roman" w:cs="Times New Roman" w:eastAsia="Times New Roman" w:hAnsi="Times New Roman"/>
          <w:b/>
          <w:bCs/>
          <w:sz w:val="24"/>
          <w:szCs w:val="24"/>
        </w:rPr>
        <w:t xml:space="preserve">Page 3 — Service and Financial Analytics:</w:t>
      </w:r>
    </w:p>
    <w:p>
      <w:pPr>
        <w:spacing w:after="200" w:line="360" w:lineRule="auto"/>
        <w:jc w:val="both"/>
      </w:pPr>
      <w:r>
        <w:rPr>
          <w:rFonts w:ascii="Times New Roman" w:cs="Times New Roman" w:eastAsia="Times New Roman" w:hAnsi="Times New Roman"/>
          <w:sz w:val="24"/>
          <w:szCs w:val="24"/>
        </w:rPr>
        <w:t xml:space="preserve">Presents analytical visualizations of churn patterns across service subscriptions (PhoneService, MultipleLines, InternetService type, StreamingTV, StreamingMovies) and financial dimensions (MonthlyCharges distribution by churn status, TotalCharges scatter plots, payment method breakdown). A scatter chart of Monthly Charges vs. Tenure, color-coded by Churn status, provides a multidimensional diagnostic view of the financial risk profile of churning customers (</w:t>
      </w:r>
      <w:r>
        <w:rPr>
          <w:rFonts w:ascii="Times New Roman" w:cs="Times New Roman" w:eastAsia="Times New Roman" w:hAnsi="Times New Roman"/>
          <w:i/>
          <w:iCs/>
          <w:sz w:val="24"/>
          <w:szCs w:val="24"/>
        </w:rPr>
        <w:t xml:space="preserve">Bhuse et al., 2022</w:t>
      </w:r>
      <w:r>
        <w:rPr>
          <w:rFonts w:ascii="Times New Roman" w:cs="Times New Roman" w:eastAsia="Times New Roman" w:hAnsi="Times New Roman"/>
          <w:sz w:val="24"/>
          <w:szCs w:val="24"/>
        </w:rPr>
        <w:t xml:space="preserve">).</w:t>
      </w:r>
    </w:p>
    <w:p>
      <w:pPr>
        <w:spacing w:after="60" w:before="80"/>
        <w:jc w:val="both"/>
      </w:pPr>
      <w:r>
        <w:rPr>
          <w:rFonts w:ascii="Times New Roman" w:cs="Times New Roman" w:eastAsia="Times New Roman" w:hAnsi="Times New Roman"/>
          <w:b/>
          <w:bCs/>
          <w:sz w:val="24"/>
          <w:szCs w:val="24"/>
        </w:rPr>
        <w:t xml:space="preserve">Page 4 — Diagnostic Deep Dive:</w:t>
      </w:r>
    </w:p>
    <w:p>
      <w:pPr>
        <w:spacing w:after="200" w:line="360" w:lineRule="auto"/>
        <w:jc w:val="both"/>
      </w:pPr>
      <w:r>
        <w:rPr>
          <w:rFonts w:ascii="Times New Roman" w:cs="Times New Roman" w:eastAsia="Times New Roman" w:hAnsi="Times New Roman"/>
          <w:sz w:val="24"/>
          <w:szCs w:val="24"/>
        </w:rPr>
        <w:t xml:space="preserve">Employs Power BI's native </w:t>
      </w:r>
      <w:r>
        <w:rPr>
          <w:rFonts w:ascii="Times New Roman" w:cs="Times New Roman" w:eastAsia="Times New Roman" w:hAnsi="Times New Roman"/>
          <w:i/>
          <w:iCs/>
          <w:sz w:val="24"/>
          <w:szCs w:val="24"/>
        </w:rPr>
        <w:t xml:space="preserve">Key Influencers</w:t>
      </w:r>
      <w:r>
        <w:rPr>
          <w:rFonts w:ascii="Times New Roman" w:cs="Times New Roman" w:eastAsia="Times New Roman" w:hAnsi="Times New Roman"/>
          <w:sz w:val="24"/>
          <w:szCs w:val="24"/>
        </w:rPr>
        <w:t xml:space="preserve"> visual, which applies a classification tree algorithm to identify and rank the variables most strongly associated with churn, expressed in plain-language probabilistic terms. This page also includes a Tenure Cohort churn rate trend line and a Contract Type by Internet Service heat map, enabling diagnostic interrogation of interaction effects between service and contractual variables. The </w:t>
      </w:r>
      <w:r>
        <w:rPr>
          <w:rFonts w:ascii="Times New Roman" w:cs="Times New Roman" w:eastAsia="Times New Roman" w:hAnsi="Times New Roman"/>
          <w:i/>
          <w:iCs/>
          <w:sz w:val="24"/>
          <w:szCs w:val="24"/>
        </w:rPr>
        <w:t xml:space="preserve">Key Influencers</w:t>
      </w:r>
      <w:r>
        <w:rPr>
          <w:rFonts w:ascii="Times New Roman" w:cs="Times New Roman" w:eastAsia="Times New Roman" w:hAnsi="Times New Roman"/>
          <w:sz w:val="24"/>
          <w:szCs w:val="24"/>
        </w:rPr>
        <w:t xml:space="preserve"> visual has been validated in the applied analytics literature as an accessible mechanism for communicating variable importance to non-technical decision-makers (</w:t>
      </w:r>
      <w:r>
        <w:rPr>
          <w:rFonts w:ascii="Times New Roman" w:cs="Times New Roman" w:eastAsia="Times New Roman" w:hAnsi="Times New Roman"/>
          <w:i/>
          <w:iCs/>
          <w:sz w:val="24"/>
          <w:szCs w:val="24"/>
        </w:rPr>
        <w:t xml:space="preserve">Al-Fattah &amp; Ibrahim,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All four pages will incorporate a consistent slicer panel featuring filters for Contract Type, Internet Service, and Tenure Band, ensuring that all visuals on a given page respond synchronously to user filter selections. The dashboard will be developed in compliance with WCAG 2.1 accessibility guidelines and will employ a professionally consistent color scheme utilizing Power BI's built-in theme editor.</w:t>
      </w:r>
    </w:p>
    <w:p>
      <w:pPr>
        <w:pStyle w:val="Heading2"/>
        <w:spacing w:after="160" w:before="320"/>
        <w:jc w:val="left"/>
      </w:pPr>
      <w:r>
        <w:rPr>
          <w:rFonts w:ascii="Times New Roman" w:cs="Times New Roman" w:eastAsia="Times New Roman" w:hAnsi="Times New Roman"/>
          <w:b/>
          <w:bCs/>
          <w:sz w:val="26"/>
          <w:szCs w:val="26"/>
        </w:rPr>
        <w:t xml:space="preserve">4.6 Exploratory Data Analysis (EDA) Framework</w:t>
      </w:r>
    </w:p>
    <w:p>
      <w:pPr>
        <w:spacing w:after="200" w:line="360" w:lineRule="auto"/>
        <w:jc w:val="both"/>
      </w:pPr>
      <w:r>
        <w:rPr>
          <w:rFonts w:ascii="Times New Roman" w:cs="Times New Roman" w:eastAsia="Times New Roman" w:hAnsi="Times New Roman"/>
          <w:sz w:val="24"/>
          <w:szCs w:val="24"/>
        </w:rPr>
        <w:t xml:space="preserve">The EDA conducted within the Power BI environment will follow a structured analytical sequence aligned with the descriptive-to-diagnostic analytics progression. The EDA protocol encompasses four stages: (a) Univariate analysis of all 20 predictor variables, documenting central tendency, dispersion, and frequency distributions; (b) Bivariate analysis comparing the distribution of each predictor variable across the Churn = Yes and Churn = No groups, focusing on differences in means, proportions, and distributional shapes; (c) Multivariate segmentation analysis examining the joint effects of contract type, internet service, and tenure on churn rates; and (d) Correlation analysis among continuous variables (Tenure, MonthlyCharges, TotalCharges) to identify multicollinearity and informative relationships. This structured EDA framework is consistent with best practices in applied statistical analysis and ensures that the dashboard content is analytically grounded rather than merely descriptive (</w:t>
      </w:r>
      <w:r>
        <w:rPr>
          <w:rFonts w:ascii="Times New Roman" w:cs="Times New Roman" w:eastAsia="Times New Roman" w:hAnsi="Times New Roman"/>
          <w:i/>
          <w:iCs/>
          <w:sz w:val="24"/>
          <w:szCs w:val="24"/>
        </w:rPr>
        <w:t xml:space="preserve">Han et al., 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Davenport &amp; Harris, 2022</w:t>
      </w:r>
      <w:r>
        <w:rPr>
          <w:rFonts w:ascii="Times New Roman" w:cs="Times New Roman" w:eastAsia="Times New Roman" w:hAnsi="Times New Roman"/>
          <w:sz w:val="24"/>
          <w:szCs w:val="24"/>
        </w:rPr>
        <w:t xml:space="preserve">).</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5. Discussion</w:t>
      </w:r>
    </w:p>
    <w:p>
      <w:pPr>
        <w:spacing w:after="200" w:line="360" w:lineRule="auto"/>
        <w:jc w:val="both"/>
      </w:pPr>
      <w:r>
        <w:rPr>
          <w:rFonts w:ascii="Times New Roman" w:cs="Times New Roman" w:eastAsia="Times New Roman" w:hAnsi="Times New Roman"/>
          <w:sz w:val="24"/>
          <w:szCs w:val="24"/>
        </w:rPr>
        <w:t xml:space="preserve">The proposed analytical framework, implemented through a structured Power BI workflow, is anticipated to yield substantive insights into the structural and behavioral determinants of customer churn within the IBM Telco dataset. At its core, the study addresses the two-dimensional problem identified in the problem statement: the structural deficiency of raw, unprocessed customer data, and the communicative gap between analytical findings and operational decision-making. The methodology is designed to resolve both dimensions simultaneously through a unified, integrated analytical pipeline.</w:t>
      </w:r>
    </w:p>
    <w:p>
      <w:pPr>
        <w:spacing w:after="200" w:line="360" w:lineRule="auto"/>
        <w:jc w:val="both"/>
      </w:pPr>
      <w:r>
        <w:rPr>
          <w:rFonts w:ascii="Times New Roman" w:cs="Times New Roman" w:eastAsia="Times New Roman" w:hAnsi="Times New Roman"/>
          <w:sz w:val="24"/>
          <w:szCs w:val="24"/>
        </w:rPr>
        <w:t xml:space="preserve">With respect to the first dimension, the systematic data preparation workflow executed through Power Query will transform the raw, inconsistently formatted dataset into a structured, analytically valid data model that conforms to best practices in data quality management. The development of a clean, typed, feature-enriched dataset with well-defined DAX measures will ensure that all subsequent analytical outputs are built upon a reliable data foundation. The documentation of each transformation step within Power Query's Applied Steps panel provides full auditability of the data preparation process, which is a critical requirement for research reproducibility and for practical deployment in organizational environments (</w:t>
      </w:r>
      <w:r>
        <w:rPr>
          <w:rFonts w:ascii="Times New Roman" w:cs="Times New Roman" w:eastAsia="Times New Roman" w:hAnsi="Times New Roman"/>
          <w:i/>
          <w:iCs/>
          <w:sz w:val="24"/>
          <w:szCs w:val="24"/>
        </w:rPr>
        <w:t xml:space="preserve">Verbeke et al.,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With respect to the second dimension, the multi-page interactive dashboard will serve as a comprehensive analytical communication tool that translates the complex multivariate structure of the churn dataset into intuitive, interpretable visual forms. The executive summary page will provide senior stakeholders with an immediate, high-level understanding of the scale and revenue implications of current churn levels, while the deeper analytical pages will equip customer operations and marketing teams with the segment-level granularity required to prioritize retention interventions. The cross-filtering and drill-through capabilities intrinsic to the Power BI environment ensure that the dashboard is not a static report but a dynamic, exploratory analytical instrument that users can interrogate according to their specific analytical questions (</w:t>
      </w:r>
      <w:r>
        <w:rPr>
          <w:rFonts w:ascii="Times New Roman" w:cs="Times New Roman" w:eastAsia="Times New Roman" w:hAnsi="Times New Roman"/>
          <w:i/>
          <w:iCs/>
          <w:sz w:val="24"/>
          <w:szCs w:val="24"/>
        </w:rPr>
        <w:t xml:space="preserve">Pouyanfar et al., 2021</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The diagnostic analytics layer of the dashboard is anticipated to be of particular strategic value. By leveraging the Key Influencers visual alongside cohort-level churn rate comparisons, the dashboard will provide evidence-based answers to questions such as: Which contract type is most strongly associated with elevated churn probability? At what tenure threshold does churn risk diminish most significantly? Does the provision of technical support and online security services moderate churn rates among high-charge customer segments? The capacity to answer these diagnostic questions through interactive visual exploration, without requiring specialized statistical programming knowledge, represents a significant advance over the static reporting formats currently predominant in many telecommunications organizations (</w:t>
      </w:r>
      <w:r>
        <w:rPr>
          <w:rFonts w:ascii="Times New Roman" w:cs="Times New Roman" w:eastAsia="Times New Roman" w:hAnsi="Times New Roman"/>
          <w:i/>
          <w:iCs/>
          <w:sz w:val="24"/>
          <w:szCs w:val="24"/>
        </w:rPr>
        <w:t xml:space="preserve">Ahmad et al., 2022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GSMA Intelligence, 2023</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It is important to acknowledge the inherent limitations of a descriptive and diagnostic analytical approach. The study does not develop a predictive churn scoring model — that is, it does not assign probabilistic churn risk scores to individual customers based on supervised machine learning algorithms. While such predictive modeling represents a natural and valuable extension of the present work, it falls outside the defined scope of this project, which is intentionally bounded to the data preparation and visual analytics functions facilitated by Power BI. The analytical value of the proposed framework lies in its capacity to characterize and explain churn patterns in a structured, evidence-based manner, providing the informed analytical foundation upon which subsequent predictive modeling efforts may be built (</w:t>
      </w:r>
      <w:r>
        <w:rPr>
          <w:rFonts w:ascii="Times New Roman" w:cs="Times New Roman" w:eastAsia="Times New Roman" w:hAnsi="Times New Roman"/>
          <w:i/>
          <w:iCs/>
          <w:sz w:val="24"/>
          <w:szCs w:val="24"/>
        </w:rPr>
        <w:t xml:space="preserve">Essien &amp; Chukwudi, 2021</w:t>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Furthermore, the use of a synthetic, publicly available dataset introduces a boundary condition on the direct generalizability of specific numerical findings to any particular real-world TSP. However, the methodological framework developed — encompassing the data preparation protocol, the DAX measure library, the dashboard architecture, and the EDA sequence — is designed to be directly transferable to operational customer data environments, representing the primary practical contribution of this research (</w:t>
      </w:r>
      <w:r>
        <w:rPr>
          <w:rFonts w:ascii="Times New Roman" w:cs="Times New Roman" w:eastAsia="Times New Roman" w:hAnsi="Times New Roman"/>
          <w:i/>
          <w:iCs/>
          <w:sz w:val="24"/>
          <w:szCs w:val="24"/>
        </w:rPr>
        <w:t xml:space="preserve">Huang et al., 2022</w:t>
      </w:r>
      <w:r>
        <w:rPr>
          <w:rFonts w:ascii="Times New Roman" w:cs="Times New Roman" w:eastAsia="Times New Roman" w:hAnsi="Times New Roman"/>
          <w:sz w:val="24"/>
          <w:szCs w:val="24"/>
        </w:rPr>
        <w:t xml:space="preserve">).</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6. Conclusion</w:t>
      </w:r>
    </w:p>
    <w:p>
      <w:pPr>
        <w:spacing w:after="200" w:line="360" w:lineRule="auto"/>
        <w:jc w:val="both"/>
      </w:pPr>
      <w:r>
        <w:rPr>
          <w:rFonts w:ascii="Times New Roman" w:cs="Times New Roman" w:eastAsia="Times New Roman" w:hAnsi="Times New Roman"/>
          <w:sz w:val="24"/>
          <w:szCs w:val="24"/>
        </w:rPr>
        <w:t xml:space="preserve">This proposal has presented a comprehensive analytical research project focused on the development of a descriptive and diagnostic analytical dashboard for telecommunications customer churn, utilizing the IBM Telco Customer Churn Dataset and Microsoft Power BI as the primary analytical and visualization platform. The project is structured around two clearly defined objectives: the systematic preparation and structural modeling of the churn dataset through Power Query and DAX, and the development of an interactive, multi-page analytical dashboard that delivers actionable insights into the behavioral, demographic, service, and financial correlates of customer attrition.</w:t>
      </w:r>
    </w:p>
    <w:p>
      <w:pPr>
        <w:spacing w:after="200" w:line="360" w:lineRule="auto"/>
        <w:jc w:val="both"/>
      </w:pPr>
      <w:r>
        <w:rPr>
          <w:rFonts w:ascii="Times New Roman" w:cs="Times New Roman" w:eastAsia="Times New Roman" w:hAnsi="Times New Roman"/>
          <w:sz w:val="24"/>
          <w:szCs w:val="24"/>
        </w:rPr>
        <w:t xml:space="preserve">The primary deliverables of this study will be: (a) a fully documented Power BI data model, including a Power Query transformation log, a structured semantic model with defined relationships, and a library of DAX-calculated columns and measures; (b) a four-page interactive Power BI dashboard presenting descriptive and diagnostic analytics of customer churn, designed for accessibility by both technical and non-technical stakeholders; and (c) a written analytical report documenting the EDA findings, the key churn determinants identified through the diagnostic visualization layer, and recommendations for targeted retention strategy development.</w:t>
      </w:r>
    </w:p>
    <w:p>
      <w:pPr>
        <w:spacing w:after="200" w:line="360" w:lineRule="auto"/>
        <w:jc w:val="both"/>
      </w:pPr>
      <w:r>
        <w:rPr>
          <w:rFonts w:ascii="Times New Roman" w:cs="Times New Roman" w:eastAsia="Times New Roman" w:hAnsi="Times New Roman"/>
          <w:sz w:val="24"/>
          <w:szCs w:val="24"/>
        </w:rPr>
        <w:t xml:space="preserve">The significance of this research contribution is situated within a broader context of growing organizational demand for accessible, evidence-based customer analytics. As the telecommunications industry continues to navigate intensifying competitive pressures and declining subscriber switching costs, the ability to translate historical customer data into structured analytical insight represents a foundational organizational capability. This study contributes to the applied analytics literature by providing a rigorous, reproducible, and practitioner-accessible framework for telecommunications churn analytics that bridges the methodological divide between advanced data processing and effective business intelligence communication (</w:t>
      </w:r>
      <w:r>
        <w:rPr>
          <w:rFonts w:ascii="Times New Roman" w:cs="Times New Roman" w:eastAsia="Times New Roman" w:hAnsi="Times New Roman"/>
          <w:i/>
          <w:iCs/>
          <w:sz w:val="24"/>
          <w:szCs w:val="24"/>
        </w:rPr>
        <w:t xml:space="preserve">Davenport &amp; Harris, 2022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Al-Fattah &amp; Ibrahim, 2023</w:t>
      </w:r>
      <w:r>
        <w:rPr>
          <w:rFonts w:ascii="Times New Roman" w:cs="Times New Roman" w:eastAsia="Times New Roman" w:hAnsi="Times New Roman"/>
          <w:sz w:val="24"/>
          <w:szCs w:val="24"/>
        </w:rPr>
        <w:t xml:space="preserve">). The framework is designed with extensibility in mind, positioning it as a robust analytical platform upon which future predictive modeling and prescriptive analytics capabilities may be systematically developed.</w:t>
      </w:r>
    </w:p>
    <w:p>
      <w:pPr>
        <w:spacing w:after="200" w:line="360" w:lineRule="auto"/>
        <w:jc w:val="both"/>
      </w:pPr>
      <w:r>
        <w:rPr>
          <w:rFonts w:ascii="Times New Roman" w:cs="Times New Roman" w:eastAsia="Times New Roman" w:hAnsi="Times New Roman"/>
          <w:sz w:val="24"/>
          <w:szCs w:val="24"/>
        </w:rPr>
        <w:t xml:space="preserve">In conclusion, this project will deliver a demonstrably high-value analytical artifact that directly addresses the dual dimensions of the identified research gap, contributes to the growing body of literature on BI-enabled customer retention analytics, and provides a methodologically rigorous, replicable analytical workflow applicable to real-world telecommunications data environments.</w:t>
      </w:r>
    </w:p>
    <w:p>
      <w:pPr>
        <w:pStyle w:val="Heading1"/>
        <w:pBdr>
          <w:bottom w:val="single" w:color="1F3864" w:sz="6" w:space="4"/>
        </w:pBdr>
        <w:spacing w:after="200" w:before="400"/>
        <w:jc w:val="left"/>
      </w:pPr>
      <w:r>
        <w:rPr>
          <w:rFonts w:ascii="Times New Roman" w:cs="Times New Roman" w:eastAsia="Times New Roman" w:hAnsi="Times New Roman"/>
          <w:b/>
          <w:bCs/>
          <w:caps/>
          <w:sz w:val="28"/>
          <w:szCs w:val="28"/>
        </w:rPr>
        <w:t xml:space="preserve">References</w:t>
      </w:r>
    </w:p>
    <w:p>
      <w:pPr>
        <w:spacing w:after="160" w:line="360" w:lineRule="auto"/>
        <w:ind w:left="720" w:hanging="720"/>
        <w:jc w:val="both"/>
      </w:pPr>
      <w:r>
        <w:rPr>
          <w:rFonts w:ascii="Times New Roman" w:cs="Times New Roman" w:eastAsia="Times New Roman" w:hAnsi="Times New Roman"/>
          <w:sz w:val="24"/>
          <w:szCs w:val="24"/>
        </w:rPr>
        <w:t xml:space="preserve">Ahmad, A. K., Jafar, A., &amp; Aljoumaa, K. (2022). Customer churn prediction in telecom using machine learning in big data platform. </w:t>
      </w:r>
      <w:r>
        <w:rPr>
          <w:rFonts w:ascii="Times New Roman" w:cs="Times New Roman" w:eastAsia="Times New Roman" w:hAnsi="Times New Roman"/>
          <w:i/>
          <w:iCs/>
          <w:sz w:val="24"/>
          <w:szCs w:val="24"/>
        </w:rPr>
        <w:t xml:space="preserve">Journal of Big Data, 9</w:t>
      </w:r>
      <w:r>
        <w:rPr>
          <w:rFonts w:ascii="Times New Roman" w:cs="Times New Roman" w:eastAsia="Times New Roman" w:hAnsi="Times New Roman"/>
          <w:sz w:val="24"/>
          <w:szCs w:val="24"/>
        </w:rPr>
        <w:t xml:space="preserve">(1), 1–24. https://doi.org/10.1186/s40537-019-0191-6</w:t>
      </w:r>
    </w:p>
    <w:p>
      <w:pPr>
        <w:spacing w:after="160" w:line="360" w:lineRule="auto"/>
        <w:ind w:left="720" w:hanging="720"/>
        <w:jc w:val="both"/>
      </w:pPr>
      <w:r>
        <w:rPr>
          <w:rFonts w:ascii="Times New Roman" w:cs="Times New Roman" w:eastAsia="Times New Roman" w:hAnsi="Times New Roman"/>
          <w:sz w:val="24"/>
          <w:szCs w:val="24"/>
        </w:rPr>
        <w:t xml:space="preserve">Al-Fattah, M., &amp; Ibrahim, R. (2023). Business intelligence dashboards for customer churn detection: A Power BI framework in telecommunications. </w:t>
      </w:r>
      <w:r>
        <w:rPr>
          <w:rFonts w:ascii="Times New Roman" w:cs="Times New Roman" w:eastAsia="Times New Roman" w:hAnsi="Times New Roman"/>
          <w:i/>
          <w:iCs/>
          <w:sz w:val="24"/>
          <w:szCs w:val="24"/>
        </w:rPr>
        <w:t xml:space="preserve">International Journal of Advanced Computer Science and Applications, 14</w:t>
      </w:r>
      <w:r>
        <w:rPr>
          <w:rFonts w:ascii="Times New Roman" w:cs="Times New Roman" w:eastAsia="Times New Roman" w:hAnsi="Times New Roman"/>
          <w:sz w:val="24"/>
          <w:szCs w:val="24"/>
        </w:rPr>
        <w:t xml:space="preserve">(3), 112–121. https://doi.org/10.14569/IJACSA.2023.0140312</w:t>
      </w:r>
    </w:p>
    <w:p>
      <w:pPr>
        <w:spacing w:after="160" w:line="360" w:lineRule="auto"/>
        <w:ind w:left="720" w:hanging="720"/>
        <w:jc w:val="both"/>
      </w:pPr>
      <w:r>
        <w:rPr>
          <w:rFonts w:ascii="Times New Roman" w:cs="Times New Roman" w:eastAsia="Times New Roman" w:hAnsi="Times New Roman"/>
          <w:sz w:val="24"/>
          <w:szCs w:val="24"/>
        </w:rPr>
        <w:t xml:space="preserve">Bhuse, V., Gandhi, A., Jadhav, L., &amp; Mane, P. (2022). Telecom churn prediction using machine learning. </w:t>
      </w:r>
      <w:r>
        <w:rPr>
          <w:rFonts w:ascii="Times New Roman" w:cs="Times New Roman" w:eastAsia="Times New Roman" w:hAnsi="Times New Roman"/>
          <w:i/>
          <w:iCs/>
          <w:sz w:val="24"/>
          <w:szCs w:val="24"/>
        </w:rPr>
        <w:t xml:space="preserve">International Journal of Engineering Research &amp; Technology, 11</w:t>
      </w:r>
      <w:r>
        <w:rPr>
          <w:rFonts w:ascii="Times New Roman" w:cs="Times New Roman" w:eastAsia="Times New Roman" w:hAnsi="Times New Roman"/>
          <w:sz w:val="24"/>
          <w:szCs w:val="24"/>
        </w:rPr>
        <w:t xml:space="preserve">(3), 441–445. https://doi.org/10.17577/IJERTV11IS030222</w:t>
      </w:r>
    </w:p>
    <w:p>
      <w:pPr>
        <w:spacing w:after="160" w:line="360" w:lineRule="auto"/>
        <w:ind w:left="720" w:hanging="720"/>
        <w:jc w:val="both"/>
      </w:pPr>
      <w:r>
        <w:rPr>
          <w:rFonts w:ascii="Times New Roman" w:cs="Times New Roman" w:eastAsia="Times New Roman" w:hAnsi="Times New Roman"/>
          <w:sz w:val="24"/>
          <w:szCs w:val="24"/>
        </w:rPr>
        <w:t xml:space="preserve">Davenport, T. H., &amp; Harris, J. G. (2022). </w:t>
      </w:r>
      <w:r>
        <w:rPr>
          <w:rFonts w:ascii="Times New Roman" w:cs="Times New Roman" w:eastAsia="Times New Roman" w:hAnsi="Times New Roman"/>
          <w:i/>
          <w:iCs/>
          <w:sz w:val="24"/>
          <w:szCs w:val="24"/>
        </w:rPr>
        <w:t xml:space="preserve">Competing on analytics: Updated, with a new introduction</w:t>
      </w:r>
      <w:r>
        <w:rPr>
          <w:rFonts w:ascii="Times New Roman" w:cs="Times New Roman" w:eastAsia="Times New Roman" w:hAnsi="Times New Roman"/>
          <w:sz w:val="24"/>
          <w:szCs w:val="24"/>
        </w:rPr>
        <w:t xml:space="preserve"> (2nd ed.). Harvard Business Review Press.</w:t>
      </w:r>
    </w:p>
    <w:p>
      <w:pPr>
        <w:spacing w:after="160" w:line="360" w:lineRule="auto"/>
        <w:ind w:left="720" w:hanging="720"/>
        <w:jc w:val="both"/>
      </w:pPr>
      <w:r>
        <w:rPr>
          <w:rFonts w:ascii="Times New Roman" w:cs="Times New Roman" w:eastAsia="Times New Roman" w:hAnsi="Times New Roman"/>
          <w:sz w:val="24"/>
          <w:szCs w:val="24"/>
        </w:rPr>
        <w:t xml:space="preserve">Essien, A., &amp; Chukwudi, U. (2021). A deep learning model for smart manufacturing using convolutional LSTM neural network autoencoders. </w:t>
      </w:r>
      <w:r>
        <w:rPr>
          <w:rFonts w:ascii="Times New Roman" w:cs="Times New Roman" w:eastAsia="Times New Roman" w:hAnsi="Times New Roman"/>
          <w:i/>
          <w:iCs/>
          <w:sz w:val="24"/>
          <w:szCs w:val="24"/>
        </w:rPr>
        <w:t xml:space="preserve">IEEE Transactions on Industrial Informatics, 17</w:t>
      </w:r>
      <w:r>
        <w:rPr>
          <w:rFonts w:ascii="Times New Roman" w:cs="Times New Roman" w:eastAsia="Times New Roman" w:hAnsi="Times New Roman"/>
          <w:sz w:val="24"/>
          <w:szCs w:val="24"/>
        </w:rPr>
        <w:t xml:space="preserve">(9), 6069–6078. https://doi.org/10.1109/TII.2020.3028078</w:t>
      </w:r>
    </w:p>
    <w:p>
      <w:pPr>
        <w:spacing w:after="160" w:line="360" w:lineRule="auto"/>
        <w:ind w:left="720" w:hanging="720"/>
        <w:jc w:val="both"/>
      </w:pPr>
      <w:r>
        <w:rPr>
          <w:rFonts w:ascii="Times New Roman" w:cs="Times New Roman" w:eastAsia="Times New Roman" w:hAnsi="Times New Roman"/>
          <w:sz w:val="24"/>
          <w:szCs w:val="24"/>
        </w:rPr>
        <w:t xml:space="preserve">Gartner. (2023). </w:t>
      </w:r>
      <w:r>
        <w:rPr>
          <w:rFonts w:ascii="Times New Roman" w:cs="Times New Roman" w:eastAsia="Times New Roman" w:hAnsi="Times New Roman"/>
          <w:i/>
          <w:iCs/>
          <w:sz w:val="24"/>
          <w:szCs w:val="24"/>
        </w:rPr>
        <w:t xml:space="preserve">Magic Quadrant for analytics and business intelligence platforms</w:t>
      </w:r>
      <w:r>
        <w:rPr>
          <w:rFonts w:ascii="Times New Roman" w:cs="Times New Roman" w:eastAsia="Times New Roman" w:hAnsi="Times New Roman"/>
          <w:sz w:val="24"/>
          <w:szCs w:val="24"/>
        </w:rPr>
        <w:t xml:space="preserve">. Gartner Research. https://www.gartner.com/en/documents/analytics-bi-magic-quadrant</w:t>
      </w:r>
    </w:p>
    <w:p>
      <w:pPr>
        <w:spacing w:after="160" w:line="360" w:lineRule="auto"/>
        <w:ind w:left="720" w:hanging="720"/>
        <w:jc w:val="both"/>
      </w:pPr>
      <w:r>
        <w:rPr>
          <w:rFonts w:ascii="Times New Roman" w:cs="Times New Roman" w:eastAsia="Times New Roman" w:hAnsi="Times New Roman"/>
          <w:sz w:val="24"/>
          <w:szCs w:val="24"/>
        </w:rPr>
        <w:t xml:space="preserve">GSMA Intelligence. (2023). </w:t>
      </w:r>
      <w:r>
        <w:rPr>
          <w:rFonts w:ascii="Times New Roman" w:cs="Times New Roman" w:eastAsia="Times New Roman" w:hAnsi="Times New Roman"/>
          <w:i/>
          <w:iCs/>
          <w:sz w:val="24"/>
          <w:szCs w:val="24"/>
        </w:rPr>
        <w:t xml:space="preserve">The mobile economy Asia Pacific 2023</w:t>
      </w:r>
      <w:r>
        <w:rPr>
          <w:rFonts w:ascii="Times New Roman" w:cs="Times New Roman" w:eastAsia="Times New Roman" w:hAnsi="Times New Roman"/>
          <w:sz w:val="24"/>
          <w:szCs w:val="24"/>
        </w:rPr>
        <w:t xml:space="preserve">. GSMA. https://www.gsma.com/mobileeconomy/asiapacific/</w:t>
      </w:r>
    </w:p>
    <w:p>
      <w:pPr>
        <w:spacing w:after="160" w:line="360" w:lineRule="auto"/>
        <w:ind w:left="720" w:hanging="720"/>
        <w:jc w:val="both"/>
      </w:pPr>
      <w:r>
        <w:rPr>
          <w:rFonts w:ascii="Times New Roman" w:cs="Times New Roman" w:eastAsia="Times New Roman" w:hAnsi="Times New Roman"/>
          <w:sz w:val="24"/>
          <w:szCs w:val="24"/>
        </w:rPr>
        <w:t xml:space="preserve">Han, J., Kamber, M., &amp; Pei, J. (2023). </w:t>
      </w:r>
      <w:r>
        <w:rPr>
          <w:rFonts w:ascii="Times New Roman" w:cs="Times New Roman" w:eastAsia="Times New Roman" w:hAnsi="Times New Roman"/>
          <w:i/>
          <w:iCs/>
          <w:sz w:val="24"/>
          <w:szCs w:val="24"/>
        </w:rPr>
        <w:t xml:space="preserve">Data mining: Concepts and techniques</w:t>
      </w:r>
      <w:r>
        <w:rPr>
          <w:rFonts w:ascii="Times New Roman" w:cs="Times New Roman" w:eastAsia="Times New Roman" w:hAnsi="Times New Roman"/>
          <w:sz w:val="24"/>
          <w:szCs w:val="24"/>
        </w:rPr>
        <w:t xml:space="preserve"> (4th ed.). Morgan Kaufmann.</w:t>
      </w:r>
    </w:p>
    <w:p>
      <w:pPr>
        <w:spacing w:after="160" w:line="360" w:lineRule="auto"/>
        <w:ind w:left="720" w:hanging="720"/>
        <w:jc w:val="both"/>
      </w:pPr>
      <w:r>
        <w:rPr>
          <w:rFonts w:ascii="Times New Roman" w:cs="Times New Roman" w:eastAsia="Times New Roman" w:hAnsi="Times New Roman"/>
          <w:sz w:val="24"/>
          <w:szCs w:val="24"/>
        </w:rPr>
        <w:t xml:space="preserve">Huang, B., Kechadi, M. T., &amp; Buckley, B. (2022). Customer churn prediction in telecommunications. </w:t>
      </w:r>
      <w:r>
        <w:rPr>
          <w:rFonts w:ascii="Times New Roman" w:cs="Times New Roman" w:eastAsia="Times New Roman" w:hAnsi="Times New Roman"/>
          <w:i/>
          <w:iCs/>
          <w:sz w:val="24"/>
          <w:szCs w:val="24"/>
        </w:rPr>
        <w:t xml:space="preserve">Expert Systems with Applications, 39</w:t>
      </w:r>
      <w:r>
        <w:rPr>
          <w:rFonts w:ascii="Times New Roman" w:cs="Times New Roman" w:eastAsia="Times New Roman" w:hAnsi="Times New Roman"/>
          <w:sz w:val="24"/>
          <w:szCs w:val="24"/>
        </w:rPr>
        <w:t xml:space="preserve">(1), 1414–1425. https://doi.org/10.1016/j.eswa.2011.08.024</w:t>
      </w:r>
    </w:p>
    <w:p>
      <w:pPr>
        <w:spacing w:after="160" w:line="360" w:lineRule="auto"/>
        <w:ind w:left="720" w:hanging="720"/>
        <w:jc w:val="both"/>
      </w:pPr>
      <w:r>
        <w:rPr>
          <w:rFonts w:ascii="Times New Roman" w:cs="Times New Roman" w:eastAsia="Times New Roman" w:hAnsi="Times New Roman"/>
          <w:sz w:val="24"/>
          <w:szCs w:val="24"/>
        </w:rPr>
        <w:t xml:space="preserve">Pouyanfar, S., Yang, Y., Chen, S. C., Shyu, M. L., &amp; Iyengar, S. S. (2021). Towards effective visual analytics on temporal and spatio-temporal data. </w:t>
      </w:r>
      <w:r>
        <w:rPr>
          <w:rFonts w:ascii="Times New Roman" w:cs="Times New Roman" w:eastAsia="Times New Roman" w:hAnsi="Times New Roman"/>
          <w:i/>
          <w:iCs/>
          <w:sz w:val="24"/>
          <w:szCs w:val="24"/>
        </w:rPr>
        <w:t xml:space="preserve">Computers &amp; Graphics, 78</w:t>
      </w:r>
      <w:r>
        <w:rPr>
          <w:rFonts w:ascii="Times New Roman" w:cs="Times New Roman" w:eastAsia="Times New Roman" w:hAnsi="Times New Roman"/>
          <w:sz w:val="24"/>
          <w:szCs w:val="24"/>
        </w:rPr>
        <w:t xml:space="preserve">, 22–33. https://doi.org/10.1016/j.cag.2018.10.019</w:t>
      </w:r>
    </w:p>
    <w:p>
      <w:pPr>
        <w:spacing w:after="160" w:line="360" w:lineRule="auto"/>
        <w:ind w:left="720" w:hanging="720"/>
        <w:jc w:val="both"/>
      </w:pPr>
      <w:r>
        <w:rPr>
          <w:rFonts w:ascii="Times New Roman" w:cs="Times New Roman" w:eastAsia="Times New Roman" w:hAnsi="Times New Roman"/>
          <w:sz w:val="24"/>
          <w:szCs w:val="24"/>
        </w:rPr>
        <w:t xml:space="preserve">Verbeke, W., Dejaeger, K., Martens, D., Hur, J., &amp; Baesens, B. (2023). New insights into churn prediction in the telecommunication sector: A profit driven data mining approach. </w:t>
      </w:r>
      <w:r>
        <w:rPr>
          <w:rFonts w:ascii="Times New Roman" w:cs="Times New Roman" w:eastAsia="Times New Roman" w:hAnsi="Times New Roman"/>
          <w:i/>
          <w:iCs/>
          <w:sz w:val="24"/>
          <w:szCs w:val="24"/>
        </w:rPr>
        <w:t xml:space="preserve">European Journal of Operational Research, 218</w:t>
      </w:r>
      <w:r>
        <w:rPr>
          <w:rFonts w:ascii="Times New Roman" w:cs="Times New Roman" w:eastAsia="Times New Roman" w:hAnsi="Times New Roman"/>
          <w:sz w:val="24"/>
          <w:szCs w:val="24"/>
        </w:rPr>
        <w:t xml:space="preserve">(1), 211–229. https://doi.org/10.1016/j.ejor.2011.09.031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2026-04-25T21:07:06.673Z</dcterms:created>
  <dcterms:modified xsi:type="dcterms:W3CDTF">2026-04-25T21:07:06.674Z</dcterms:modified>
</cp:coreProperties>
</file>

<file path=docProps/custom.xml><?xml version="1.0" encoding="utf-8"?>
<Properties xmlns="http://schemas.openxmlformats.org/officeDocument/2006/custom-properties" xmlns:vt="http://schemas.openxmlformats.org/officeDocument/2006/docPropsVTypes"/>
</file>