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240" w:lineRule="auto"/>
        <w:ind w:left="23" w:firstLine="0"/>
        <w:jc w:val="center"/>
        <w:rPr/>
      </w:pPr>
      <w:bookmarkStart w:colFirst="0" w:colLast="0" w:name="_ptk4t7px423d" w:id="0"/>
      <w:bookmarkEnd w:id="0"/>
      <w:r w:rsidDel="00000000" w:rsidR="00000000" w:rsidRPr="00000000">
        <w:rPr>
          <w:rtl w:val="0"/>
        </w:rPr>
        <w:t xml:space="preserve">Interpreting criteria for derogations from strict protection</w:t>
      </w:r>
    </w:p>
    <w:p w:rsidR="00000000" w:rsidDel="00000000" w:rsidP="00000000" w:rsidRDefault="00000000" w:rsidRPr="00000000" w14:paraId="00000002">
      <w:pPr>
        <w:jc w:val="center"/>
        <w:rPr/>
      </w:pPr>
      <w:r w:rsidDel="00000000" w:rsidR="00000000" w:rsidRPr="00000000">
        <w:rPr>
          <w:rtl w:val="0"/>
        </w:rPr>
        <w:t xml:space="preserve">Version 1.1</w:t>
      </w:r>
    </w:p>
    <w:p w:rsidR="00000000" w:rsidDel="00000000" w:rsidP="00000000" w:rsidRDefault="00000000" w:rsidRPr="00000000" w14:paraId="00000003">
      <w:pPr>
        <w:jc w:val="center"/>
        <w:rPr/>
      </w:pPr>
      <w:r w:rsidDel="00000000" w:rsidR="00000000" w:rsidRPr="00000000">
        <w:rPr>
          <w:rtl w:val="0"/>
        </w:rPr>
        <w:t xml:space="preserve">Last modified </w:t>
      </w:r>
      <w:r w:rsidDel="00000000" w:rsidR="00000000" w:rsidRPr="00000000">
        <w:rPr>
          <w:rtl w:val="0"/>
        </w:rPr>
        <w:t xml:space="preserve">Feb 17, 2022</w:t>
      </w:r>
      <w:r w:rsidDel="00000000" w:rsidR="00000000" w:rsidRPr="00000000">
        <w:rPr>
          <w:rtl w:val="0"/>
        </w:rPr>
        <w:t xml:space="preserve"> (see version history)</w:t>
      </w:r>
    </w:p>
    <w:p w:rsidR="00000000" w:rsidDel="00000000" w:rsidP="00000000" w:rsidRDefault="00000000" w:rsidRPr="00000000" w14:paraId="00000004">
      <w:pPr>
        <w:jc w:val="center"/>
        <w:rPr/>
      </w:pPr>
      <w:r w:rsidDel="00000000" w:rsidR="00000000" w:rsidRPr="00000000">
        <w:rPr>
          <w:rtl w:val="0"/>
        </w:rPr>
        <w:t xml:space="preserve">Original author: Robin Rigg, Slovak Wildlife Society</w:t>
      </w:r>
    </w:p>
    <w:p w:rsidR="00000000" w:rsidDel="00000000" w:rsidP="00000000" w:rsidRDefault="00000000" w:rsidRPr="00000000" w14:paraId="00000005">
      <w:pPr>
        <w:pStyle w:val="Heading1"/>
        <w:rPr/>
      </w:pPr>
      <w:r w:rsidDel="00000000" w:rsidR="00000000" w:rsidRPr="00000000">
        <w:rPr>
          <w:rtl w:val="0"/>
        </w:rPr>
        <w:t xml:space="preserve">Background</w:t>
      </w:r>
    </w:p>
    <w:p w:rsidR="00000000" w:rsidDel="00000000" w:rsidP="00000000" w:rsidRDefault="00000000" w:rsidRPr="00000000" w14:paraId="00000006">
      <w:pPr>
        <w:rPr/>
      </w:pPr>
      <w:r w:rsidDel="00000000" w:rsidR="00000000" w:rsidRPr="00000000">
        <w:rPr>
          <w:rtl w:val="0"/>
        </w:rPr>
        <w:t xml:space="preserve">Council Directive 92/43/EEC on the conservation of natural habitats and of wild fauna and flora, commonly known as the Habitats Directive</w:t>
      </w:r>
      <w:r w:rsidDel="00000000" w:rsidR="00000000" w:rsidRPr="00000000">
        <w:rPr>
          <w:vertAlign w:val="superscript"/>
        </w:rPr>
        <w:footnoteReference w:customMarkFollows="0" w:id="0"/>
      </w:r>
      <w:r w:rsidDel="00000000" w:rsidR="00000000" w:rsidRPr="00000000">
        <w:rPr>
          <w:rtl w:val="0"/>
        </w:rPr>
        <w:t xml:space="preserve">, aims to promote the maintenance of biodiversity in Europe, taking account of economic, social, cultural and regional requirements. Together with the Birds Directive it forms the cornerstone of the European Union's nature conservation policy and establishes the Natura 2000 protected area network.</w:t>
      </w:r>
    </w:p>
    <w:p w:rsidR="00000000" w:rsidDel="00000000" w:rsidP="00000000" w:rsidRDefault="00000000" w:rsidRPr="00000000" w14:paraId="00000007">
      <w:pPr>
        <w:rPr/>
      </w:pPr>
      <w:r w:rsidDel="00000000" w:rsidR="00000000" w:rsidRPr="00000000">
        <w:rPr>
          <w:rtl w:val="0"/>
        </w:rPr>
        <w:t xml:space="preserve">Notwithstanding its abbreviated name, the Habitats Directive (HD) seeks to protect not only habitats (specified in Annex II) but also species of Community interest. Annex V lists “species whose taking in the wild and exploitation may be subject to management measures”. It includes large carnivores in several Member States or regions</w:t>
      </w:r>
      <w:r w:rsidDel="00000000" w:rsidR="00000000" w:rsidRPr="00000000">
        <w:rPr>
          <w:vertAlign w:val="superscript"/>
        </w:rPr>
        <w:footnoteReference w:customMarkFollows="0" w:id="1"/>
      </w:r>
      <w:r w:rsidDel="00000000" w:rsidR="00000000" w:rsidRPr="00000000">
        <w:rPr>
          <w:rtl w:val="0"/>
        </w:rPr>
        <w:t xml:space="preserve"> where they may, for example, be hunted through quotas provided this is compatible with maintaining them in a favourable conservation status (FCS) in their natural range. In contrast, for species listed in Annex IV, which includes large carnivores in most Member States, a strict protection regime must be applied throughout their natural range, within and outside Natura 2000 sites. The Commission’s recent fitness check</w:t>
      </w:r>
      <w:r w:rsidDel="00000000" w:rsidR="00000000" w:rsidRPr="00000000">
        <w:rPr>
          <w:vertAlign w:val="superscript"/>
        </w:rPr>
        <w:footnoteReference w:customMarkFollows="0" w:id="2"/>
      </w:r>
      <w:r w:rsidDel="00000000" w:rsidR="00000000" w:rsidRPr="00000000">
        <w:rPr>
          <w:rtl w:val="0"/>
        </w:rPr>
        <w:t xml:space="preserve"> upheld these measures.</w:t>
      </w:r>
    </w:p>
    <w:p w:rsidR="00000000" w:rsidDel="00000000" w:rsidP="00000000" w:rsidRDefault="00000000" w:rsidRPr="00000000" w14:paraId="00000008">
      <w:pPr>
        <w:rPr/>
      </w:pPr>
      <w:r w:rsidDel="00000000" w:rsidR="00000000" w:rsidRPr="00000000">
        <w:rPr>
          <w:rtl w:val="0"/>
        </w:rPr>
        <w:t xml:space="preserve">While the HD bans the killing of strictly protected species, Member States can permit exceptions, provided that these are 1) justified on the basis of one or more of several concrete reasons, 2) there is no satisfactory alternative and 3) their killing is not detrimental to maintaining FCS. Derogations from strict protection have been used to allow lethal control in cases of serious damage to livestock or crops and to address public health and safety concerns (Trouwborst and Fleurke 2019). More controversially, some national authorities have used them to allow a </w:t>
      </w:r>
      <w:r w:rsidDel="00000000" w:rsidR="00000000" w:rsidRPr="00000000">
        <w:rPr>
          <w:i w:val="1"/>
          <w:rtl w:val="0"/>
        </w:rPr>
        <w:t xml:space="preserve">de facto</w:t>
      </w:r>
      <w:r w:rsidDel="00000000" w:rsidR="00000000" w:rsidRPr="00000000">
        <w:rPr>
          <w:rtl w:val="0"/>
        </w:rPr>
        <w:t xml:space="preserve"> form of hunting, in efforts to increase tolerance, reduce poaching, or create large carnivore “exclusion zones” (Trouwborst 2018, Epstein et al. 2019). It appears that not all such derogations are in compliance with the HD</w:t>
      </w:r>
      <w:r w:rsidDel="00000000" w:rsidR="00000000" w:rsidRPr="00000000">
        <w:rPr>
          <w:color w:val="000000"/>
          <w:vertAlign w:val="superscript"/>
        </w:rPr>
        <w:footnoteReference w:customMarkFollows="0" w:id="3"/>
      </w:r>
      <w:r w:rsidDel="00000000" w:rsidR="00000000" w:rsidRPr="00000000">
        <w:rPr>
          <w:rtl w:val="0"/>
        </w:rPr>
        <w:t xml:space="preserve"> and, indeed, there have been successful legal challenges (Epstein and Kantinkoski 2020).</w:t>
      </w:r>
    </w:p>
    <w:p w:rsidR="00000000" w:rsidDel="00000000" w:rsidP="00000000" w:rsidRDefault="00000000" w:rsidRPr="00000000" w14:paraId="00000009">
      <w:pPr>
        <w:rPr/>
      </w:pPr>
      <w:r w:rsidDel="00000000" w:rsidR="00000000" w:rsidRPr="00000000">
        <w:rPr>
          <w:rtl w:val="0"/>
        </w:rPr>
        <w:t xml:space="preserve">The Commission recently issued an updated Guidance document</w:t>
      </w:r>
      <w:r w:rsidDel="00000000" w:rsidR="00000000" w:rsidRPr="00000000">
        <w:rPr>
          <w:vertAlign w:val="superscript"/>
        </w:rPr>
        <w:footnoteReference w:customMarkFollows="0" w:id="4"/>
      </w:r>
      <w:r w:rsidDel="00000000" w:rsidR="00000000" w:rsidRPr="00000000">
        <w:rPr>
          <w:rtl w:val="0"/>
        </w:rPr>
        <w:t xml:space="preserve"> which confirms that the three conditions for derogations must be interpreted restrictively; derogations must be a last resort; and, in accordance with the proportionality principle, “as a general rule the severity of any of the conditions or tests will increase with the severity of the potential impact of a derogation on a species or population”. There is more scope for issuing derogations if FCS is achieved, because it is easier to meet the conditions specified in the HD. Nevertheless, the HD leaves considerable space for interpretation and it is the rulings of the Court of Justice of the European Union (CJEU) which decide what it actually entails in practice.</w:t>
      </w:r>
    </w:p>
    <w:p w:rsidR="00000000" w:rsidDel="00000000" w:rsidP="00000000" w:rsidRDefault="00000000" w:rsidRPr="00000000" w14:paraId="0000000A">
      <w:pPr>
        <w:pStyle w:val="Heading1"/>
        <w:rPr/>
      </w:pPr>
      <w:r w:rsidDel="00000000" w:rsidR="00000000" w:rsidRPr="00000000">
        <w:rPr>
          <w:rtl w:val="0"/>
        </w:rPr>
        <w:t xml:space="preserve">Definitions</w:t>
      </w:r>
    </w:p>
    <w:p w:rsidR="00000000" w:rsidDel="00000000" w:rsidP="00000000" w:rsidRDefault="00000000" w:rsidRPr="00000000" w14:paraId="0000000B">
      <w:pPr>
        <w:rPr/>
      </w:pPr>
      <w:r w:rsidDel="00000000" w:rsidR="00000000" w:rsidRPr="00000000">
        <w:rPr>
          <w:rtl w:val="0"/>
        </w:rPr>
        <w:t xml:space="preserve">A </w:t>
      </w:r>
      <w:r w:rsidDel="00000000" w:rsidR="00000000" w:rsidRPr="00000000">
        <w:rPr>
          <w:b w:val="1"/>
          <w:rtl w:val="0"/>
        </w:rPr>
        <w:t xml:space="preserve">derogation</w:t>
      </w:r>
      <w:r w:rsidDel="00000000" w:rsidR="00000000" w:rsidRPr="00000000">
        <w:rPr>
          <w:rtl w:val="0"/>
        </w:rPr>
        <w:t xml:space="preserve"> refers to the making or granting by EU Member States of an exception from the strict protection of species listed in Annex IV of the HD in accordance with Article 16.</w:t>
      </w:r>
    </w:p>
    <w:p w:rsidR="00000000" w:rsidDel="00000000" w:rsidP="00000000" w:rsidRDefault="00000000" w:rsidRPr="00000000" w14:paraId="0000000C">
      <w:pPr>
        <w:rPr/>
      </w:pPr>
      <w:r w:rsidDel="00000000" w:rsidR="00000000" w:rsidRPr="00000000">
        <w:rPr>
          <w:b w:val="1"/>
          <w:rtl w:val="0"/>
        </w:rPr>
        <w:t xml:space="preserve">Favourable conservation status</w:t>
      </w:r>
      <w:r w:rsidDel="00000000" w:rsidR="00000000" w:rsidRPr="00000000">
        <w:rPr>
          <w:rtl w:val="0"/>
        </w:rPr>
        <w:t xml:space="preserve"> (FCS) is a complex concept in terms of both legal and ecological aspects (Epstein et al. 2016, Trouwborst et al. 2017). Article 1(i) of the HD stipulates that, “conservation status will be taken as ‘favourable’ when: population dynamics data on the species concerned indicate that it is maintaining itself on a long-term basis as a viable component of its natural habitats, and the natural range of the species is neither being reduced nor is likely to be reduced for the foreseeable future, and there is, and will probably continue to be, a sufficiently large habitat to maintain its populations on a long-term basis.” For further information on assessing FCS, see </w:t>
      </w:r>
      <w:r w:rsidDel="00000000" w:rsidR="00000000" w:rsidRPr="00000000">
        <w:rPr>
          <w:highlight w:val="yellow"/>
          <w:rtl w:val="0"/>
        </w:rPr>
        <w:t xml:space="preserve">Surveillance, monitoring and the Habitats Directive.</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Legislation</w:t>
      </w:r>
    </w:p>
    <w:p w:rsidR="00000000" w:rsidDel="00000000" w:rsidP="00000000" w:rsidRDefault="00000000" w:rsidRPr="00000000" w14:paraId="0000000E">
      <w:pPr>
        <w:rPr/>
      </w:pPr>
      <w:r w:rsidDel="00000000" w:rsidR="00000000" w:rsidRPr="00000000">
        <w:rPr>
          <w:rtl w:val="0"/>
        </w:rPr>
        <w:t xml:space="preserve">The primary objective of the HD is the maintenance or restoration at FCS of all natural habitats and species of Community interest, which include large carnivores. It leaves Member States flexibility as to the form and methods of achieving its aims, but the result to be achieved is binding and the discretionary power of Member States is subject to limitations and must respect a number of minimum requirements. The following is a summary of pertinent clauses in the HD, the full text of which is available </w:t>
      </w:r>
      <w:hyperlink r:id="rId7">
        <w:r w:rsidDel="00000000" w:rsidR="00000000" w:rsidRPr="00000000">
          <w:rPr>
            <w:color w:val="0563c1"/>
            <w:u w:val="single"/>
            <w:rtl w:val="0"/>
          </w:rPr>
          <w:t xml:space="preserve">here</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b w:val="1"/>
          <w:rtl w:val="0"/>
        </w:rPr>
        <w:t xml:space="preserve">Article 11</w:t>
      </w:r>
      <w:r w:rsidDel="00000000" w:rsidR="00000000" w:rsidRPr="00000000">
        <w:rPr>
          <w:rtl w:val="0"/>
        </w:rPr>
        <w:t xml:space="preserve"> requires Member States to “undertake surveillance of the conservation status of the … species referred to in </w:t>
      </w:r>
      <w:r w:rsidDel="00000000" w:rsidR="00000000" w:rsidRPr="00000000">
        <w:rPr>
          <w:b w:val="1"/>
          <w:rtl w:val="0"/>
        </w:rPr>
        <w:t xml:space="preserve">Article 2</w:t>
      </w:r>
      <w:r w:rsidDel="00000000" w:rsidR="00000000" w:rsidRPr="00000000">
        <w:rPr>
          <w:rtl w:val="0"/>
        </w:rPr>
        <w:t xml:space="preserve"> with particular regard to … priority species”. This obligation applies to all species of Community interest listed in </w:t>
      </w:r>
      <w:r w:rsidDel="00000000" w:rsidR="00000000" w:rsidRPr="00000000">
        <w:rPr>
          <w:u w:val="single"/>
          <w:rtl w:val="0"/>
        </w:rPr>
        <w:t xml:space="preserve">Annex II, IV or V</w:t>
      </w:r>
      <w:r w:rsidDel="00000000" w:rsidR="00000000" w:rsidRPr="00000000">
        <w:rPr>
          <w:rtl w:val="0"/>
        </w:rPr>
        <w:t xml:space="preserve">, which include all native large carnivores throughout the EU</w:t>
      </w:r>
      <w:r w:rsidDel="00000000" w:rsidR="00000000" w:rsidRPr="00000000">
        <w:rPr>
          <w:vertAlign w:val="superscript"/>
        </w:rPr>
        <w:footnoteReference w:customMarkFollows="0" w:id="5"/>
      </w:r>
      <w:r w:rsidDel="00000000" w:rsidR="00000000" w:rsidRPr="00000000">
        <w:rPr>
          <w:rtl w:val="0"/>
        </w:rPr>
        <w:t xml:space="preserve">. Data </w:t>
      </w:r>
      <w:r w:rsidDel="00000000" w:rsidR="00000000" w:rsidRPr="00000000">
        <w:rPr>
          <w:rtl w:val="0"/>
        </w:rPr>
        <w:t xml:space="preserve">need</w:t>
      </w:r>
      <w:r w:rsidDel="00000000" w:rsidR="00000000" w:rsidRPr="00000000">
        <w:rPr>
          <w:rtl w:val="0"/>
        </w:rPr>
        <w:t xml:space="preserve"> to be collected both inside and outside Natura 2000 sites to achieve a full assessment of conservation status.</w:t>
      </w:r>
    </w:p>
    <w:p w:rsidR="00000000" w:rsidDel="00000000" w:rsidP="00000000" w:rsidRDefault="00000000" w:rsidRPr="00000000" w14:paraId="00000010">
      <w:pPr>
        <w:rPr/>
      </w:pPr>
      <w:r w:rsidDel="00000000" w:rsidR="00000000" w:rsidRPr="00000000">
        <w:rPr>
          <w:b w:val="1"/>
          <w:rtl w:val="0"/>
        </w:rPr>
        <w:t xml:space="preserve">Article 12</w:t>
      </w:r>
      <w:r w:rsidDel="00000000" w:rsidR="00000000" w:rsidRPr="00000000">
        <w:rPr>
          <w:rtl w:val="0"/>
        </w:rPr>
        <w:t xml:space="preserve"> requires Member States to “take the requisite measures to establish a system of strict protection for the animal species listed in </w:t>
      </w:r>
      <w:r w:rsidDel="00000000" w:rsidR="00000000" w:rsidRPr="00000000">
        <w:rPr>
          <w:u w:val="single"/>
          <w:rtl w:val="0"/>
        </w:rPr>
        <w:t xml:space="preserve">Annex IV(a)</w:t>
      </w:r>
      <w:r w:rsidDel="00000000" w:rsidR="00000000" w:rsidRPr="00000000">
        <w:rPr>
          <w:rtl w:val="0"/>
        </w:rPr>
        <w:t xml:space="preserve"> in their natural range”. This includes the brown bear in all Member States where it occurs, likewise for lynx in all countries with the exception of Estonia and the wolf in most countries. Specifically, all forms of deliberate capture or killing, deliberate disturbance, and deterioration or destruction of breeding sites or resting places are prohibited. Article 12(4) stipulates that, “Member States shall establish a system to monitor the incidental capture and killing of the animal species listed in Annex IV(a). In the light of the information gathered, Member States shall take further research or conservation measures as required to ensure that incidental capture and killing does not have a significant negative impact on the species concerned.”</w:t>
      </w:r>
    </w:p>
    <w:p w:rsidR="00000000" w:rsidDel="00000000" w:rsidP="00000000" w:rsidRDefault="00000000" w:rsidRPr="00000000" w14:paraId="00000011">
      <w:pPr>
        <w:rPr/>
      </w:pPr>
      <w:r w:rsidDel="00000000" w:rsidR="00000000" w:rsidRPr="00000000">
        <w:rPr>
          <w:b w:val="1"/>
          <w:rtl w:val="0"/>
        </w:rPr>
        <w:t xml:space="preserve">Article 14</w:t>
      </w:r>
      <w:r w:rsidDel="00000000" w:rsidR="00000000" w:rsidRPr="00000000">
        <w:rPr>
          <w:rtl w:val="0"/>
        </w:rPr>
        <w:t xml:space="preserve"> states that, “If, in the light of the surveillance provided for in Article 11, Member States deem it necessary, they shall take measures to ensure that the taking in the wild of specimens of species of wild fauna and flora listed in </w:t>
      </w:r>
      <w:r w:rsidDel="00000000" w:rsidR="00000000" w:rsidRPr="00000000">
        <w:rPr>
          <w:u w:val="single"/>
          <w:rtl w:val="0"/>
        </w:rPr>
        <w:t xml:space="preserve">Annex V</w:t>
      </w:r>
      <w:r w:rsidDel="00000000" w:rsidR="00000000" w:rsidRPr="00000000">
        <w:rPr>
          <w:rtl w:val="0"/>
        </w:rPr>
        <w:t xml:space="preserve"> as well as their exploitation is compatible with their being maintained at a favourable conservation status.” It includes examples of measures that may be taken.</w:t>
      </w:r>
    </w:p>
    <w:p w:rsidR="00000000" w:rsidDel="00000000" w:rsidP="00000000" w:rsidRDefault="00000000" w:rsidRPr="00000000" w14:paraId="00000012">
      <w:pPr>
        <w:rPr/>
      </w:pPr>
      <w:r w:rsidDel="00000000" w:rsidR="00000000" w:rsidRPr="00000000">
        <w:rPr>
          <w:b w:val="1"/>
          <w:rtl w:val="0"/>
        </w:rPr>
        <w:t xml:space="preserve">Article 15</w:t>
      </w:r>
      <w:r w:rsidDel="00000000" w:rsidR="00000000" w:rsidRPr="00000000">
        <w:rPr>
          <w:rtl w:val="0"/>
        </w:rPr>
        <w:t xml:space="preserve"> bans “the use of all indiscriminate means capable of causing local disappearance of, or serious disturbance to, populations” of species listed in </w:t>
      </w:r>
      <w:r w:rsidDel="00000000" w:rsidR="00000000" w:rsidRPr="00000000">
        <w:rPr>
          <w:u w:val="single"/>
          <w:rtl w:val="0"/>
        </w:rPr>
        <w:t xml:space="preserve">Annex IV or V</w:t>
      </w:r>
      <w:r w:rsidDel="00000000" w:rsidR="00000000" w:rsidRPr="00000000">
        <w:rPr>
          <w:rtl w:val="0"/>
        </w:rPr>
        <w:t xml:space="preserve">.</w:t>
      </w:r>
    </w:p>
    <w:p w:rsidR="00000000" w:rsidDel="00000000" w:rsidP="00000000" w:rsidRDefault="00000000" w:rsidRPr="00000000" w14:paraId="00000013">
      <w:pPr>
        <w:spacing w:after="60" w:lineRule="auto"/>
        <w:rPr/>
      </w:pPr>
      <w:r w:rsidDel="00000000" w:rsidR="00000000" w:rsidRPr="00000000">
        <w:rPr>
          <w:b w:val="1"/>
          <w:rtl w:val="0"/>
        </w:rPr>
        <w:t xml:space="preserve">Article 16</w:t>
      </w:r>
      <w:r w:rsidDel="00000000" w:rsidR="00000000" w:rsidRPr="00000000">
        <w:rPr>
          <w:rtl w:val="0"/>
        </w:rPr>
        <w:t xml:space="preserve"> provides limited scope for making or granting exceptions from strict protection but it </w:t>
      </w:r>
      <w:r w:rsidDel="00000000" w:rsidR="00000000" w:rsidRPr="00000000">
        <w:rPr>
          <w:u w:val="single"/>
          <w:rtl w:val="0"/>
        </w:rPr>
        <w:t xml:space="preserve">sets three tests, all of which must be met</w:t>
      </w:r>
      <w:r w:rsidDel="00000000" w:rsidR="00000000" w:rsidRPr="00000000">
        <w:rPr>
          <w:rtl w:val="0"/>
        </w:rPr>
        <w:t xml:space="preserve"> before granting such a derogation:</w:t>
      </w:r>
    </w:p>
    <w:p w:rsidR="00000000" w:rsidDel="00000000" w:rsidP="00000000" w:rsidRDefault="00000000" w:rsidRPr="00000000" w14:paraId="00000014">
      <w:pPr>
        <w:spacing w:after="60" w:lineRule="auto"/>
        <w:ind w:left="359" w:firstLine="0"/>
        <w:rPr/>
      </w:pPr>
      <w:r w:rsidDel="00000000" w:rsidR="00000000" w:rsidRPr="00000000">
        <w:rPr>
          <w:u w:val="single"/>
          <w:rtl w:val="0"/>
        </w:rPr>
        <w:t xml:space="preserve">Test 1</w:t>
      </w:r>
      <w:r w:rsidDel="00000000" w:rsidR="00000000" w:rsidRPr="00000000">
        <w:rPr>
          <w:rtl w:val="0"/>
        </w:rPr>
        <w:t xml:space="preserve">: the statutory purpose of the derogation is in accordance with one or more of the reasons listed in Article 16(1) (a)-(d) or (e);</w:t>
      </w:r>
    </w:p>
    <w:p w:rsidR="00000000" w:rsidDel="00000000" w:rsidP="00000000" w:rsidRDefault="00000000" w:rsidRPr="00000000" w14:paraId="00000015">
      <w:pPr>
        <w:spacing w:after="60" w:lineRule="auto"/>
        <w:ind w:left="359" w:firstLine="0"/>
        <w:rPr/>
      </w:pPr>
      <w:r w:rsidDel="00000000" w:rsidR="00000000" w:rsidRPr="00000000">
        <w:rPr>
          <w:u w:val="single"/>
          <w:rtl w:val="0"/>
        </w:rPr>
        <w:t xml:space="preserve">Test 2</w:t>
      </w:r>
      <w:r w:rsidDel="00000000" w:rsidR="00000000" w:rsidRPr="00000000">
        <w:rPr>
          <w:rtl w:val="0"/>
        </w:rPr>
        <w:t xml:space="preserve">: there is no satisfactory alternative;</w:t>
      </w:r>
    </w:p>
    <w:p w:rsidR="00000000" w:rsidDel="00000000" w:rsidP="00000000" w:rsidRDefault="00000000" w:rsidRPr="00000000" w14:paraId="00000016">
      <w:pPr>
        <w:ind w:left="359" w:firstLine="0"/>
        <w:rPr/>
      </w:pPr>
      <w:r w:rsidDel="00000000" w:rsidR="00000000" w:rsidRPr="00000000">
        <w:rPr>
          <w:u w:val="single"/>
          <w:rtl w:val="0"/>
        </w:rPr>
        <w:t xml:space="preserve">Test 3</w:t>
      </w:r>
      <w:r w:rsidDel="00000000" w:rsidR="00000000" w:rsidRPr="00000000">
        <w:rPr>
          <w:rtl w:val="0"/>
        </w:rPr>
        <w:t xml:space="preserve">: the derogation is not detrimental to achieving or maintaining FCS of populations.</w:t>
      </w:r>
    </w:p>
    <w:p w:rsidR="00000000" w:rsidDel="00000000" w:rsidP="00000000" w:rsidRDefault="00000000" w:rsidRPr="00000000" w14:paraId="00000017">
      <w:pPr>
        <w:rPr/>
      </w:pPr>
      <w:r w:rsidDel="00000000" w:rsidR="00000000" w:rsidRPr="00000000">
        <w:rPr>
          <w:rtl w:val="0"/>
        </w:rPr>
        <w:t xml:space="preserve">Reasons for which derogations may be issued are described in Article 16(1) as follows: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in the interest of protecting wild fauna and flora and conserving natural habitats;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to prevent serious damage, in particular to crops, livestock, forests, fisheries and water and other types of property;</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in the interests of public health and public safety, or for other imperative reasons of overriding public interest, including those of a social or economic nature and beneficial consequences of primary importance for the environment;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for the purpose of research and education, of repopulating and re-introducing these species and for the breedings operations necessary for these purposes;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to allow, under strictly supervised conditions, on a selective basis and to a limited extent, the taking or keeping of certain specimens of the species listed in Annex IV in limited numbers specified by the competent national authorities.</w:t>
      </w:r>
    </w:p>
    <w:p w:rsidR="00000000" w:rsidDel="00000000" w:rsidP="00000000" w:rsidRDefault="00000000" w:rsidRPr="00000000" w14:paraId="0000001D">
      <w:pPr>
        <w:rPr/>
      </w:pPr>
      <w:r w:rsidDel="00000000" w:rsidR="00000000" w:rsidRPr="00000000">
        <w:rPr>
          <w:rtl w:val="0"/>
        </w:rPr>
        <w:t xml:space="preserve">Article 16(2–3) further stipulates that the competent national authorities must not only ensure that a derogation meets all three tests, but they must also supervise and monitor implementation and report every two years sufficient information to enable the Commission to evaluate whether it was correctly applied and achieved its objective, supported by scientifically based evidence, and, if necessary, take corrective measures.</w:t>
      </w:r>
    </w:p>
    <w:p w:rsidR="00000000" w:rsidDel="00000000" w:rsidP="00000000" w:rsidRDefault="00000000" w:rsidRPr="00000000" w14:paraId="0000001E">
      <w:pPr>
        <w:rPr/>
      </w:pPr>
      <w:r w:rsidDel="00000000" w:rsidR="00000000" w:rsidRPr="00000000">
        <w:rPr>
          <w:b w:val="1"/>
          <w:rtl w:val="0"/>
        </w:rPr>
        <w:t xml:space="preserve">Article 17</w:t>
      </w:r>
      <w:r w:rsidDel="00000000" w:rsidR="00000000" w:rsidRPr="00000000">
        <w:rPr>
          <w:rtl w:val="0"/>
        </w:rPr>
        <w:t xml:space="preserve"> requires Member States to report every six years about the progress made with the implementation of the Habitats Directive</w:t>
      </w:r>
      <w:r w:rsidDel="00000000" w:rsidR="00000000" w:rsidRPr="00000000">
        <w:rPr>
          <w:vertAlign w:val="superscript"/>
        </w:rPr>
        <w:footnoteReference w:customMarkFollows="0" w:id="6"/>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b w:val="1"/>
          <w:rtl w:val="0"/>
        </w:rPr>
        <w:t xml:space="preserve">Article 18</w:t>
      </w:r>
      <w:r w:rsidDel="00000000" w:rsidR="00000000" w:rsidRPr="00000000">
        <w:rPr>
          <w:rtl w:val="0"/>
        </w:rPr>
        <w:t xml:space="preserve"> encourages research and scientific work in fulfilment of the Article 11 obligation to conduct surveillance and encourages transboundary cooperative research.</w:t>
      </w:r>
    </w:p>
    <w:p w:rsidR="00000000" w:rsidDel="00000000" w:rsidP="00000000" w:rsidRDefault="00000000" w:rsidRPr="00000000" w14:paraId="00000020">
      <w:pPr>
        <w:rPr/>
      </w:pPr>
      <w:r w:rsidDel="00000000" w:rsidR="00000000" w:rsidRPr="00000000">
        <w:rPr>
          <w:b w:val="1"/>
          <w:rtl w:val="0"/>
        </w:rPr>
        <w:t xml:space="preserve">Article 19</w:t>
      </w:r>
      <w:r w:rsidDel="00000000" w:rsidR="00000000" w:rsidRPr="00000000">
        <w:rPr>
          <w:rtl w:val="0"/>
        </w:rPr>
        <w:t xml:space="preserve"> stipulates that the Council of the EU can adopt amendments to the Annexes on the basis of a proposal from the Commission. In the case of Annex IV, a unanimous decision is required whereas for other Annexes a qualified majority of the Council is sufficient.</w:t>
      </w:r>
    </w:p>
    <w:p w:rsidR="00000000" w:rsidDel="00000000" w:rsidP="00000000" w:rsidRDefault="00000000" w:rsidRPr="00000000" w14:paraId="00000021">
      <w:pPr>
        <w:pStyle w:val="Heading1"/>
        <w:rPr/>
      </w:pPr>
      <w:r w:rsidDel="00000000" w:rsidR="00000000" w:rsidRPr="00000000">
        <w:rPr>
          <w:rtl w:val="0"/>
        </w:rPr>
        <w:t xml:space="preserve">EU Court of Justice rulings </w:t>
      </w:r>
    </w:p>
    <w:p w:rsidR="00000000" w:rsidDel="00000000" w:rsidP="00000000" w:rsidRDefault="00000000" w:rsidRPr="00000000" w14:paraId="00000022">
      <w:pPr>
        <w:rPr/>
      </w:pPr>
      <w:r w:rsidDel="00000000" w:rsidR="00000000" w:rsidRPr="00000000">
        <w:rPr>
          <w:rtl w:val="0"/>
        </w:rPr>
        <w:t xml:space="preserve">The CJEU is the ultimate authority on interpretation of the HD. It has ruled in a few cases about large carnivores as well as others which, while not dealing with large carnivores </w:t>
      </w:r>
      <w:r w:rsidDel="00000000" w:rsidR="00000000" w:rsidRPr="00000000">
        <w:rPr>
          <w:i w:val="1"/>
          <w:rtl w:val="0"/>
        </w:rPr>
        <w:t xml:space="preserve">per se</w:t>
      </w:r>
      <w:r w:rsidDel="00000000" w:rsidR="00000000" w:rsidRPr="00000000">
        <w:rPr>
          <w:rtl w:val="0"/>
        </w:rPr>
        <w:t xml:space="preserve">, are nevertheless informative as the HD applies to all listed species. Detailed examples can be found in the Commission’s Guidance document. Here, two recent cases on wolf hunting and management are summarised.</w:t>
      </w:r>
    </w:p>
    <w:p w:rsidR="00000000" w:rsidDel="00000000" w:rsidP="00000000" w:rsidRDefault="00000000" w:rsidRPr="00000000" w14:paraId="00000023">
      <w:pPr>
        <w:rPr/>
      </w:pPr>
      <w:r w:rsidDel="00000000" w:rsidR="00000000" w:rsidRPr="00000000">
        <w:rPr>
          <w:rtl w:val="0"/>
        </w:rPr>
        <w:t xml:space="preserve">On 10</w:t>
      </w:r>
      <w:r w:rsidDel="00000000" w:rsidR="00000000" w:rsidRPr="00000000">
        <w:rPr>
          <w:vertAlign w:val="superscript"/>
          <w:rtl w:val="0"/>
        </w:rPr>
        <w:t xml:space="preserve">th</w:t>
      </w:r>
      <w:r w:rsidDel="00000000" w:rsidR="00000000" w:rsidRPr="00000000">
        <w:rPr>
          <w:rtl w:val="0"/>
        </w:rPr>
        <w:t xml:space="preserve"> October 2019 the CJEU issued a judgement concerning the killing of wolves in Finland, where the wolf is among protected species listed in Annex IV of the HD. Case no. C-674/17</w:t>
      </w:r>
      <w:r w:rsidDel="00000000" w:rsidR="00000000" w:rsidRPr="00000000">
        <w:rPr>
          <w:sz w:val="24"/>
          <w:szCs w:val="24"/>
          <w:vertAlign w:val="superscript"/>
        </w:rPr>
        <w:footnoteReference w:customMarkFollows="0" w:id="7"/>
      </w:r>
      <w:r w:rsidDel="00000000" w:rsidR="00000000" w:rsidRPr="00000000">
        <w:rPr>
          <w:rtl w:val="0"/>
        </w:rPr>
        <w:t xml:space="preserve"> was referred to the CJEU after Tapiola, an environmental group, challenged a decision by the Finnish Wildlife Agency to allow wolf hunting for “population management purposes” in order to reduce poaching, prevent harm to dogs and improve the feeling of security of people living in areas with wolves. The CJEU found that the tests for derogations were not met and reiterated the strict limitations on the use of such derogations for the hunting of wolves and other large carnivores. Furthermore, the CJEU pointed out that, in accordance with the </w:t>
      </w:r>
      <w:r w:rsidDel="00000000" w:rsidR="00000000" w:rsidRPr="00000000">
        <w:rPr>
          <w:b w:val="1"/>
          <w:rtl w:val="0"/>
        </w:rPr>
        <w:t xml:space="preserve">precautionary principle</w:t>
      </w:r>
      <w:r w:rsidDel="00000000" w:rsidR="00000000" w:rsidRPr="00000000">
        <w:rPr>
          <w:vertAlign w:val="superscript"/>
        </w:rPr>
        <w:footnoteReference w:customMarkFollows="0" w:id="8"/>
      </w:r>
      <w:r w:rsidDel="00000000" w:rsidR="00000000" w:rsidRPr="00000000">
        <w:rPr>
          <w:rtl w:val="0"/>
        </w:rPr>
        <w:t xml:space="preserve">, if, after examining the best scientific data available, there remains uncertainty as to whether or not a derogation will be detrimental to the maintenance or restoration of populations of an endangered species at a favourable conservation status, the Member State must refrain from granting or implementing that derogation. Furthermore, the strict species protection pursuant to Article 12 applies to all Annex IV species irrespective of whether they have achieved FCS.</w:t>
      </w:r>
    </w:p>
    <w:p w:rsidR="00000000" w:rsidDel="00000000" w:rsidP="00000000" w:rsidRDefault="00000000" w:rsidRPr="00000000" w14:paraId="00000024">
      <w:pPr>
        <w:rPr/>
      </w:pPr>
      <w:r w:rsidDel="00000000" w:rsidR="00000000" w:rsidRPr="00000000">
        <w:rPr>
          <w:rtl w:val="0"/>
        </w:rPr>
        <w:t xml:space="preserve">In its judgement on case no. C-88/19</w:t>
      </w:r>
      <w:r w:rsidDel="00000000" w:rsidR="00000000" w:rsidRPr="00000000">
        <w:rPr>
          <w:vertAlign w:val="superscript"/>
        </w:rPr>
        <w:footnoteReference w:customMarkFollows="0" w:id="9"/>
      </w:r>
      <w:r w:rsidDel="00000000" w:rsidR="00000000" w:rsidRPr="00000000">
        <w:rPr>
          <w:rtl w:val="0"/>
        </w:rPr>
        <w:t xml:space="preserve"> </w:t>
      </w:r>
      <w:r w:rsidDel="00000000" w:rsidR="00000000" w:rsidRPr="00000000">
        <w:rPr>
          <w:rtl w:val="0"/>
        </w:rPr>
        <w:t xml:space="preserve">of 11</w:t>
      </w:r>
      <w:r w:rsidDel="00000000" w:rsidR="00000000" w:rsidRPr="00000000">
        <w:rPr>
          <w:vertAlign w:val="superscript"/>
          <w:rtl w:val="0"/>
        </w:rPr>
        <w:t xml:space="preserve">th</w:t>
      </w:r>
      <w:r w:rsidDel="00000000" w:rsidR="00000000" w:rsidRPr="00000000">
        <w:rPr>
          <w:rtl w:val="0"/>
        </w:rPr>
        <w:t xml:space="preserve"> June 2020, the CJEU ruled that strict protection of species under the HD also extends to those that leave their natural habitat and stray into human settlements. The case concerned the capture and relocation of a wolf from a village in Romania. The CJEU found that the “natural range” of strictly protected animal species includes human settlements if the species occurs there of its own volition. Management actions within human settlements, if they involve capture or killing, therefore require the competent national authority to issue a derogation from the system of strict protection laid down in the Member State’s full legislative framework under the HD.</w:t>
      </w:r>
    </w:p>
    <w:p w:rsidR="00000000" w:rsidDel="00000000" w:rsidP="00000000" w:rsidRDefault="00000000" w:rsidRPr="00000000" w14:paraId="00000025">
      <w:pPr>
        <w:pStyle w:val="Heading1"/>
        <w:rPr/>
      </w:pPr>
      <w:r w:rsidDel="00000000" w:rsidR="00000000" w:rsidRPr="00000000">
        <w:rPr>
          <w:rtl w:val="0"/>
        </w:rPr>
        <w:t xml:space="preserve">Guidance document </w:t>
      </w:r>
    </w:p>
    <w:p w:rsidR="00000000" w:rsidDel="00000000" w:rsidP="00000000" w:rsidRDefault="00000000" w:rsidRPr="00000000" w14:paraId="00000026">
      <w:pPr>
        <w:rPr/>
      </w:pPr>
      <w:r w:rsidDel="00000000" w:rsidR="00000000" w:rsidRPr="00000000">
        <w:rPr>
          <w:rtl w:val="0"/>
        </w:rPr>
        <w:t xml:space="preserve">The Commission’s </w:t>
      </w:r>
      <w:r w:rsidDel="00000000" w:rsidR="00000000" w:rsidRPr="00000000">
        <w:rPr>
          <w:i w:val="1"/>
          <w:rtl w:val="0"/>
        </w:rPr>
        <w:t xml:space="preserve">Guidance document on the strict protection of animal species of Community interest under the Habitats Directive</w:t>
      </w:r>
      <w:r w:rsidDel="00000000" w:rsidR="00000000" w:rsidRPr="00000000">
        <w:rPr>
          <w:i w:val="1"/>
          <w:vertAlign w:val="superscript"/>
        </w:rPr>
        <w:footnoteReference w:customMarkFollows="0" w:id="10"/>
      </w:r>
      <w:r w:rsidDel="00000000" w:rsidR="00000000" w:rsidRPr="00000000">
        <w:rPr>
          <w:rtl w:val="0"/>
        </w:rPr>
        <w:t xml:space="preserve"> is intended for national, regional and local authorities, conservation bodies and other organisations responsible for, or involved in, implementation of the HD, and other stakeholders. The current version was adopted on 12</w:t>
      </w:r>
      <w:r w:rsidDel="00000000" w:rsidR="00000000" w:rsidRPr="00000000">
        <w:rPr>
          <w:vertAlign w:val="superscript"/>
          <w:rtl w:val="0"/>
        </w:rPr>
        <w:t xml:space="preserve">th</w:t>
      </w:r>
      <w:r w:rsidDel="00000000" w:rsidR="00000000" w:rsidRPr="00000000">
        <w:rPr>
          <w:rtl w:val="0"/>
        </w:rPr>
        <w:t xml:space="preserve"> October 2021 in light of CJEU rulings, practical experience and consultation with authorities and stakeholders. It aims to provide assistance in devising effective and pragmatic ways of applying the provisions of the HD while fully respecting the legal framework.</w:t>
      </w:r>
    </w:p>
    <w:p w:rsidR="00000000" w:rsidDel="00000000" w:rsidP="00000000" w:rsidRDefault="00000000" w:rsidRPr="00000000" w14:paraId="00000027">
      <w:pPr>
        <w:rPr/>
      </w:pPr>
      <w:r w:rsidDel="00000000" w:rsidR="00000000" w:rsidRPr="00000000">
        <w:rPr>
          <w:rtl w:val="0"/>
        </w:rPr>
        <w:t xml:space="preserve">In addition to explaining the obligations of Member States arising from Articles 12 and 16 of the HD, it contains information, advice and good practices on how to address conflicts as well as other initiatives and possibilities to help facilitate coexistence of people and wildlife including large carnivores</w:t>
      </w:r>
      <w:r w:rsidDel="00000000" w:rsidR="00000000" w:rsidRPr="00000000">
        <w:rPr>
          <w:vertAlign w:val="superscript"/>
        </w:rPr>
        <w:footnoteReference w:customMarkFollows="0" w:id="11"/>
      </w:r>
      <w:r w:rsidDel="00000000" w:rsidR="00000000" w:rsidRPr="00000000">
        <w:rPr>
          <w:rtl w:val="0"/>
        </w:rPr>
        <w:t xml:space="preserve">. The guidance is not in itself legislative (the only legally binding texts are the HD and its interpretations by the CJEU) and is expected to be updated at regular intervals in light of any emerging jurisprudence and further experience arising from the implementation of Articles 12 and 16. Nevertheless, the current version provides clarifications and specific examples in line with recent legal interpretations by the CJEU. In particular, it offers detailed explanations of the criteria applied when assessing whether the tests for derogations from strict protection have been met. Annex III includes a detailed example of the implementation of Article 12 in the case of the wolf.</w:t>
      </w:r>
    </w:p>
    <w:p w:rsidR="00000000" w:rsidDel="00000000" w:rsidP="00000000" w:rsidRDefault="00000000" w:rsidRPr="00000000" w14:paraId="00000028">
      <w:pPr>
        <w:pStyle w:val="Heading1"/>
        <w:rPr/>
      </w:pPr>
      <w:r w:rsidDel="00000000" w:rsidR="00000000" w:rsidRPr="00000000">
        <w:rPr>
          <w:rtl w:val="0"/>
        </w:rPr>
        <w:t xml:space="preserve">Contact: expert on European environmental legislation</w:t>
      </w:r>
    </w:p>
    <w:p w:rsidR="00000000" w:rsidDel="00000000" w:rsidP="00000000" w:rsidRDefault="00000000" w:rsidRPr="00000000" w14:paraId="00000029">
      <w:pPr>
        <w:rPr/>
      </w:pPr>
      <w:r w:rsidDel="00000000" w:rsidR="00000000" w:rsidRPr="00000000">
        <w:rPr>
          <w:rtl w:val="0"/>
        </w:rPr>
        <w:t xml:space="preserve">Arie Trouwborst (Associate Professor of Environmental Law, Tilburg University Department of Public Law &amp; Governance, The Netherlands) - </w:t>
      </w:r>
      <w:hyperlink r:id="rId8">
        <w:r w:rsidDel="00000000" w:rsidR="00000000" w:rsidRPr="00000000">
          <w:rPr>
            <w:color w:val="0563c1"/>
            <w:u w:val="single"/>
            <w:rtl w:val="0"/>
          </w:rPr>
          <w:t xml:space="preserve">A.Trouwborst@tilburguniversity.edu</w:t>
        </w:r>
      </w:hyperlink>
      <w:r w:rsidDel="00000000" w:rsidR="00000000" w:rsidRPr="00000000">
        <w:rPr>
          <w:rtl w:val="0"/>
        </w:rPr>
        <w:t xml:space="preserve">.</w:t>
      </w:r>
    </w:p>
    <w:p w:rsidR="00000000" w:rsidDel="00000000" w:rsidP="00000000" w:rsidRDefault="00000000" w:rsidRPr="00000000" w14:paraId="0000002A">
      <w:pPr>
        <w:pStyle w:val="Heading2"/>
        <w:rPr/>
      </w:pPr>
      <w:r w:rsidDel="00000000" w:rsidR="00000000" w:rsidRPr="00000000">
        <w:rPr>
          <w:rtl w:val="0"/>
        </w:rPr>
        <w:t xml:space="preserve">Steps towards compliance with the HD when issuing derogations</w:t>
      </w:r>
    </w:p>
    <w:p w:rsidR="00000000" w:rsidDel="00000000" w:rsidP="00000000" w:rsidRDefault="00000000" w:rsidRPr="00000000" w14:paraId="0000002B">
      <w:pPr>
        <w:rPr/>
      </w:pPr>
      <w:r w:rsidDel="00000000" w:rsidR="00000000" w:rsidRPr="00000000">
        <w:rPr>
          <w:rtl w:val="0"/>
        </w:rPr>
        <w:t xml:space="preserve">Whether particular actions are in accordance with the HD is ultimately determined by the rulings of the CJEU. Nevertheless, the following steps offer a broad guide to the issues that authorities need to address when making a robust derogation argument.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Establish a system of strict protection of species listed in Annex IV(a) in accordance with Article 12.</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Conduct regular, permanent monitoring of conservation status to meet the requirements of Articles 11 (on surveillance), 16 (derogations) and 17 (reporting) – Member States must have data available about the conservation status of the species before any derogation is issued.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Establish a system to monitor incidental capture and killing of species listed in Annex IV(a), as required by Article 12.</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Before issuing a derogation, follow the explanations of criteria and detailed examples in the EC Guidance document to ensure that </w:t>
      </w:r>
      <w:r w:rsidDel="00000000" w:rsidR="00000000" w:rsidRPr="00000000">
        <w:rPr>
          <w:i w:val="0"/>
          <w:smallCaps w:val="0"/>
          <w:strike w:val="0"/>
          <w:color w:val="000000"/>
          <w:sz w:val="22"/>
          <w:szCs w:val="22"/>
          <w:u w:val="single"/>
          <w:shd w:fill="auto" w:val="clear"/>
          <w:vertAlign w:val="baseline"/>
          <w:rtl w:val="0"/>
        </w:rPr>
        <w:t xml:space="preserve">all three tests</w:t>
      </w:r>
      <w:r w:rsidDel="00000000" w:rsidR="00000000" w:rsidRPr="00000000">
        <w:rPr>
          <w:i w:val="0"/>
          <w:smallCaps w:val="0"/>
          <w:strike w:val="0"/>
          <w:color w:val="000000"/>
          <w:sz w:val="22"/>
          <w:szCs w:val="22"/>
          <w:u w:val="none"/>
          <w:shd w:fill="auto" w:val="clear"/>
          <w:vertAlign w:val="baseline"/>
          <w:rtl w:val="0"/>
        </w:rPr>
        <w:t xml:space="preserve"> in Article 16(1) are met:</w:t>
      </w:r>
    </w:p>
    <w:p w:rsidR="00000000" w:rsidDel="00000000" w:rsidP="00000000" w:rsidRDefault="00000000" w:rsidRPr="00000000" w14:paraId="00000030">
      <w:pPr>
        <w:spacing w:after="0" w:lineRule="auto"/>
        <w:ind w:left="1134" w:firstLine="0"/>
        <w:rPr/>
      </w:pPr>
      <w:r w:rsidDel="00000000" w:rsidR="00000000" w:rsidRPr="00000000">
        <w:rPr>
          <w:rtl w:val="0"/>
        </w:rPr>
        <w:t xml:space="preserve">Test 1: Is the derogation justified?</w:t>
      </w:r>
    </w:p>
    <w:p w:rsidR="00000000" w:rsidDel="00000000" w:rsidP="00000000" w:rsidRDefault="00000000" w:rsidRPr="00000000" w14:paraId="00000031">
      <w:pPr>
        <w:spacing w:after="0" w:lineRule="auto"/>
        <w:ind w:left="1134" w:firstLine="0"/>
        <w:rPr/>
      </w:pPr>
      <w:r w:rsidDel="00000000" w:rsidR="00000000" w:rsidRPr="00000000">
        <w:rPr>
          <w:rtl w:val="0"/>
        </w:rPr>
        <w:t xml:space="preserve">Test 2: Are there any other satisfactory alternatives?</w:t>
      </w:r>
    </w:p>
    <w:p w:rsidR="00000000" w:rsidDel="00000000" w:rsidP="00000000" w:rsidRDefault="00000000" w:rsidRPr="00000000" w14:paraId="00000032">
      <w:pPr>
        <w:spacing w:after="0" w:lineRule="auto"/>
        <w:ind w:left="1134" w:firstLine="0"/>
        <w:rPr/>
      </w:pPr>
      <w:r w:rsidDel="00000000" w:rsidR="00000000" w:rsidRPr="00000000">
        <w:rPr>
          <w:rtl w:val="0"/>
        </w:rPr>
        <w:t xml:space="preserve">Test 3: Is the derogation detrimental to achieving or maintaining FCS?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When a derogation is made, monitor its implementation and report to the Commission every two years in accordance with Article 16.</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If it is deemed that a derogation was not correctly applied or did not achieve its objective, take corrective measures.</w:t>
      </w:r>
    </w:p>
    <w:p w:rsidR="00000000" w:rsidDel="00000000" w:rsidP="00000000" w:rsidRDefault="00000000" w:rsidRPr="00000000" w14:paraId="00000035">
      <w:pPr>
        <w:pStyle w:val="Heading1"/>
        <w:rPr/>
      </w:pPr>
      <w:r w:rsidDel="00000000" w:rsidR="00000000" w:rsidRPr="00000000">
        <w:rPr>
          <w:rtl w:val="0"/>
        </w:rPr>
        <w:t xml:space="preserve">Guidance, policy documents and links</w:t>
      </w:r>
    </w:p>
    <w:p w:rsidR="00000000" w:rsidDel="00000000" w:rsidP="00000000" w:rsidRDefault="00000000" w:rsidRPr="00000000" w14:paraId="00000036">
      <w:pPr>
        <w:spacing w:after="120" w:lineRule="auto"/>
        <w:rPr/>
      </w:pPr>
      <w:hyperlink r:id="rId9">
        <w:r w:rsidDel="00000000" w:rsidR="00000000" w:rsidRPr="00000000">
          <w:rPr>
            <w:color w:val="0563c1"/>
            <w:u w:val="single"/>
            <w:rtl w:val="0"/>
          </w:rPr>
          <w:t xml:space="preserve">Guidance document on the strict protection of species of Community interest under the Habitats Directive</w:t>
        </w:r>
      </w:hyperlink>
      <w:r w:rsidDel="00000000" w:rsidR="00000000" w:rsidRPr="00000000">
        <w:rPr>
          <w:rtl w:val="0"/>
        </w:rPr>
        <w:t xml:space="preserve"> (European Commission, 2021). </w:t>
      </w:r>
    </w:p>
    <w:p w:rsidR="00000000" w:rsidDel="00000000" w:rsidP="00000000" w:rsidRDefault="00000000" w:rsidRPr="00000000" w14:paraId="00000037">
      <w:pPr>
        <w:spacing w:after="120" w:lineRule="auto"/>
        <w:rPr/>
      </w:pPr>
      <w:hyperlink r:id="rId10">
        <w:r w:rsidDel="00000000" w:rsidR="00000000" w:rsidRPr="00000000">
          <w:rPr>
            <w:color w:val="0563c1"/>
            <w:u w:val="single"/>
            <w:rtl w:val="0"/>
          </w:rPr>
          <w:t xml:space="preserve">Large carnivore management plans of protection: Best practices in EU Member States</w:t>
        </w:r>
      </w:hyperlink>
      <w:r w:rsidDel="00000000" w:rsidR="00000000" w:rsidRPr="00000000">
        <w:rPr>
          <w:rtl w:val="0"/>
        </w:rPr>
        <w:t xml:space="preserve"> (European Parliament’s Policy Department for Citizens’ Rights and Constitutional Affairs, 2018).</w:t>
      </w:r>
    </w:p>
    <w:p w:rsidR="00000000" w:rsidDel="00000000" w:rsidP="00000000" w:rsidRDefault="00000000" w:rsidRPr="00000000" w14:paraId="00000038">
      <w:pPr>
        <w:spacing w:after="120" w:lineRule="auto"/>
        <w:rPr/>
      </w:pPr>
      <w:hyperlink r:id="rId11">
        <w:r w:rsidDel="00000000" w:rsidR="00000000" w:rsidRPr="00000000">
          <w:rPr>
            <w:color w:val="0563c1"/>
            <w:u w:val="single"/>
            <w:rtl w:val="0"/>
          </w:rPr>
          <w:t xml:space="preserve">Defining and applying the concept of Favourable Reference Values for species and habitats under the EU Birds and Habitats Directives</w:t>
        </w:r>
      </w:hyperlink>
      <w:r w:rsidDel="00000000" w:rsidR="00000000" w:rsidRPr="00000000">
        <w:rPr>
          <w:rtl w:val="0"/>
        </w:rPr>
        <w:t xml:space="preserve"> (Technical report for the European Commission, 2018).</w:t>
      </w:r>
    </w:p>
    <w:p w:rsidR="00000000" w:rsidDel="00000000" w:rsidP="00000000" w:rsidRDefault="00000000" w:rsidRPr="00000000" w14:paraId="00000039">
      <w:pPr>
        <w:spacing w:after="120" w:lineRule="auto"/>
        <w:rPr/>
      </w:pPr>
      <w:hyperlink r:id="rId12">
        <w:r w:rsidDel="00000000" w:rsidR="00000000" w:rsidRPr="00000000">
          <w:rPr>
            <w:color w:val="0563c1"/>
            <w:u w:val="single"/>
            <w:rtl w:val="0"/>
          </w:rPr>
          <w:t xml:space="preserve">The precautionary principle: Definitions, applications and governance</w:t>
        </w:r>
      </w:hyperlink>
      <w:r w:rsidDel="00000000" w:rsidR="00000000" w:rsidRPr="00000000">
        <w:rPr>
          <w:rtl w:val="0"/>
        </w:rPr>
        <w:t xml:space="preserve"> (European Parliamentary Research Service, 2015).</w:t>
      </w:r>
    </w:p>
    <w:p w:rsidR="00000000" w:rsidDel="00000000" w:rsidP="00000000" w:rsidRDefault="00000000" w:rsidRPr="00000000" w14:paraId="0000003A">
      <w:pPr>
        <w:spacing w:after="120" w:lineRule="auto"/>
        <w:rPr/>
      </w:pPr>
      <w:hyperlink r:id="rId13">
        <w:r w:rsidDel="00000000" w:rsidR="00000000" w:rsidRPr="00000000">
          <w:rPr>
            <w:color w:val="0563c1"/>
            <w:u w:val="single"/>
            <w:rtl w:val="0"/>
          </w:rPr>
          <w:t xml:space="preserve">Guidelines for population level management plans for large carnivores in Europe</w:t>
        </w:r>
      </w:hyperlink>
      <w:r w:rsidDel="00000000" w:rsidR="00000000" w:rsidRPr="00000000">
        <w:rPr>
          <w:rtl w:val="0"/>
        </w:rPr>
        <w:t xml:space="preserve"> (Report for the European Commission, 2008).</w:t>
      </w:r>
    </w:p>
    <w:p w:rsidR="00000000" w:rsidDel="00000000" w:rsidP="00000000" w:rsidRDefault="00000000" w:rsidRPr="00000000" w14:paraId="0000003B">
      <w:pPr>
        <w:rPr/>
      </w:pPr>
      <w:hyperlink r:id="rId14">
        <w:r w:rsidDel="00000000" w:rsidR="00000000" w:rsidRPr="00000000">
          <w:rPr>
            <w:color w:val="0563c1"/>
            <w:u w:val="single"/>
            <w:rtl w:val="0"/>
          </w:rPr>
          <w:t xml:space="preserve">Position statement on the use of hunting, and lethal control, as means of managing large carnivore populations</w:t>
        </w:r>
      </w:hyperlink>
      <w:r w:rsidDel="00000000" w:rsidR="00000000" w:rsidRPr="00000000">
        <w:rPr>
          <w:rtl w:val="0"/>
        </w:rPr>
        <w:t xml:space="preserve"> (Council of Europe/Large Carnivore Initiative for Europe, 2002)</w:t>
      </w:r>
    </w:p>
    <w:p w:rsidR="00000000" w:rsidDel="00000000" w:rsidP="00000000" w:rsidRDefault="00000000" w:rsidRPr="00000000" w14:paraId="0000003C">
      <w:pPr>
        <w:pStyle w:val="Heading1"/>
        <w:rPr/>
      </w:pPr>
      <w:r w:rsidDel="00000000" w:rsidR="00000000" w:rsidRPr="00000000">
        <w:rPr>
          <w:rtl w:val="0"/>
        </w:rPr>
        <w:t xml:space="preserve">Open-access papers</w:t>
      </w:r>
    </w:p>
    <w:p w:rsidR="00000000" w:rsidDel="00000000" w:rsidP="00000000" w:rsidRDefault="00000000" w:rsidRPr="00000000" w14:paraId="0000003D">
      <w:pPr>
        <w:spacing w:after="120" w:lineRule="auto"/>
        <w:ind w:left="284" w:hanging="284"/>
        <w:rPr/>
      </w:pPr>
      <w:r w:rsidDel="00000000" w:rsidR="00000000" w:rsidRPr="00000000">
        <w:rPr>
          <w:rtl w:val="0"/>
        </w:rPr>
        <w:t xml:space="preserve">Epstein Y (2016). Favourable conservation status for species: Examining the Habitats Directive’s key concept through a case study of the Swedish wolf. Journal of Environmental Law 28(2): 221–244. </w:t>
      </w:r>
      <w:hyperlink r:id="rId15">
        <w:r w:rsidDel="00000000" w:rsidR="00000000" w:rsidRPr="00000000">
          <w:rPr>
            <w:color w:val="0563c1"/>
            <w:u w:val="single"/>
            <w:rtl w:val="0"/>
          </w:rPr>
          <w:t xml:space="preserve">https://doi.org/10.1093/jel/eqw006</w:t>
        </w:r>
      </w:hyperlink>
      <w:r w:rsidDel="00000000" w:rsidR="00000000" w:rsidRPr="00000000">
        <w:rPr>
          <w:rtl w:val="0"/>
        </w:rPr>
        <w:t xml:space="preserve">.</w:t>
      </w:r>
    </w:p>
    <w:p w:rsidR="00000000" w:rsidDel="00000000" w:rsidP="00000000" w:rsidRDefault="00000000" w:rsidRPr="00000000" w14:paraId="0000003E">
      <w:pPr>
        <w:spacing w:after="120" w:lineRule="auto"/>
        <w:ind w:left="284" w:hanging="284"/>
        <w:rPr/>
      </w:pPr>
      <w:r w:rsidDel="00000000" w:rsidR="00000000" w:rsidRPr="00000000">
        <w:rPr>
          <w:rtl w:val="0"/>
        </w:rPr>
        <w:t xml:space="preserve">Epstein Y and Kantinkoski S (2020). Non-governmental enforcement of EU environmental law: A stakeholder action for wolf protection in Finland. Frontiers in Ecology and Evolution 8: 101. </w:t>
      </w:r>
      <w:hyperlink r:id="rId16">
        <w:r w:rsidDel="00000000" w:rsidR="00000000" w:rsidRPr="00000000">
          <w:rPr>
            <w:color w:val="0563c1"/>
            <w:u w:val="single"/>
            <w:rtl w:val="0"/>
          </w:rPr>
          <w:t xml:space="preserve">https://doi.org/10.3389/fevo.2020.00101</w:t>
        </w:r>
      </w:hyperlink>
      <w:r w:rsidDel="00000000" w:rsidR="00000000" w:rsidRPr="00000000">
        <w:rPr>
          <w:rtl w:val="0"/>
        </w:rPr>
        <w:t xml:space="preserve">.</w:t>
      </w:r>
    </w:p>
    <w:p w:rsidR="00000000" w:rsidDel="00000000" w:rsidP="00000000" w:rsidRDefault="00000000" w:rsidRPr="00000000" w14:paraId="0000003F">
      <w:pPr>
        <w:spacing w:after="120" w:lineRule="auto"/>
        <w:ind w:left="284" w:hanging="284"/>
        <w:rPr/>
      </w:pPr>
      <w:r w:rsidDel="00000000" w:rsidR="00000000" w:rsidRPr="00000000">
        <w:rPr>
          <w:rtl w:val="0"/>
        </w:rPr>
        <w:t xml:space="preserve">Epstein Y, et al. (2016). A legal-ecological understanding of </w:t>
      </w:r>
      <w:r w:rsidDel="00000000" w:rsidR="00000000" w:rsidRPr="00000000">
        <w:rPr>
          <w:rtl w:val="0"/>
        </w:rPr>
        <w:t xml:space="preserve">favorable</w:t>
      </w:r>
      <w:r w:rsidDel="00000000" w:rsidR="00000000" w:rsidRPr="00000000">
        <w:rPr>
          <w:rtl w:val="0"/>
        </w:rPr>
        <w:t xml:space="preserve"> conservation status for species in Europe. Conservation Letters 9: 81–88. </w:t>
      </w:r>
      <w:hyperlink r:id="rId17">
        <w:r w:rsidDel="00000000" w:rsidR="00000000" w:rsidRPr="00000000">
          <w:rPr>
            <w:color w:val="0563c1"/>
            <w:u w:val="single"/>
            <w:rtl w:val="0"/>
          </w:rPr>
          <w:t xml:space="preserve">https://doi.org/10.1111/conl.12200</w:t>
        </w:r>
      </w:hyperlink>
      <w:r w:rsidDel="00000000" w:rsidR="00000000" w:rsidRPr="00000000">
        <w:rPr>
          <w:rtl w:val="0"/>
        </w:rPr>
        <w:t xml:space="preserve">.</w:t>
      </w:r>
    </w:p>
    <w:p w:rsidR="00000000" w:rsidDel="00000000" w:rsidP="00000000" w:rsidRDefault="00000000" w:rsidRPr="00000000" w14:paraId="00000040">
      <w:pPr>
        <w:spacing w:after="120" w:lineRule="auto"/>
        <w:ind w:left="284" w:hanging="284"/>
        <w:rPr/>
      </w:pPr>
      <w:r w:rsidDel="00000000" w:rsidR="00000000" w:rsidRPr="00000000">
        <w:rPr>
          <w:rtl w:val="0"/>
        </w:rPr>
        <w:t xml:space="preserve">Epstein Y, et al. (2019). When is it legal to hunt strictly protected species in the European Union? Conservation Science and Practice 1: e18. </w:t>
      </w:r>
      <w:hyperlink r:id="rId18">
        <w:r w:rsidDel="00000000" w:rsidR="00000000" w:rsidRPr="00000000">
          <w:rPr>
            <w:color w:val="0563c1"/>
            <w:u w:val="single"/>
            <w:rtl w:val="0"/>
          </w:rPr>
          <w:t xml:space="preserve">https://doi.org/10.1111/csp2.18</w:t>
        </w:r>
      </w:hyperlink>
      <w:r w:rsidDel="00000000" w:rsidR="00000000" w:rsidRPr="00000000">
        <w:rPr>
          <w:rtl w:val="0"/>
        </w:rPr>
        <w:t xml:space="preserve">.</w:t>
      </w:r>
    </w:p>
    <w:p w:rsidR="00000000" w:rsidDel="00000000" w:rsidP="00000000" w:rsidRDefault="00000000" w:rsidRPr="00000000" w14:paraId="00000041">
      <w:pPr>
        <w:spacing w:after="120" w:lineRule="auto"/>
        <w:ind w:left="284" w:hanging="284"/>
        <w:rPr/>
      </w:pPr>
      <w:r w:rsidDel="00000000" w:rsidR="00000000" w:rsidRPr="00000000">
        <w:rPr>
          <w:rtl w:val="0"/>
        </w:rPr>
        <w:t xml:space="preserve">Linnell JDC, et al. (2017). When is it acceptable to kill a strictly protected carnivore? Exploring the legal constraints on wildlife management within Europe’s Bern Convention. Nature Conservation 21: 129–157. </w:t>
      </w:r>
      <w:hyperlink r:id="rId19">
        <w:r w:rsidDel="00000000" w:rsidR="00000000" w:rsidRPr="00000000">
          <w:rPr>
            <w:color w:val="0563c1"/>
            <w:u w:val="single"/>
            <w:rtl w:val="0"/>
          </w:rPr>
          <w:t xml:space="preserve">https://doi.org/10.3897/natureconservation.21.12836</w:t>
        </w:r>
      </w:hyperlink>
      <w:r w:rsidDel="00000000" w:rsidR="00000000" w:rsidRPr="00000000">
        <w:rPr>
          <w:rtl w:val="0"/>
        </w:rPr>
        <w:t xml:space="preserve">.</w:t>
      </w:r>
    </w:p>
    <w:p w:rsidR="00000000" w:rsidDel="00000000" w:rsidP="00000000" w:rsidRDefault="00000000" w:rsidRPr="00000000" w14:paraId="00000042">
      <w:pPr>
        <w:spacing w:after="120" w:lineRule="auto"/>
        <w:ind w:left="284" w:hanging="284"/>
        <w:rPr/>
      </w:pPr>
      <w:r w:rsidDel="00000000" w:rsidR="00000000" w:rsidRPr="00000000">
        <w:rPr>
          <w:rtl w:val="0"/>
        </w:rPr>
        <w:t xml:space="preserve">Trouwborst A (2015). Global large carnivore conservation and international law. Biodiversity and Conservation 24: 1567–1588. </w:t>
      </w:r>
      <w:hyperlink r:id="rId20">
        <w:r w:rsidDel="00000000" w:rsidR="00000000" w:rsidRPr="00000000">
          <w:rPr>
            <w:color w:val="0563c1"/>
            <w:u w:val="single"/>
            <w:rtl w:val="0"/>
          </w:rPr>
          <w:t xml:space="preserve">https://doi.org/10.1007/s10531-015-0894-8</w:t>
        </w:r>
      </w:hyperlink>
      <w:r w:rsidDel="00000000" w:rsidR="00000000" w:rsidRPr="00000000">
        <w:rPr>
          <w:rtl w:val="0"/>
        </w:rPr>
        <w:t xml:space="preserve">.</w:t>
      </w:r>
    </w:p>
    <w:p w:rsidR="00000000" w:rsidDel="00000000" w:rsidP="00000000" w:rsidRDefault="00000000" w:rsidRPr="00000000" w14:paraId="00000043">
      <w:pPr>
        <w:spacing w:after="120" w:lineRule="auto"/>
        <w:ind w:left="284" w:hanging="284"/>
        <w:rPr/>
      </w:pPr>
      <w:r w:rsidDel="00000000" w:rsidR="00000000" w:rsidRPr="00000000">
        <w:rPr>
          <w:rtl w:val="0"/>
        </w:rPr>
        <w:t xml:space="preserve">Trouwborst A (2018). Wolves not welcome? Zoning for large carnivore conservation and management under the Bern Convention and EU Habitats Directive. RECIEL 27(3): 306–319. </w:t>
      </w:r>
      <w:hyperlink r:id="rId21">
        <w:r w:rsidDel="00000000" w:rsidR="00000000" w:rsidRPr="00000000">
          <w:rPr>
            <w:color w:val="0563c1"/>
            <w:u w:val="single"/>
            <w:rtl w:val="0"/>
          </w:rPr>
          <w:t xml:space="preserve">https://doi.org/10.1111/reel.12249</w:t>
        </w:r>
      </w:hyperlink>
      <w:r w:rsidDel="00000000" w:rsidR="00000000" w:rsidRPr="00000000">
        <w:rPr>
          <w:rtl w:val="0"/>
        </w:rPr>
        <w:t xml:space="preserve">.</w:t>
      </w:r>
    </w:p>
    <w:p w:rsidR="00000000" w:rsidDel="00000000" w:rsidP="00000000" w:rsidRDefault="00000000" w:rsidRPr="00000000" w14:paraId="00000044">
      <w:pPr>
        <w:spacing w:after="120" w:lineRule="auto"/>
        <w:ind w:left="284" w:hanging="284"/>
        <w:rPr/>
      </w:pPr>
      <w:r w:rsidDel="00000000" w:rsidR="00000000" w:rsidRPr="00000000">
        <w:rPr>
          <w:rtl w:val="0"/>
        </w:rPr>
        <w:t xml:space="preserve">Trouwborst A and Fleurke F (2019). Killing wolves legally: Exploring the scope for lethal wolf management under European nature conservation law. Journal of International Wildlife Law and Policy, 22(3), 231–273. </w:t>
      </w:r>
      <w:hyperlink r:id="rId22">
        <w:r w:rsidDel="00000000" w:rsidR="00000000" w:rsidRPr="00000000">
          <w:rPr>
            <w:color w:val="0563c1"/>
            <w:u w:val="single"/>
            <w:rtl w:val="0"/>
          </w:rPr>
          <w:t xml:space="preserve">https://doi.org/10.1080/13880292.2019.1686223</w:t>
        </w:r>
      </w:hyperlink>
      <w:r w:rsidDel="00000000" w:rsidR="00000000" w:rsidRPr="00000000">
        <w:rPr>
          <w:rtl w:val="0"/>
        </w:rPr>
        <w:t xml:space="preserve">.</w:t>
      </w:r>
    </w:p>
    <w:p w:rsidR="00000000" w:rsidDel="00000000" w:rsidP="00000000" w:rsidRDefault="00000000" w:rsidRPr="00000000" w14:paraId="00000045">
      <w:pPr>
        <w:spacing w:after="120" w:lineRule="auto"/>
        <w:ind w:left="284" w:hanging="284"/>
        <w:rPr/>
      </w:pPr>
      <w:r w:rsidDel="00000000" w:rsidR="00000000" w:rsidRPr="00000000">
        <w:rPr>
          <w:rtl w:val="0"/>
        </w:rPr>
        <w:t xml:space="preserve">Trouwborst A, et al. (2017). International wildlife law: Understanding and enhancing its role in conservation. BioScience 67(9): 784–790. </w:t>
      </w:r>
      <w:hyperlink r:id="rId23">
        <w:r w:rsidDel="00000000" w:rsidR="00000000" w:rsidRPr="00000000">
          <w:rPr>
            <w:color w:val="0563c1"/>
            <w:u w:val="single"/>
            <w:rtl w:val="0"/>
          </w:rPr>
          <w:t xml:space="preserve">https://doi.org/10.1093/biosci/bix086</w:t>
        </w:r>
      </w:hyperlink>
      <w:r w:rsidDel="00000000" w:rsidR="00000000" w:rsidRPr="00000000">
        <w:rPr>
          <w:rtl w:val="0"/>
        </w:rPr>
        <w:t xml:space="preserve">.</w:t>
      </w:r>
    </w:p>
    <w:p w:rsidR="00000000" w:rsidDel="00000000" w:rsidP="00000000" w:rsidRDefault="00000000" w:rsidRPr="00000000" w14:paraId="00000046">
      <w:pPr>
        <w:spacing w:after="120" w:lineRule="auto"/>
        <w:ind w:left="284" w:hanging="284"/>
        <w:rPr/>
      </w:pPr>
      <w:bookmarkStart w:colFirst="0" w:colLast="0" w:name="_gjdgxs" w:id="1"/>
      <w:bookmarkEnd w:id="1"/>
      <w:r w:rsidDel="00000000" w:rsidR="00000000" w:rsidRPr="00000000">
        <w:rPr>
          <w:rtl w:val="0"/>
        </w:rPr>
        <w:t xml:space="preserve">Trouwborst A, et al. (2017). Interpreting ‘favourable conservation status’ for large carnivores in Europe: how many are needed and how many are wanted? Biodiversity and Conservation 26: 37–61. </w:t>
      </w:r>
      <w:hyperlink r:id="rId24">
        <w:r w:rsidDel="00000000" w:rsidR="00000000" w:rsidRPr="00000000">
          <w:rPr>
            <w:color w:val="0563c1"/>
            <w:u w:val="single"/>
            <w:rtl w:val="0"/>
          </w:rPr>
          <w:t xml:space="preserve">https://doi.org/10.1007/s10531-016-1238-z</w:t>
        </w:r>
      </w:hyperlink>
      <w:r w:rsidDel="00000000" w:rsidR="00000000" w:rsidRPr="00000000">
        <w:rPr>
          <w:rtl w:val="0"/>
        </w:rPr>
        <w:t xml:space="preserve">.</w:t>
      </w:r>
    </w:p>
    <w:p w:rsidR="00000000" w:rsidDel="00000000" w:rsidP="00000000" w:rsidRDefault="00000000" w:rsidRPr="00000000" w14:paraId="00000047">
      <w:pPr>
        <w:pStyle w:val="Heading1"/>
        <w:rPr/>
      </w:pPr>
      <w:r w:rsidDel="00000000" w:rsidR="00000000" w:rsidRPr="00000000">
        <w:rPr>
          <w:rtl w:val="0"/>
        </w:rPr>
        <w:t xml:space="preserve">Websites with additional resources</w:t>
      </w:r>
    </w:p>
    <w:p w:rsidR="00000000" w:rsidDel="00000000" w:rsidP="00000000" w:rsidRDefault="00000000" w:rsidRPr="00000000" w14:paraId="00000048">
      <w:pPr>
        <w:tabs>
          <w:tab w:val="left" w:leader="none" w:pos="4111"/>
        </w:tabs>
        <w:spacing w:after="120" w:lineRule="auto"/>
        <w:rPr/>
      </w:pPr>
      <w:r w:rsidDel="00000000" w:rsidR="00000000" w:rsidRPr="00000000">
        <w:rPr>
          <w:rtl w:val="0"/>
        </w:rPr>
        <w:t xml:space="preserve">EC guidance on species protection: </w:t>
      </w:r>
      <w:hyperlink r:id="rId25">
        <w:r w:rsidDel="00000000" w:rsidR="00000000" w:rsidRPr="00000000">
          <w:rPr>
            <w:color w:val="0563c1"/>
            <w:u w:val="single"/>
            <w:rtl w:val="0"/>
          </w:rPr>
          <w:t xml:space="preserve">https://ec.europa.eu/environment/nature/conservation/species/guidance/index_en.htm</w:t>
        </w:r>
      </w:hyperlink>
      <w:r w:rsidDel="00000000" w:rsidR="00000000" w:rsidRPr="00000000">
        <w:rPr>
          <w:rtl w:val="0"/>
        </w:rPr>
      </w:r>
    </w:p>
    <w:p w:rsidR="00000000" w:rsidDel="00000000" w:rsidP="00000000" w:rsidRDefault="00000000" w:rsidRPr="00000000" w14:paraId="00000049">
      <w:pPr>
        <w:tabs>
          <w:tab w:val="left" w:leader="none" w:pos="4111"/>
        </w:tabs>
        <w:spacing w:after="120" w:lineRule="auto"/>
        <w:rPr/>
      </w:pPr>
      <w:r w:rsidDel="00000000" w:rsidR="00000000" w:rsidRPr="00000000">
        <w:rPr>
          <w:rtl w:val="0"/>
        </w:rPr>
        <w:t xml:space="preserve">The Habitats Directive: </w:t>
      </w:r>
      <w:hyperlink r:id="rId26">
        <w:r w:rsidDel="00000000" w:rsidR="00000000" w:rsidRPr="00000000">
          <w:rPr>
            <w:color w:val="0563c1"/>
            <w:u w:val="single"/>
            <w:rtl w:val="0"/>
          </w:rPr>
          <w:t xml:space="preserve">https://ec.europa.eu/environment/nature/legislation/habitatsdirective/index_en.htm</w:t>
        </w:r>
      </w:hyperlink>
      <w:r w:rsidDel="00000000" w:rsidR="00000000" w:rsidRPr="00000000">
        <w:rPr>
          <w:rtl w:val="0"/>
        </w:rPr>
      </w:r>
    </w:p>
    <w:p w:rsidR="00000000" w:rsidDel="00000000" w:rsidP="00000000" w:rsidRDefault="00000000" w:rsidRPr="00000000" w14:paraId="0000004A">
      <w:pPr>
        <w:tabs>
          <w:tab w:val="left" w:leader="none" w:pos="4111"/>
        </w:tabs>
        <w:spacing w:after="120" w:lineRule="auto"/>
        <w:rPr/>
      </w:pPr>
      <w:r w:rsidDel="00000000" w:rsidR="00000000" w:rsidRPr="00000000">
        <w:rPr>
          <w:rtl w:val="0"/>
        </w:rPr>
        <w:t xml:space="preserve">Large carnivores in the EU - the Commission's activity on large carnivores:</w:t>
        <w:br w:type="textWrapping"/>
      </w:r>
      <w:hyperlink r:id="rId27">
        <w:r w:rsidDel="00000000" w:rsidR="00000000" w:rsidRPr="00000000">
          <w:rPr>
            <w:color w:val="0563c1"/>
            <w:u w:val="single"/>
            <w:rtl w:val="0"/>
          </w:rPr>
          <w:t xml:space="preserve">https://ec.europa.eu/environment/nature/conservation/species/carnivores/index_en.htm</w:t>
        </w:r>
      </w:hyperlink>
      <w:r w:rsidDel="00000000" w:rsidR="00000000" w:rsidRPr="00000000">
        <w:rPr>
          <w:rtl w:val="0"/>
        </w:rPr>
      </w:r>
    </w:p>
    <w:p w:rsidR="00000000" w:rsidDel="00000000" w:rsidP="00000000" w:rsidRDefault="00000000" w:rsidRPr="00000000" w14:paraId="0000004B">
      <w:pPr>
        <w:tabs>
          <w:tab w:val="left" w:leader="none" w:pos="4111"/>
        </w:tabs>
        <w:spacing w:after="120" w:lineRule="auto"/>
        <w:rPr/>
      </w:pPr>
      <w:r w:rsidDel="00000000" w:rsidR="00000000" w:rsidRPr="00000000">
        <w:rPr>
          <w:rtl w:val="0"/>
        </w:rPr>
        <w:t xml:space="preserve">Case law: </w:t>
      </w:r>
      <w:hyperlink r:id="rId28">
        <w:r w:rsidDel="00000000" w:rsidR="00000000" w:rsidRPr="00000000">
          <w:rPr>
            <w:color w:val="0563c1"/>
            <w:u w:val="single"/>
            <w:rtl w:val="0"/>
          </w:rPr>
          <w:t xml:space="preserve">https://ec.europa.eu/environment/nature/legislation/caselaw/index_en.htm</w:t>
        </w:r>
      </w:hyperlink>
      <w:r w:rsidDel="00000000" w:rsidR="00000000" w:rsidRPr="00000000">
        <w:rPr>
          <w:rtl w:val="0"/>
        </w:rPr>
      </w:r>
    </w:p>
    <w:p w:rsidR="00000000" w:rsidDel="00000000" w:rsidP="00000000" w:rsidRDefault="00000000" w:rsidRPr="00000000" w14:paraId="0000004C">
      <w:pPr>
        <w:tabs>
          <w:tab w:val="left" w:leader="none" w:pos="4111"/>
        </w:tabs>
        <w:spacing w:after="120" w:lineRule="auto"/>
        <w:rPr/>
      </w:pPr>
      <w:r w:rsidDel="00000000" w:rsidR="00000000" w:rsidRPr="00000000">
        <w:rPr>
          <w:rtl w:val="0"/>
        </w:rPr>
        <w:t xml:space="preserve">Claws and Laws: An interdisciplinary research project in large carnivore ecology and environmental law: </w:t>
      </w:r>
      <w:hyperlink r:id="rId29">
        <w:r w:rsidDel="00000000" w:rsidR="00000000" w:rsidRPr="00000000">
          <w:rPr>
            <w:color w:val="0563c1"/>
            <w:u w:val="single"/>
            <w:rtl w:val="0"/>
          </w:rPr>
          <w:t xml:space="preserve">http://www.clawsandlaws.eu/</w:t>
        </w:r>
      </w:hyperlink>
      <w:r w:rsidDel="00000000" w:rsidR="00000000" w:rsidRPr="00000000">
        <w:rPr>
          <w:rtl w:val="0"/>
        </w:rPr>
      </w:r>
    </w:p>
    <w:sectPr>
      <w:footerReference r:id="rId3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https://ec.europa.eu/environment/nature/legislation/habitatsdirective/index_en.htm</w:t>
        </w:r>
      </w:hyperlink>
      <w:r w:rsidDel="00000000" w:rsidR="00000000" w:rsidRPr="00000000">
        <w:rPr>
          <w:rtl w:val="0"/>
        </w:rPr>
      </w:r>
    </w:p>
  </w:footnote>
  <w:footnote w:id="1">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Lynx in Estonia and wolves in Spain north of the River Duero, in Greece north of the 39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parallel, in Finland within the reindeer management area and in Bulgaria, Latvia, Lithuania, Estonia, Poland and Slovakia.</w:t>
      </w:r>
    </w:p>
  </w:footnote>
  <w:footnote w:id="2">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https://ec.europa.eu/environment/nature/legislation/fitness_check/index_en.htm</w:t>
        </w:r>
      </w:hyperlink>
      <w:r w:rsidDel="00000000" w:rsidR="00000000" w:rsidRPr="00000000">
        <w:rPr>
          <w:rtl w:val="0"/>
        </w:rPr>
      </w:r>
    </w:p>
  </w:footnote>
  <w:footnote w:id="3">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Christiernsson A (2019). Is the Swedish brown bear management in compliance with EU biodiversity law? Journal for European Environmental &amp; Planning Law 16(3): 237</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261. </w:t>
      </w:r>
      <w:hyperlink r:id="rId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https://doi.org/10.1163/18760104-01603003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https://op.europa.eu/en/publication-detail/-/publication/bbc7ace0-27e2-11ec-bd8e-01aa75ed71a1/language-en</w:t>
        </w:r>
      </w:hyperlink>
      <w:r w:rsidDel="00000000" w:rsidR="00000000" w:rsidRPr="00000000">
        <w:rPr>
          <w:rtl w:val="0"/>
        </w:rPr>
      </w:r>
    </w:p>
  </w:footnote>
  <w:footnote w:id="5">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wolverine is listed in Annex II only; the golden jackal is listed in Annex V only.</w:t>
      </w:r>
    </w:p>
  </w:footnote>
  <w:footnote w:id="6">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https://ec.europa.eu/environment/nature/knowledge/rep_habitats/index_en.htm</w:t>
        </w:r>
      </w:hyperlink>
      <w:r w:rsidDel="00000000" w:rsidR="00000000" w:rsidRPr="00000000">
        <w:rPr>
          <w:rtl w:val="0"/>
        </w:rPr>
      </w:r>
    </w:p>
  </w:footnote>
  <w:footnote w:id="7">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http://curia.europa.eu/juris/document/document.jsf?text=&amp;docid=221604&amp;pageIndex=0&amp;doclang=en&amp;‌mode=req&amp;dir=&amp;occ=first&amp;part=1&amp;cid=7586397</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8">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https://www.europarl.europa.eu/thinktank/en/document.html?reference=EPRS_IDA(2015)573876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9">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https://curia.europa.eu/juris/document/document.jsf?text=&amp;docid=227306&amp;pageIndex=0&amp;doclang=en&amp;‌mode=lst&amp;dir=&amp;occ=first&amp;part=1&amp;cid=16772949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0">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https://ec.europa.eu/info/law/better-regulation/have-your-say/initiatives/12976-Guidance-document-on-the-strict-protection-of-species-of-Community-interest-under-the-Habitats-Directive_en</w:t>
        </w:r>
      </w:hyperlink>
      <w:r w:rsidDel="00000000" w:rsidR="00000000" w:rsidRPr="00000000">
        <w:rPr>
          <w:rtl w:val="0"/>
        </w:rPr>
      </w:r>
    </w:p>
  </w:footnote>
  <w:footnote w:id="11">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https://ec.europa.eu/environment/nature/conservation/species/carnivores/index_en.htm</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s10531-015-0894-8" TargetMode="External"/><Relationship Id="rId22" Type="http://schemas.openxmlformats.org/officeDocument/2006/relationships/hyperlink" Target="https://doi.org/10.1080/13880292.2019.1686223" TargetMode="External"/><Relationship Id="rId21" Type="http://schemas.openxmlformats.org/officeDocument/2006/relationships/hyperlink" Target="https://doi.org/10.1111/reel.12249" TargetMode="External"/><Relationship Id="rId24" Type="http://schemas.openxmlformats.org/officeDocument/2006/relationships/hyperlink" Target="https://doi.org/10.1007/s10531-016-1238-z" TargetMode="External"/><Relationship Id="rId23" Type="http://schemas.openxmlformats.org/officeDocument/2006/relationships/hyperlink" Target="https://doi.org/10.1093/biosci/bix0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ur-lex.europa.eu/legal-content/EN/TXT/?uri=PI_COM:C(2021)7301" TargetMode="External"/><Relationship Id="rId26" Type="http://schemas.openxmlformats.org/officeDocument/2006/relationships/hyperlink" Target="https://ec.europa.eu/environment/nature/legislation/habitatsdirective/index_en.htm" TargetMode="External"/><Relationship Id="rId25" Type="http://schemas.openxmlformats.org/officeDocument/2006/relationships/hyperlink" Target="https://ec.europa.eu/environment/nature/conservation/species/guidance/index_en.htm" TargetMode="External"/><Relationship Id="rId28" Type="http://schemas.openxmlformats.org/officeDocument/2006/relationships/hyperlink" Target="https://ec.europa.eu/environment/nature/legislation/caselaw/index_en.htm" TargetMode="External"/><Relationship Id="rId27" Type="http://schemas.openxmlformats.org/officeDocument/2006/relationships/hyperlink" Target="https://ec.europa.eu/environment/nature/conservation/species/carnivores/index_en.ht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www.clawsandlaws.eu/" TargetMode="External"/><Relationship Id="rId7" Type="http://schemas.openxmlformats.org/officeDocument/2006/relationships/hyperlink" Target="https://eur-lex.europa.eu/legal-content/EN/TXT/?uri=CELEX%3A01992L0043-20130701" TargetMode="External"/><Relationship Id="rId8" Type="http://schemas.openxmlformats.org/officeDocument/2006/relationships/hyperlink" Target="mailto:A.Trouwborst@tilburguniversity.edu" TargetMode="External"/><Relationship Id="rId30" Type="http://schemas.openxmlformats.org/officeDocument/2006/relationships/footer" Target="footer1.xml"/><Relationship Id="rId11" Type="http://schemas.openxmlformats.org/officeDocument/2006/relationships/hyperlink" Target="https://ec.europa.eu/environment/nature/natura2000/platform/documents/TechnicalReportFRVs%20October2018.pdf" TargetMode="External"/><Relationship Id="rId10" Type="http://schemas.openxmlformats.org/officeDocument/2006/relationships/hyperlink" Target="https://www.europarl.europa.eu/thinktank/en/document/IPOL_STU(2018)596844" TargetMode="External"/><Relationship Id="rId13" Type="http://schemas.openxmlformats.org/officeDocument/2006/relationships/hyperlink" Target="https://ec.europa.eu/environment/nature/conservation/species/carnivores/pdf/guidelines_for_population_level_management.pdf" TargetMode="External"/><Relationship Id="rId12" Type="http://schemas.openxmlformats.org/officeDocument/2006/relationships/hyperlink" Target="https://www.europarl.europa.eu/thinktank/en/document.html?reference=EPRS_IDA(2015)573876" TargetMode="External"/><Relationship Id="rId15" Type="http://schemas.openxmlformats.org/officeDocument/2006/relationships/hyperlink" Target="https://doi.org/10.1093/jel/eqw006" TargetMode="External"/><Relationship Id="rId14" Type="http://schemas.openxmlformats.org/officeDocument/2006/relationships/hyperlink" Target="https://lciepub.nina.no/pdf/634991396895768563_COE%20LCIE%20position%20statement%20on%20LC%20hunting%202002.pdf" TargetMode="External"/><Relationship Id="rId17" Type="http://schemas.openxmlformats.org/officeDocument/2006/relationships/hyperlink" Target="https://doi.org/10.1111/conl.12200" TargetMode="External"/><Relationship Id="rId16" Type="http://schemas.openxmlformats.org/officeDocument/2006/relationships/hyperlink" Target="https://doi.org/10.3389/fevo.2020.00101" TargetMode="External"/><Relationship Id="rId19" Type="http://schemas.openxmlformats.org/officeDocument/2006/relationships/hyperlink" Target="https://doi.org/10.3897/natureconservation.21.12836" TargetMode="External"/><Relationship Id="rId18" Type="http://schemas.openxmlformats.org/officeDocument/2006/relationships/hyperlink" Target="https://doi.org/10.1111/csp2.18"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ec.europa.eu/environment/nature/legislation/habitatsdirective/index_en.htm" TargetMode="External"/><Relationship Id="rId2" Type="http://schemas.openxmlformats.org/officeDocument/2006/relationships/hyperlink" Target="https://ec.europa.eu/environment/nature/legislation/fitness_check/index_en.htm" TargetMode="External"/><Relationship Id="rId3" Type="http://schemas.openxmlformats.org/officeDocument/2006/relationships/hyperlink" Target="https://doi.org/10.1163/18760104-01603003" TargetMode="External"/><Relationship Id="rId4" Type="http://schemas.openxmlformats.org/officeDocument/2006/relationships/hyperlink" Target="https://op.europa.eu/en/publication-detail/-/publication/bbc7ace0-27e2-11ec-bd8e-01aa75ed71a1/language-en" TargetMode="External"/><Relationship Id="rId10" Type="http://schemas.openxmlformats.org/officeDocument/2006/relationships/hyperlink" Target="https://ec.europa.eu/environment/nature/conservation/species/carnivores/index_en.htm" TargetMode="External"/><Relationship Id="rId9" Type="http://schemas.openxmlformats.org/officeDocument/2006/relationships/hyperlink" Target="https://ec.europa.eu/info/law/better-regulation/have-your-say/initiatives/12976-Guidance-document-on-the-strict-protection-of-species-of-Community-interest-under-the-Habitats-Directive_en" TargetMode="External"/><Relationship Id="rId5" Type="http://schemas.openxmlformats.org/officeDocument/2006/relationships/hyperlink" Target="https://ec.europa.eu/environment/nature/knowledge/rep_habitats/index_en.htm" TargetMode="External"/><Relationship Id="rId6" Type="http://schemas.openxmlformats.org/officeDocument/2006/relationships/hyperlink" Target="http://curia.europa.eu/juris/document/document.jsf?text=&amp;docid=221604&amp;pageIndex=0&amp;doclang=en&amp;%E2%80%8Cmode=req&amp;dir=&amp;occ=first&amp;part=1&amp;cid=7586397" TargetMode="External"/><Relationship Id="rId7" Type="http://schemas.openxmlformats.org/officeDocument/2006/relationships/hyperlink" Target="https://www.europarl.europa.eu/thinktank/en/document.html?reference=EPRS_IDA(2015)573876" TargetMode="External"/><Relationship Id="rId8" Type="http://schemas.openxmlformats.org/officeDocument/2006/relationships/hyperlink" Target="https://curia.europa.eu/juris/document/document.jsf?text=&amp;docid=227306&amp;pageIndex=0&amp;doclang=en&amp;%E2%80%8Cmode=lst&amp;dir=&amp;occ=first&amp;part=1&amp;cid=167729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