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8bmy6xqgaer5" w:id="0"/>
      <w:bookmarkEnd w:id="0"/>
      <w:r w:rsidDel="00000000" w:rsidR="00000000" w:rsidRPr="00000000">
        <w:rPr>
          <w:rtl w:val="0"/>
        </w:rPr>
        <w:t xml:space="preserve">Establishing a livestock guarding dog programme</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4">
      <w:pPr>
        <w:spacing w:after="0" w:lineRule="auto"/>
        <w:jc w:val="center"/>
        <w:rPr>
          <w:b w:val="1"/>
          <w:sz w:val="32"/>
          <w:szCs w:val="32"/>
        </w:rPr>
      </w:pPr>
      <w:r w:rsidDel="00000000" w:rsidR="00000000" w:rsidRPr="00000000">
        <w:rPr>
          <w:rFonts w:ascii="Times New Roman" w:cs="Times New Roman" w:eastAsia="Times New Roman" w:hAnsi="Times New Roman"/>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The threat posed to livestock by large carnivores has been one of the main issues behind their historic persecution and present-day calls for predator control. As legal protections have tightened and European populations of large carnivores, particularly wolves, recover, sustainable approaches to coexistence are needed. To reduce losses of livestock to predators a variety of non-lethal methods have been developed, of which one of the most effective are guardian animals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The Italian Maremma, Greek Shepherd Dog, Spanish Mastiff and other types of livestock guarding dogs (LGDs) have been protecting domestic animals in Europe and Asia since ancient times. Unlike herding dogs such as the German shepherd and border collie, which are used to moving and controlling livestock, LGDs form part of the flock and instinctively guard it against external threats. Once in decline, their use has found new relevance for mitigating conservation conflicts associated with expanding predator populations (Linnell and Lescureux 2015).</w:t>
      </w:r>
    </w:p>
    <w:p w:rsidR="00000000" w:rsidDel="00000000" w:rsidP="00000000" w:rsidRDefault="00000000" w:rsidRPr="00000000" w14:paraId="00000008">
      <w:pPr>
        <w:pStyle w:val="Heading1"/>
        <w:rPr/>
      </w:pPr>
      <w:r w:rsidDel="00000000" w:rsidR="00000000" w:rsidRPr="00000000">
        <w:rPr>
          <w:rtl w:val="0"/>
        </w:rPr>
        <w:t xml:space="preserve">Principles</w:t>
      </w:r>
    </w:p>
    <w:p w:rsidR="00000000" w:rsidDel="00000000" w:rsidP="00000000" w:rsidRDefault="00000000" w:rsidRPr="00000000" w14:paraId="00000009">
      <w:pPr>
        <w:pStyle w:val="Heading2"/>
        <w:rPr/>
      </w:pPr>
      <w:r w:rsidDel="00000000" w:rsidR="00000000" w:rsidRPr="00000000">
        <w:rPr>
          <w:rtl w:val="0"/>
        </w:rPr>
        <w:t xml:space="preserve">Suitability </w:t>
      </w:r>
    </w:p>
    <w:p w:rsidR="00000000" w:rsidDel="00000000" w:rsidP="00000000" w:rsidRDefault="00000000" w:rsidRPr="00000000" w14:paraId="0000000A">
      <w:pPr>
        <w:rPr/>
      </w:pPr>
      <w:r w:rsidDel="00000000" w:rsidR="00000000" w:rsidRPr="00000000">
        <w:rPr>
          <w:color w:val="000000"/>
          <w:rtl w:val="0"/>
        </w:rPr>
        <w:t xml:space="preserve">To be widely adopted, </w:t>
      </w:r>
      <w:r w:rsidDel="00000000" w:rsidR="00000000" w:rsidRPr="00000000">
        <w:rPr>
          <w:rtl w:val="0"/>
        </w:rPr>
        <w:t xml:space="preserve">damage prevention measures must be not only ecologically effective (i.e. deter predators, reduce losses) but also practical and socially acceptable (e.g. do not cause unbearable burdens in terms of additional labour, financial costs or unintended consequences). The local context and cultural appropriateness should be considered when selecting which measures to implement (Lescureux et al. 2014). If predation pressure is low, preventive measures may not have a discernible impact on losses, or they might reduce levels of damage without being cost-effective.</w:t>
      </w:r>
    </w:p>
    <w:p w:rsidR="00000000" w:rsidDel="00000000" w:rsidP="00000000" w:rsidRDefault="00000000" w:rsidRPr="00000000" w14:paraId="0000000B">
      <w:pPr>
        <w:rPr>
          <w:color w:val="000000"/>
        </w:rPr>
      </w:pPr>
      <w:r w:rsidDel="00000000" w:rsidR="00000000" w:rsidRPr="00000000">
        <w:rPr>
          <w:rtl w:val="0"/>
        </w:rPr>
        <w:t xml:space="preserve">LGDs have proven to be effective against a wide range of predators and in different settings, from fenced pastures to open range and extensive grazing (Table 1). Nevertheless, they have some potential disadvantages and limitations which should be considered (Ribeiro et al. 2017). For example, </w:t>
      </w:r>
      <w:r w:rsidDel="00000000" w:rsidR="00000000" w:rsidRPr="00000000">
        <w:rPr>
          <w:color w:val="000000"/>
          <w:rtl w:val="0"/>
        </w:rPr>
        <w:t xml:space="preserve">LGDs usually take 1–2 years to raise and become effective guardians, so electric fencing and/or fladry</w:t>
      </w:r>
      <w:r w:rsidDel="00000000" w:rsidR="00000000" w:rsidRPr="00000000">
        <w:rPr>
          <w:color w:val="000000"/>
          <w:vertAlign w:val="superscript"/>
        </w:rPr>
        <w:footnoteReference w:customMarkFollows="0" w:id="1"/>
      </w:r>
      <w:r w:rsidDel="00000000" w:rsidR="00000000" w:rsidRPr="00000000">
        <w:rPr>
          <w:color w:val="000000"/>
          <w:rtl w:val="0"/>
        </w:rPr>
        <w:t xml:space="preserve"> are more suitable where urgent intervention is required. Also, precautions are needed to minimise possible conflicts where hikers, bikers or other people may encounter LGDs (see </w:t>
      </w:r>
      <w:r w:rsidDel="00000000" w:rsidR="00000000" w:rsidRPr="00000000">
        <w:rPr>
          <w:color w:val="000000"/>
          <w:highlight w:val="yellow"/>
          <w:rtl w:val="0"/>
        </w:rPr>
        <w:t xml:space="preserve">Livestock guarding dogs and tourism</w:t>
      </w:r>
      <w:r w:rsidDel="00000000" w:rsidR="00000000" w:rsidRPr="00000000">
        <w:rPr>
          <w:color w:val="000000"/>
          <w:rtl w:val="0"/>
        </w:rPr>
        <w:t xml:space="preserve">). It is also important to mention that LGDs need to have a coherent group of livestock to guard and work best in tandem with a shepherd.</w:t>
      </w:r>
    </w:p>
    <w:p w:rsidR="00000000" w:rsidDel="00000000" w:rsidP="00000000" w:rsidRDefault="00000000" w:rsidRPr="00000000" w14:paraId="0000000C">
      <w:pPr>
        <w:pStyle w:val="Heading2"/>
        <w:rPr/>
      </w:pPr>
      <w:r w:rsidDel="00000000" w:rsidR="00000000" w:rsidRPr="00000000">
        <w:rPr>
          <w:rtl w:val="0"/>
        </w:rPr>
        <w:t xml:space="preserve">Characteristics </w:t>
      </w:r>
    </w:p>
    <w:p w:rsidR="00000000" w:rsidDel="00000000" w:rsidP="00000000" w:rsidRDefault="00000000" w:rsidRPr="00000000" w14:paraId="0000000D">
      <w:pPr>
        <w:rPr/>
      </w:pPr>
      <w:r w:rsidDel="00000000" w:rsidR="00000000" w:rsidRPr="00000000">
        <w:rPr>
          <w:rtl w:val="0"/>
        </w:rPr>
        <w:t xml:space="preserve">The typical temperament of a livestock guarding dog is independent, courageous, domineering and territorial, calm and steady but wary of strangers and quick to react to perceived threats. Although the presence and behaviour (patrolling, barking, scent-marking) of dogs near livestock may deter predators, sometimes LGDs have to actively defend the flock by confronting and chasing predators or other perceived threats to their flock.</w:t>
      </w:r>
    </w:p>
    <w:p w:rsidR="00000000" w:rsidDel="00000000" w:rsidP="00000000" w:rsidRDefault="00000000" w:rsidRPr="00000000" w14:paraId="0000000E">
      <w:pPr>
        <w:rPr/>
      </w:pPr>
      <w:r w:rsidDel="00000000" w:rsidR="00000000" w:rsidRPr="00000000">
        <w:rPr>
          <w:rtl w:val="0"/>
        </w:rPr>
        <w:t xml:space="preserve">Livestock guarding dogs require both instincts and learned behaviour, so achieving good LGDs is a combination of choosing the right pups and raising them in the correct way. Pups which do not have the right genes will not succeed regardless of how they are raised, but also dogs not reared properly cannot be retrained later. To make a good livestock guardian, a dog must be trustworthy, attentive and protective. The aim of the LGD breeder and trainer is to achieve an acceptable level in all three of these characteristics.</w:t>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44546a"/>
          <w:sz w:val="20"/>
          <w:szCs w:val="20"/>
          <w:u w:val="none"/>
          <w:shd w:fill="auto" w:val="clear"/>
          <w:vertAlign w:val="baseline"/>
        </w:rPr>
      </w:pPr>
      <w:r w:rsidDel="00000000" w:rsidR="00000000" w:rsidRPr="00000000">
        <w:rPr>
          <w:rFonts w:ascii="Arial" w:cs="Arial" w:eastAsia="Arial" w:hAnsi="Arial"/>
          <w:b w:val="0"/>
          <w:i w:val="1"/>
          <w:smallCaps w:val="0"/>
          <w:strike w:val="0"/>
          <w:color w:val="44546a"/>
          <w:sz w:val="20"/>
          <w:szCs w:val="20"/>
          <w:u w:val="none"/>
          <w:shd w:fill="auto" w:val="clear"/>
          <w:vertAlign w:val="baseline"/>
          <w:rtl w:val="0"/>
        </w:rPr>
        <w:t xml:space="preserve">Table 1 Potential benefits, possible challenges and limitations of livestock guarding dogs.</w:t>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0">
            <w:pPr>
              <w:spacing w:after="60" w:before="60" w:lineRule="auto"/>
              <w:jc w:val="center"/>
              <w:rPr>
                <w:b w:val="1"/>
                <w:color w:val="000000"/>
                <w:sz w:val="20"/>
                <w:szCs w:val="20"/>
              </w:rPr>
            </w:pPr>
            <w:r w:rsidDel="00000000" w:rsidR="00000000" w:rsidRPr="00000000">
              <w:rPr>
                <w:b w:val="1"/>
                <w:color w:val="000000"/>
                <w:sz w:val="20"/>
                <w:szCs w:val="20"/>
                <w:rtl w:val="0"/>
              </w:rPr>
              <w:t xml:space="preserve">Advantages</w:t>
            </w:r>
          </w:p>
        </w:tc>
        <w:tc>
          <w:tcPr/>
          <w:p w:rsidR="00000000" w:rsidDel="00000000" w:rsidP="00000000" w:rsidRDefault="00000000" w:rsidRPr="00000000" w14:paraId="00000011">
            <w:pPr>
              <w:spacing w:after="60" w:before="60" w:lineRule="auto"/>
              <w:jc w:val="center"/>
              <w:rPr>
                <w:b w:val="1"/>
                <w:color w:val="000000"/>
                <w:sz w:val="20"/>
                <w:szCs w:val="20"/>
              </w:rPr>
            </w:pPr>
            <w:r w:rsidDel="00000000" w:rsidR="00000000" w:rsidRPr="00000000">
              <w:rPr>
                <w:b w:val="1"/>
                <w:color w:val="000000"/>
                <w:sz w:val="20"/>
                <w:szCs w:val="20"/>
                <w:rtl w:val="0"/>
              </w:rPr>
              <w:t xml:space="preserve">Disadvantages</w:t>
            </w:r>
          </w:p>
        </w:tc>
      </w:tr>
      <w:tr>
        <w:trPr>
          <w:cantSplit w:val="0"/>
          <w:trHeight w:val="2993" w:hRule="atLeast"/>
          <w:tblHeader w:val="0"/>
        </w:trPr>
        <w:tc>
          <w:tcPr/>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One of the most effective measures against large carnivores.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Proven successful in diverse husbandry and landscape settings.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Reduce the need for human supervision of livestock.</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Reduce the need for night confinement, allowing more efficient use of pastures</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Multiple dogs can be combined in a pack to improve protection of bigger flocks, in larger or brushier pastures and where predation pressure is high.</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453"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Besides deterring predators, LGDs provide other benefits such as protecting property and alerting farmers to disturbances, giving peace of mind.</w:t>
            </w:r>
          </w:p>
        </w:tc>
        <w:tc>
          <w:tcPr/>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Typically have to be raised with livestock from a young age.</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57"/>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Need 1–2 years to become effective.</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Require special food on a daily basis.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Many young dogs display undesirable behaviours towards livestock.</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Usually, two or more dogs are needed.</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Not all individuals are equally effective.</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Less effective if livestock is widely scattered.</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High rates of premature death.</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Can provoke conflicts with hikers, cyclists, hunters and other land users.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482"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Some dogs stray from their flock and may harass other people’s livestock or wildlife.</w:t>
            </w:r>
          </w:p>
        </w:tc>
      </w:tr>
    </w:tbl>
    <w:p w:rsidR="00000000" w:rsidDel="00000000" w:rsidP="00000000" w:rsidRDefault="00000000" w:rsidRPr="00000000" w14:paraId="00000022">
      <w:pPr>
        <w:pStyle w:val="Heading2"/>
        <w:rPr/>
      </w:pPr>
      <w:bookmarkStart w:colFirst="0" w:colLast="0" w:name="_gjdgxs" w:id="1"/>
      <w:bookmarkEnd w:id="1"/>
      <w:r w:rsidDel="00000000" w:rsidR="00000000" w:rsidRPr="00000000">
        <w:rPr>
          <w:rtl w:val="0"/>
        </w:rPr>
        <w:t xml:space="preserve">Choice of dog </w:t>
      </w:r>
    </w:p>
    <w:p w:rsidR="00000000" w:rsidDel="00000000" w:rsidP="00000000" w:rsidRDefault="00000000" w:rsidRPr="00000000" w14:paraId="00000023">
      <w:pPr>
        <w:rPr/>
      </w:pPr>
      <w:r w:rsidDel="00000000" w:rsidR="00000000" w:rsidRPr="00000000">
        <w:rPr>
          <w:rtl w:val="0"/>
        </w:rPr>
        <w:t xml:space="preserve">It is important to select dogs only from among the recognised LGD breeds or landraces (Rigg 2001). The characteristics of livestock guarding dogs have developed over several millennia. Herding dogs do not make good LGDs: their behaviour is too disruptive for them to be accepted as part of the flock. Cross-breeding with non-guardian breeds can reduce the effectiveness of LGDs. </w:t>
      </w:r>
    </w:p>
    <w:p w:rsidR="00000000" w:rsidDel="00000000" w:rsidP="00000000" w:rsidRDefault="00000000" w:rsidRPr="00000000" w14:paraId="00000024">
      <w:pPr>
        <w:rPr/>
      </w:pPr>
      <w:r w:rsidDel="00000000" w:rsidR="00000000" w:rsidRPr="00000000">
        <w:rPr>
          <w:rtl w:val="0"/>
        </w:rPr>
        <w:t xml:space="preserve">There are some behavioural differences among LGD breeds</w:t>
      </w:r>
      <w:r w:rsidDel="00000000" w:rsidR="00000000" w:rsidRPr="00000000">
        <w:rPr>
          <w:vertAlign w:val="superscript"/>
        </w:rPr>
        <w:footnoteReference w:customMarkFollows="0" w:id="2"/>
      </w:r>
      <w:r w:rsidDel="00000000" w:rsidR="00000000" w:rsidRPr="00000000">
        <w:rPr>
          <w:rtl w:val="0"/>
        </w:rPr>
        <w:t xml:space="preserve"> which might influence their suitability for particular local conditions. However, there is also considerable variation among dogs within a breed, so the choice of individual dog is paramount. Where available, dogs from working parents are preferable as they are more likely to inherit the desired characteristics and be in contact with livestock from a very early age.</w:t>
      </w:r>
    </w:p>
    <w:p w:rsidR="00000000" w:rsidDel="00000000" w:rsidP="00000000" w:rsidRDefault="00000000" w:rsidRPr="00000000" w14:paraId="00000025">
      <w:pPr>
        <w:pStyle w:val="Heading2"/>
        <w:rPr/>
      </w:pPr>
      <w:r w:rsidDel="00000000" w:rsidR="00000000" w:rsidRPr="00000000">
        <w:rPr>
          <w:rtl w:val="0"/>
        </w:rPr>
        <w:t xml:space="preserve">Raising and training</w:t>
      </w:r>
    </w:p>
    <w:p w:rsidR="00000000" w:rsidDel="00000000" w:rsidP="00000000" w:rsidRDefault="00000000" w:rsidRPr="00000000" w14:paraId="00000026">
      <w:pPr>
        <w:spacing w:after="120" w:lineRule="auto"/>
        <w:rPr/>
      </w:pPr>
      <w:r w:rsidDel="00000000" w:rsidR="00000000" w:rsidRPr="00000000">
        <w:rPr>
          <w:rtl w:val="0"/>
        </w:rPr>
        <w:t xml:space="preserve">Upbringing is of critical importance to achieving an effective livestock guarding dog. In most cases it is necessary to start with young pups, which should be raised among livestock in order that they bond with them during a critical period in development. Pups should be raised separately so they do not bond more to each other than to livestock. Detailed advice can be found in manuals</w:t>
      </w:r>
      <w:r w:rsidDel="00000000" w:rsidR="00000000" w:rsidRPr="00000000">
        <w:rPr>
          <w:vertAlign w:val="superscript"/>
        </w:rPr>
        <w:footnoteReference w:customMarkFollows="0" w:id="3"/>
      </w:r>
      <w:r w:rsidDel="00000000" w:rsidR="00000000" w:rsidRPr="00000000">
        <w:rPr>
          <w:rtl w:val="0"/>
        </w:rPr>
        <w:t xml:space="preserve">, but the main steps can be summarised as follows: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Choose a pup from a suitable breed.</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Raise it with livestock from 6–8 weeks of age.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Limit contact with people and other dogs until the pup is 16 weeks old.</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Ensure the dog's health and safety.</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Encourage it to remain with or near the livestock.</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Monitor its progress and correct undesirable behaviours appropriately.</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Manage livestock in accordance with the dog’s age and experience.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Be patient – a guarding dog may take 2 years or more to mature.</w:t>
      </w:r>
    </w:p>
    <w:p w:rsidR="00000000" w:rsidDel="00000000" w:rsidP="00000000" w:rsidRDefault="00000000" w:rsidRPr="00000000" w14:paraId="0000002F">
      <w:pPr>
        <w:rPr/>
      </w:pPr>
      <w:r w:rsidDel="00000000" w:rsidR="00000000" w:rsidRPr="00000000">
        <w:rPr>
          <w:rtl w:val="0"/>
        </w:rPr>
        <w:t xml:space="preserve">Although pups should be raised individually, usually at least two LGDs are needed for effective protection from large carnivores. The number of dogs must be adapted to the number of livestock, a common ‘rule of thumb’ being one LGD per 100 sheep. If additional LGDs are to be bred on-farm, this should be planned and carefully controlled not only to ensure good quality pups but also because LGDs tend to be less attentive to livestock, and therefore less effective guardians, during reproductive periods.</w:t>
      </w:r>
    </w:p>
    <w:p w:rsidR="00000000" w:rsidDel="00000000" w:rsidP="00000000" w:rsidRDefault="00000000" w:rsidRPr="00000000" w14:paraId="00000030">
      <w:pPr>
        <w:pStyle w:val="Heading2"/>
        <w:rPr/>
      </w:pPr>
      <w:r w:rsidDel="00000000" w:rsidR="00000000" w:rsidRPr="00000000">
        <w:rPr>
          <w:rtl w:val="0"/>
        </w:rPr>
        <w:t xml:space="preserve">Standards and testing</w:t>
      </w:r>
    </w:p>
    <w:p w:rsidR="00000000" w:rsidDel="00000000" w:rsidP="00000000" w:rsidRDefault="00000000" w:rsidRPr="00000000" w14:paraId="00000031">
      <w:pPr>
        <w:rPr/>
      </w:pPr>
      <w:r w:rsidDel="00000000" w:rsidR="00000000" w:rsidRPr="00000000">
        <w:rPr>
          <w:rtl w:val="0"/>
        </w:rPr>
        <w:t xml:space="preserve">Not all dogs make equally effective livestock guardians. Even some individuals of recognised LGD breeds might not show the required behaviours. A study in Slovakia found that between 10 and 15% of LGDs were not sufficiently attentive, trustworthy or protective (Rigg et al. 2011). Such individuals should be identified and replaced as early as possible to prevent unnecessary loss of time, effort and money. Pup aptitude tests may be useful. Attentiveness can be assessed by direct observation or using GPS collars</w:t>
      </w:r>
      <w:r w:rsidDel="00000000" w:rsidR="00000000" w:rsidRPr="00000000">
        <w:rPr>
          <w:vertAlign w:val="superscript"/>
        </w:rPr>
        <w:footnoteReference w:customMarkFollows="0" w:id="4"/>
      </w:r>
      <w:r w:rsidDel="00000000" w:rsidR="00000000" w:rsidRPr="00000000">
        <w:rPr>
          <w:rtl w:val="0"/>
        </w:rPr>
        <w:t xml:space="preserve">. Protectiveness can be tested by examining LGDs’ response to a simulated encounter with a wolf</w:t>
      </w:r>
      <w:r w:rsidDel="00000000" w:rsidR="00000000" w:rsidRPr="00000000">
        <w:rPr>
          <w:vertAlign w:val="superscript"/>
        </w:rPr>
        <w:footnoteReference w:customMarkFollows="0" w:id="5"/>
      </w:r>
      <w:r w:rsidDel="00000000" w:rsidR="00000000" w:rsidRPr="00000000">
        <w:rPr>
          <w:rtl w:val="0"/>
        </w:rPr>
        <w:t xml:space="preserve">. Actual losses before and after implementation of LGDs are an important measure of effectiveness. User perspectives and satisfaction should also be considered (Volski et al. 2021).</w:t>
      </w:r>
    </w:p>
    <w:p w:rsidR="00000000" w:rsidDel="00000000" w:rsidP="00000000" w:rsidRDefault="00000000" w:rsidRPr="00000000" w14:paraId="00000032">
      <w:pPr>
        <w:pStyle w:val="Heading2"/>
        <w:rPr/>
      </w:pPr>
      <w:r w:rsidDel="00000000" w:rsidR="00000000" w:rsidRPr="00000000">
        <w:rPr>
          <w:rtl w:val="0"/>
        </w:rPr>
        <w:t xml:space="preserve">Encouraging uptake</w:t>
      </w:r>
    </w:p>
    <w:p w:rsidR="00000000" w:rsidDel="00000000" w:rsidP="00000000" w:rsidRDefault="00000000" w:rsidRPr="00000000" w14:paraId="00000033">
      <w:pPr>
        <w:rPr/>
      </w:pPr>
      <w:r w:rsidDel="00000000" w:rsidR="00000000" w:rsidRPr="00000000">
        <w:rPr>
          <w:color w:val="000000"/>
          <w:rtl w:val="0"/>
        </w:rPr>
        <w:t xml:space="preserve">Many farmers trust the knowledge and experience of other farmers more than they do the advice of experts. On-farm demonstrations and other forms of peer-to-peer learning can play an important role in encouraging adoption and sharing best practices</w:t>
      </w:r>
      <w:r w:rsidDel="00000000" w:rsidR="00000000" w:rsidRPr="00000000">
        <w:rPr>
          <w:color w:val="000000"/>
          <w:vertAlign w:val="superscript"/>
        </w:rPr>
        <w:footnoteReference w:customMarkFollows="0" w:id="6"/>
      </w:r>
      <w:r w:rsidDel="00000000" w:rsidR="00000000" w:rsidRPr="00000000">
        <w:rPr>
          <w:color w:val="000000"/>
          <w:rtl w:val="0"/>
        </w:rPr>
        <w:t xml:space="preserve">. </w:t>
      </w:r>
      <w:r w:rsidDel="00000000" w:rsidR="00000000" w:rsidRPr="00000000">
        <w:rPr>
          <w:rtl w:val="0"/>
        </w:rPr>
        <w:t xml:space="preserve">For example, in France a national network was set up by the Idele Livestock Institute</w:t>
      </w:r>
      <w:r w:rsidDel="00000000" w:rsidR="00000000" w:rsidRPr="00000000">
        <w:rPr>
          <w:vertAlign w:val="superscript"/>
        </w:rPr>
        <w:footnoteReference w:customMarkFollows="0" w:id="7"/>
      </w:r>
      <w:r w:rsidDel="00000000" w:rsidR="00000000" w:rsidRPr="00000000">
        <w:rPr>
          <w:rtl w:val="0"/>
        </w:rPr>
        <w:t xml:space="preserve">, with backing from the Ministry of Food and Agriculture, to provide pastoralists and shepherds with the necessary means to introduce LGDs into their herds and use them effectively. Knowledge is shared through collective training and individual on-farm support. In Greece and Italy, user networks were set up to facilitate coordination and support exchange of pups and adult dogs between livestock farmers (Giannakopoulos 2017, Vielmi and Salvatori 2017).</w:t>
      </w:r>
    </w:p>
    <w:p w:rsidR="00000000" w:rsidDel="00000000" w:rsidP="00000000" w:rsidRDefault="00000000" w:rsidRPr="00000000" w14:paraId="00000034">
      <w:pPr>
        <w:rPr/>
      </w:pPr>
      <w:r w:rsidDel="00000000" w:rsidR="00000000" w:rsidRPr="00000000">
        <w:rPr>
          <w:rtl w:val="0"/>
        </w:rPr>
        <w:t xml:space="preserve">Obtaining and maintaining LGDs can represent a substantial financial burden for livestock farmers. Besides the initial purchase price, there are costs for food, vaccination and other veterinary care (although these costs could eventually be offset by reduced losses to predators). To ensure that cost is not a barrier, damage prevention measures should be subsidised. LGD programmes have been funded through EU LIFE projects</w:t>
      </w:r>
      <w:r w:rsidDel="00000000" w:rsidR="00000000" w:rsidRPr="00000000">
        <w:rPr>
          <w:vertAlign w:val="superscript"/>
        </w:rPr>
        <w:footnoteReference w:customMarkFollows="0" w:id="8"/>
      </w:r>
      <w:r w:rsidDel="00000000" w:rsidR="00000000" w:rsidRPr="00000000">
        <w:rPr>
          <w:rtl w:val="0"/>
        </w:rPr>
        <w:t xml:space="preserve">. Protection measures can also be funded under the Rural Development Programmes</w:t>
      </w:r>
      <w:r w:rsidDel="00000000" w:rsidR="00000000" w:rsidRPr="00000000">
        <w:rPr>
          <w:vertAlign w:val="superscript"/>
        </w:rPr>
        <w:footnoteReference w:customMarkFollows="0" w:id="9"/>
      </w:r>
      <w:r w:rsidDel="00000000" w:rsidR="00000000" w:rsidRPr="00000000">
        <w:rPr>
          <w:rtl w:val="0"/>
        </w:rPr>
        <w:t xml:space="preserve">. The Common Agricultural Policy (CAP)</w:t>
      </w:r>
      <w:r w:rsidDel="00000000" w:rsidR="00000000" w:rsidRPr="00000000">
        <w:rPr>
          <w:vertAlign w:val="superscript"/>
        </w:rPr>
        <w:footnoteReference w:customMarkFollows="0" w:id="10"/>
      </w:r>
      <w:r w:rsidDel="00000000" w:rsidR="00000000" w:rsidRPr="00000000">
        <w:rPr>
          <w:rtl w:val="0"/>
        </w:rPr>
        <w:t xml:space="preserve"> and European Agricultural Fund for Rural Development (EAFRD)</w:t>
      </w:r>
      <w:r w:rsidDel="00000000" w:rsidR="00000000" w:rsidRPr="00000000">
        <w:rPr>
          <w:vertAlign w:val="superscript"/>
        </w:rPr>
        <w:footnoteReference w:customMarkFollows="0" w:id="11"/>
      </w:r>
      <w:r w:rsidDel="00000000" w:rsidR="00000000" w:rsidRPr="00000000">
        <w:rPr>
          <w:rtl w:val="0"/>
        </w:rPr>
        <w:t xml:space="preserve"> offer numerous opportunities to provide support</w:t>
      </w:r>
      <w:r w:rsidDel="00000000" w:rsidR="00000000" w:rsidRPr="00000000">
        <w:rPr>
          <w:vertAlign w:val="superscript"/>
        </w:rPr>
        <w:footnoteReference w:customMarkFollows="0" w:id="12"/>
      </w:r>
      <w:r w:rsidDel="00000000" w:rsidR="00000000" w:rsidRPr="00000000">
        <w:rPr>
          <w:rtl w:val="0"/>
        </w:rPr>
        <w:t xml:space="preserve">. Moreover, the European Commission amended its state aid guidelines in 2018 to permit up to 100% financing of support for prevention measures from state budgets</w:t>
      </w:r>
      <w:r w:rsidDel="00000000" w:rsidR="00000000" w:rsidRPr="00000000">
        <w:rPr>
          <w:vertAlign w:val="superscript"/>
        </w:rPr>
        <w:footnoteReference w:customMarkFollows="0" w:id="13"/>
      </w:r>
      <w:r w:rsidDel="00000000" w:rsidR="00000000" w:rsidRPr="00000000">
        <w:rPr>
          <w:rtl w:val="0"/>
        </w:rPr>
        <w:t xml:space="preserve">.</w:t>
      </w:r>
    </w:p>
    <w:p w:rsidR="00000000" w:rsidDel="00000000" w:rsidP="00000000" w:rsidRDefault="00000000" w:rsidRPr="00000000" w14:paraId="00000035">
      <w:pPr>
        <w:pStyle w:val="Heading1"/>
        <w:rPr/>
      </w:pPr>
      <w:bookmarkStart w:colFirst="0" w:colLast="0" w:name="_30j0zll" w:id="2"/>
      <w:bookmarkEnd w:id="2"/>
      <w:r w:rsidDel="00000000" w:rsidR="00000000" w:rsidRPr="00000000">
        <w:rPr>
          <w:rtl w:val="0"/>
        </w:rPr>
        <w:t xml:space="preserve">Steps to set up a LGD programme</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Identify the specific nature, extent and distribution of damage to livestock and related conflicts.</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Assess the social context and evaluate whether LGDs are likely to be an acceptable damage prevention measure.</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Identify the most appropriate breed(s) to use.</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Identify local livestock breeders who already use LGDs or had them in the past and who are willing to participate in a LGD programme.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44" w:right="0" w:hanging="360"/>
        <w:jc w:val="left"/>
        <w:rPr/>
      </w:pPr>
      <w:r w:rsidDel="00000000" w:rsidR="00000000" w:rsidRPr="00000000">
        <w:rPr>
          <w:i w:val="0"/>
          <w:smallCaps w:val="0"/>
          <w:strike w:val="0"/>
          <w:color w:val="000000"/>
          <w:sz w:val="22"/>
          <w:szCs w:val="22"/>
          <w:u w:val="none"/>
          <w:shd w:fill="auto" w:val="clear"/>
          <w:vertAlign w:val="baseline"/>
          <w:rtl w:val="0"/>
        </w:rPr>
        <w:t xml:space="preserve">Prepare a manual of best practice in the regional language(s).</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Establish breeding standards for each breed to be used and a network of breeders and/or dedicated breeding facilities.</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Provide financial and practical support for at least the first two years of LGD life.</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Establish a system of standardised quality testing and monitor efficacy of LGDs through visits to livestock breeders.</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Encourage peer-to-peer exchange of experience and know-how, for example by setting up a network of users.</w:t>
      </w:r>
    </w:p>
    <w:p w:rsidR="00000000" w:rsidDel="00000000" w:rsidP="00000000" w:rsidRDefault="00000000" w:rsidRPr="00000000" w14:paraId="0000003F">
      <w:pPr>
        <w:pStyle w:val="Heading1"/>
        <w:rPr/>
      </w:pPr>
      <w:r w:rsidDel="00000000" w:rsidR="00000000" w:rsidRPr="00000000">
        <w:rPr>
          <w:rtl w:val="0"/>
        </w:rPr>
        <w:t xml:space="preserve">Case study: Swiss national LGDs</w:t>
      </w:r>
    </w:p>
    <w:p w:rsidR="00000000" w:rsidDel="00000000" w:rsidP="00000000" w:rsidRDefault="00000000" w:rsidRPr="00000000" w14:paraId="00000040">
      <w:pPr>
        <w:rPr/>
      </w:pPr>
      <w:r w:rsidDel="00000000" w:rsidR="00000000" w:rsidRPr="00000000">
        <w:rPr>
          <w:rtl w:val="0"/>
        </w:rPr>
        <w:t xml:space="preserve">The facilitation of the deployment of Swiss national livestock guarding dogs has been identified as exemplary by the LIFE EuroLargeCarnivores project. It is recommended here as a model which can be adapted to the respective conditions and socio-economic contexts elsewhere. Implementation of similar programmes in other countries and regions probably requires financial, regulatory and professional support (see </w:t>
      </w:r>
      <w:r w:rsidDel="00000000" w:rsidR="00000000" w:rsidRPr="00000000">
        <w:rPr>
          <w:highlight w:val="yellow"/>
          <w:rtl w:val="0"/>
        </w:rPr>
        <w:t xml:space="preserve">Examples for the use of EU support for damage prevention</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In 2011 the Federal Office for the Environment (FOEN), the federal administration responsible for the national livestock protection programme, ordered an analysis of the legal situation regarding the deployment of LGDs in Switzerland. The following recommendations were made and subsequently adopted: 1) develop a legal framework for the deployment of LGDs; 2) establish a label for LGDs; and 3) create an association for LGD breeders and owners to help establish and maintain the LGD label.</w:t>
      </w:r>
    </w:p>
    <w:p w:rsidR="00000000" w:rsidDel="00000000" w:rsidP="00000000" w:rsidRDefault="00000000" w:rsidRPr="00000000" w14:paraId="00000042">
      <w:pPr>
        <w:spacing w:after="120" w:lineRule="auto"/>
        <w:rPr/>
      </w:pPr>
      <w:r w:rsidDel="00000000" w:rsidR="00000000" w:rsidRPr="00000000">
        <w:rPr>
          <w:rtl w:val="0"/>
        </w:rPr>
        <w:t xml:space="preserve">The result is a national livestock protection programme labelled “official Swiss LGDs”. This has many advantages compared to an unregulated situation. Systematic, standardised testing allows selection of the best dogs and removal of unsuitable individuals from the breeding programme as well as identification of possible problems. The label is a prerequisite for payment of subsidies. Moreover, in almost all legal cases brought to court as a result of LGDs allegedly snapping at people or their dogs when they approached herds too closely, owners of official LGDs have been acquitted. Private conflicts have thus become public affairs, which is considered reasonable given that coexistence with large carnivores is a public matter.</w:t>
      </w:r>
    </w:p>
    <w:p w:rsidR="00000000" w:rsidDel="00000000" w:rsidP="00000000" w:rsidRDefault="00000000" w:rsidRPr="00000000" w14:paraId="00000043">
      <w:pPr>
        <w:spacing w:after="120" w:lineRule="auto"/>
        <w:rPr/>
      </w:pPr>
      <w:r w:rsidDel="00000000" w:rsidR="00000000" w:rsidRPr="00000000">
        <w:rPr>
          <w:b w:val="1"/>
          <w:rtl w:val="0"/>
        </w:rPr>
        <w:t xml:space="preserve">Contacts:</w:t>
      </w:r>
      <w:r w:rsidDel="00000000" w:rsidR="00000000" w:rsidRPr="00000000">
        <w:rPr>
          <w:rtl w:val="0"/>
        </w:rPr>
        <w:t xml:space="preserve"> Caroline Nienhuis (Swiss Association for Livestock Guarding Dogs, Herdenschutzhunde Schweiz) - </w:t>
      </w:r>
      <w:hyperlink r:id="rId7">
        <w:r w:rsidDel="00000000" w:rsidR="00000000" w:rsidRPr="00000000">
          <w:rPr>
            <w:color w:val="0563c1"/>
            <w:u w:val="single"/>
            <w:rtl w:val="0"/>
          </w:rPr>
          <w:t xml:space="preserve">caroline.nienhuis@hsh-ch.ch</w:t>
        </w:r>
      </w:hyperlink>
      <w:r w:rsidDel="00000000" w:rsidR="00000000" w:rsidRPr="00000000">
        <w:rPr>
          <w:rtl w:val="0"/>
        </w:rPr>
        <w:t xml:space="preserve">, Felix Hahn (AGRIDEA agricultural consultancy) - </w:t>
      </w:r>
      <w:hyperlink r:id="rId8">
        <w:r w:rsidDel="00000000" w:rsidR="00000000" w:rsidRPr="00000000">
          <w:rPr>
            <w:color w:val="0563c1"/>
            <w:u w:val="single"/>
            <w:rtl w:val="0"/>
          </w:rPr>
          <w:t xml:space="preserve">felix.hahn@agridea.ch</w:t>
        </w:r>
      </w:hyperlink>
      <w:r w:rsidDel="00000000" w:rsidR="00000000" w:rsidRPr="00000000">
        <w:rPr>
          <w:rtl w:val="0"/>
        </w:rPr>
        <w:t xml:space="preserve">, Daniel Mettler (AGRIDEA agricultural consultancy) - </w:t>
      </w:r>
      <w:hyperlink r:id="rId9">
        <w:r w:rsidDel="00000000" w:rsidR="00000000" w:rsidRPr="00000000">
          <w:rPr>
            <w:color w:val="0563c1"/>
            <w:u w:val="single"/>
            <w:rtl w:val="0"/>
          </w:rPr>
          <w:t xml:space="preserve">Daniel.Mettler@agridea.ch</w:t>
        </w:r>
      </w:hyperlink>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b w:val="1"/>
          <w:rtl w:val="0"/>
        </w:rPr>
        <w:t xml:space="preserve">Further information:</w:t>
      </w:r>
      <w:r w:rsidDel="00000000" w:rsidR="00000000" w:rsidRPr="00000000">
        <w:rPr>
          <w:rtl w:val="0"/>
        </w:rPr>
        <w:t xml:space="preserve"> Swiss Association for Livestock Guarding Dogs (Herdenschutzhunde Schweiz) - </w:t>
      </w:r>
      <w:hyperlink r:id="rId10">
        <w:r w:rsidDel="00000000" w:rsidR="00000000" w:rsidRPr="00000000">
          <w:rPr>
            <w:color w:val="0563c1"/>
            <w:u w:val="single"/>
            <w:rtl w:val="0"/>
          </w:rPr>
          <w:t xml:space="preserve">https://www.cpt-ch.ch/en/</w:t>
        </w:r>
      </w:hyperlink>
      <w:r w:rsidDel="00000000" w:rsidR="00000000" w:rsidRPr="00000000">
        <w:rPr>
          <w:rtl w:val="0"/>
        </w:rPr>
        <w:t xml:space="preserve">. AGRIDEA agricultural consultancy - </w:t>
      </w:r>
      <w:hyperlink r:id="rId11">
        <w:r w:rsidDel="00000000" w:rsidR="00000000" w:rsidRPr="00000000">
          <w:rPr>
            <w:color w:val="0563c1"/>
            <w:u w:val="single"/>
            <w:rtl w:val="0"/>
          </w:rPr>
          <w:t xml:space="preserve">www.protectiondestroupeaux.ch/en</w:t>
        </w:r>
      </w:hyperlink>
      <w:r w:rsidDel="00000000" w:rsidR="00000000" w:rsidRPr="00000000">
        <w:rPr>
          <w:rtl w:val="0"/>
        </w:rPr>
        <w:t xml:space="preserve">. See also the article by Pfister and Nienhuis (2017).</w:t>
      </w:r>
    </w:p>
    <w:p w:rsidR="00000000" w:rsidDel="00000000" w:rsidP="00000000" w:rsidRDefault="00000000" w:rsidRPr="00000000" w14:paraId="00000045">
      <w:pPr>
        <w:pStyle w:val="Heading1"/>
        <w:rPr/>
      </w:pPr>
      <w:r w:rsidDel="00000000" w:rsidR="00000000" w:rsidRPr="00000000">
        <w:rPr>
          <w:rtl w:val="0"/>
        </w:rPr>
        <w:t xml:space="preserve">Guidance, policy documents and links</w:t>
      </w:r>
    </w:p>
    <w:p w:rsidR="00000000" w:rsidDel="00000000" w:rsidP="00000000" w:rsidRDefault="00000000" w:rsidRPr="00000000" w14:paraId="00000046">
      <w:pPr>
        <w:spacing w:after="120" w:lineRule="auto"/>
        <w:rPr/>
      </w:pPr>
      <w:bookmarkStart w:colFirst="0" w:colLast="0" w:name="_1fob9te" w:id="3"/>
      <w:bookmarkEnd w:id="3"/>
      <w:hyperlink r:id="rId12">
        <w:r w:rsidDel="00000000" w:rsidR="00000000" w:rsidRPr="00000000">
          <w:rPr>
            <w:color w:val="0563c1"/>
            <w:u w:val="single"/>
            <w:rtl w:val="0"/>
          </w:rPr>
          <w:t xml:space="preserve">Briefing note: Common Agricultural Policy (CAP) reform and large carnivore coexistence measures</w:t>
        </w:r>
      </w:hyperlink>
      <w:r w:rsidDel="00000000" w:rsidR="00000000" w:rsidRPr="00000000">
        <w:rPr>
          <w:rtl w:val="0"/>
        </w:rPr>
        <w:t xml:space="preserve"> (EU Large Carnivore Platform Secretariat, 2021)</w:t>
      </w:r>
    </w:p>
    <w:p w:rsidR="00000000" w:rsidDel="00000000" w:rsidP="00000000" w:rsidRDefault="00000000" w:rsidRPr="00000000" w14:paraId="00000047">
      <w:pPr>
        <w:spacing w:after="120" w:lineRule="auto"/>
        <w:rPr/>
      </w:pPr>
      <w:hyperlink r:id="rId13">
        <w:r w:rsidDel="00000000" w:rsidR="00000000" w:rsidRPr="00000000">
          <w:rPr>
            <w:color w:val="0563c1"/>
            <w:u w:val="single"/>
            <w:rtl w:val="0"/>
          </w:rPr>
          <w:t xml:space="preserve">Briefing note: Changes to State aid guidelines on European Union Member States financing for compensation and prevention measures</w:t>
        </w:r>
      </w:hyperlink>
      <w:r w:rsidDel="00000000" w:rsidR="00000000" w:rsidRPr="00000000">
        <w:rPr>
          <w:rtl w:val="0"/>
        </w:rPr>
        <w:t xml:space="preserve"> (EU Large Carnivore Platform Secretariat, 2019)</w:t>
      </w:r>
    </w:p>
    <w:p w:rsidR="00000000" w:rsidDel="00000000" w:rsidP="00000000" w:rsidRDefault="00000000" w:rsidRPr="00000000" w14:paraId="00000048">
      <w:pPr>
        <w:spacing w:after="120" w:lineRule="auto"/>
        <w:rPr/>
      </w:pPr>
      <w:hyperlink r:id="rId14">
        <w:r w:rsidDel="00000000" w:rsidR="00000000" w:rsidRPr="00000000">
          <w:rPr>
            <w:color w:val="0563c1"/>
            <w:u w:val="single"/>
            <w:rtl w:val="0"/>
          </w:rPr>
          <w:t xml:space="preserve">Livestock guarding dogs. The LIFE DinAlp Bear project handbook</w:t>
        </w:r>
      </w:hyperlink>
      <w:r w:rsidDel="00000000" w:rsidR="00000000" w:rsidRPr="00000000">
        <w:rPr>
          <w:rtl w:val="0"/>
        </w:rPr>
        <w:t xml:space="preserve"> (Slovenian Forest Service, 2018)</w:t>
      </w:r>
    </w:p>
    <w:p w:rsidR="00000000" w:rsidDel="00000000" w:rsidP="00000000" w:rsidRDefault="00000000" w:rsidRPr="00000000" w14:paraId="00000049">
      <w:pPr>
        <w:rPr/>
      </w:pPr>
      <w:hyperlink r:id="rId15">
        <w:r w:rsidDel="00000000" w:rsidR="00000000" w:rsidRPr="00000000">
          <w:rPr>
            <w:color w:val="0563c1"/>
            <w:u w:val="single"/>
            <w:rtl w:val="0"/>
          </w:rPr>
          <w:t xml:space="preserve">Supporting good practice for coexistence – presentation of examples and analysis of support through the EAFRD</w:t>
        </w:r>
      </w:hyperlink>
      <w:r w:rsidDel="00000000" w:rsidR="00000000" w:rsidRPr="00000000">
        <w:rPr>
          <w:rtl w:val="0"/>
        </w:rPr>
        <w:t xml:space="preserve"> (EU Platform on Large Carnivores, 2016)</w:t>
      </w:r>
    </w:p>
    <w:p w:rsidR="00000000" w:rsidDel="00000000" w:rsidP="00000000" w:rsidRDefault="00000000" w:rsidRPr="00000000" w14:paraId="0000004A">
      <w:pPr>
        <w:pStyle w:val="Heading1"/>
        <w:rPr/>
      </w:pPr>
      <w:r w:rsidDel="00000000" w:rsidR="00000000" w:rsidRPr="00000000">
        <w:rPr>
          <w:rtl w:val="0"/>
        </w:rPr>
        <w:t xml:space="preserve">Open-access papers</w:t>
      </w:r>
    </w:p>
    <w:p w:rsidR="00000000" w:rsidDel="00000000" w:rsidP="00000000" w:rsidRDefault="00000000" w:rsidRPr="00000000" w14:paraId="0000004B">
      <w:pPr>
        <w:ind w:left="284" w:hanging="284"/>
        <w:rPr/>
      </w:pPr>
      <w:r w:rsidDel="00000000" w:rsidR="00000000" w:rsidRPr="00000000">
        <w:rPr>
          <w:rtl w:val="0"/>
        </w:rPr>
        <w:t xml:space="preserve">Gehring T, et al. (2011). Good fences make good </w:t>
      </w:r>
      <w:r w:rsidDel="00000000" w:rsidR="00000000" w:rsidRPr="00000000">
        <w:rPr>
          <w:rtl w:val="0"/>
        </w:rPr>
        <w:t xml:space="preserve">neighbors</w:t>
      </w:r>
      <w:r w:rsidDel="00000000" w:rsidR="00000000" w:rsidRPr="00000000">
        <w:rPr>
          <w:rtl w:val="0"/>
        </w:rPr>
        <w:t xml:space="preserve">: implementation of electric fencing for establishing effective livestock-protection dogs. Human-Wildlife Interactions 5(1): 106–111. </w:t>
      </w:r>
      <w:hyperlink r:id="rId16">
        <w:r w:rsidDel="00000000" w:rsidR="00000000" w:rsidRPr="00000000">
          <w:rPr>
            <w:color w:val="0563c1"/>
            <w:u w:val="single"/>
            <w:rtl w:val="0"/>
          </w:rPr>
          <w:t xml:space="preserve">https://doi.org/10.26077/pmra-h921</w:t>
        </w:r>
      </w:hyperlink>
      <w:r w:rsidDel="00000000" w:rsidR="00000000" w:rsidRPr="00000000">
        <w:rPr>
          <w:rtl w:val="0"/>
        </w:rPr>
        <w:t xml:space="preserve">.</w:t>
      </w:r>
    </w:p>
    <w:p w:rsidR="00000000" w:rsidDel="00000000" w:rsidP="00000000" w:rsidRDefault="00000000" w:rsidRPr="00000000" w14:paraId="0000004C">
      <w:pPr>
        <w:spacing w:after="120" w:lineRule="auto"/>
        <w:ind w:left="284" w:hanging="284"/>
        <w:rPr/>
      </w:pPr>
      <w:r w:rsidDel="00000000" w:rsidR="00000000" w:rsidRPr="00000000">
        <w:rPr>
          <w:rtl w:val="0"/>
        </w:rPr>
        <w:t xml:space="preserve">Giannakopoulos A, et al. (2017). Livestock guarding dogs in Greece: practical conservation measures to </w:t>
      </w:r>
      <w:r w:rsidDel="00000000" w:rsidR="00000000" w:rsidRPr="00000000">
        <w:rPr>
          <w:rtl w:val="0"/>
        </w:rPr>
        <w:t xml:space="preserve">minimize</w:t>
      </w:r>
      <w:r w:rsidDel="00000000" w:rsidR="00000000" w:rsidRPr="00000000">
        <w:rPr>
          <w:rtl w:val="0"/>
        </w:rPr>
        <w:t xml:space="preserve"> human-carnivore conflicts. Carnivore Damage Prevention News 16: 23–33. </w:t>
      </w:r>
      <w:hyperlink r:id="rId17">
        <w:r w:rsidDel="00000000" w:rsidR="00000000" w:rsidRPr="00000000">
          <w:rPr>
            <w:color w:val="0563c1"/>
            <w:u w:val="single"/>
            <w:rtl w:val="0"/>
          </w:rPr>
          <w:t xml:space="preserve">http://www.protectiondestroupeaux.ch/fileadmin/doc/International/CDP_and_‌General_Infos/CDPNews16-Autumn2017.pdf</w:t>
        </w:r>
      </w:hyperlink>
      <w:r w:rsidDel="00000000" w:rsidR="00000000" w:rsidRPr="00000000">
        <w:rPr>
          <w:rtl w:val="0"/>
        </w:rPr>
        <w:t xml:space="preserve">.</w:t>
      </w:r>
    </w:p>
    <w:p w:rsidR="00000000" w:rsidDel="00000000" w:rsidP="00000000" w:rsidRDefault="00000000" w:rsidRPr="00000000" w14:paraId="0000004D">
      <w:pPr>
        <w:spacing w:after="120" w:lineRule="auto"/>
        <w:ind w:left="284" w:hanging="284"/>
        <w:rPr/>
      </w:pPr>
      <w:r w:rsidDel="00000000" w:rsidR="00000000" w:rsidRPr="00000000">
        <w:rPr>
          <w:rtl w:val="0"/>
        </w:rPr>
        <w:t xml:space="preserve">Lescureux N, et al. (2014). Livestock guarding dogs in Europe: paying attention to the context to deal with complex human – wolf – dog relationships. Carnivore Damage Prevention News 10: 31-35. </w:t>
      </w:r>
      <w:hyperlink r:id="rId18">
        <w:r w:rsidDel="00000000" w:rsidR="00000000" w:rsidRPr="00000000">
          <w:rPr>
            <w:color w:val="0563c1"/>
            <w:u w:val="single"/>
            <w:rtl w:val="0"/>
          </w:rPr>
          <w:t xml:space="preserve">http://www.protectiondestroupeaux.ch/fileadmin/doc/‌International/CDP_and_General_Infos/CDPnews_10_Spring2014z.pdf</w:t>
        </w:r>
      </w:hyperlink>
      <w:r w:rsidDel="00000000" w:rsidR="00000000" w:rsidRPr="00000000">
        <w:rPr>
          <w:rtl w:val="0"/>
        </w:rPr>
        <w:t xml:space="preserve">.</w:t>
      </w:r>
    </w:p>
    <w:p w:rsidR="00000000" w:rsidDel="00000000" w:rsidP="00000000" w:rsidRDefault="00000000" w:rsidRPr="00000000" w14:paraId="0000004E">
      <w:pPr>
        <w:spacing w:after="120" w:lineRule="auto"/>
        <w:ind w:left="284" w:hanging="284"/>
        <w:rPr/>
      </w:pPr>
      <w:r w:rsidDel="00000000" w:rsidR="00000000" w:rsidRPr="00000000">
        <w:rPr>
          <w:rtl w:val="0"/>
        </w:rPr>
        <w:t xml:space="preserve">Linnell JDC and Lescureux N (2015). Livestock guarding dogs – cultural heritage icons with a new relevance for mitigating conservation conflicts. Norwegian Institute for Nature Research, Trondheim, Norway. </w:t>
      </w:r>
      <w:hyperlink r:id="rId19">
        <w:r w:rsidDel="00000000" w:rsidR="00000000" w:rsidRPr="00000000">
          <w:rPr>
            <w:color w:val="0563c1"/>
            <w:u w:val="single"/>
            <w:rtl w:val="0"/>
          </w:rPr>
          <w:t xml:space="preserve">https://ec.europa.eu/environment/nature/conservation/</w:t>
        </w:r>
      </w:hyperlink>
      <w:hyperlink r:id="rId20">
        <w:r w:rsidDel="00000000" w:rsidR="00000000" w:rsidRPr="00000000">
          <w:rPr>
            <w:rFonts w:ascii="Times New Roman" w:cs="Times New Roman" w:eastAsia="Times New Roman" w:hAnsi="Times New Roman"/>
            <w:color w:val="0563c1"/>
            <w:u w:val="single"/>
            <w:rtl w:val="0"/>
          </w:rPr>
          <w:t xml:space="preserve">‌</w:t>
        </w:r>
      </w:hyperlink>
      <w:hyperlink r:id="rId21">
        <w:r w:rsidDel="00000000" w:rsidR="00000000" w:rsidRPr="00000000">
          <w:rPr>
            <w:color w:val="0563c1"/>
            <w:u w:val="single"/>
            <w:rtl w:val="0"/>
          </w:rPr>
          <w:t xml:space="preserve">species/carnivores/pdf/livestock%20guarding%20dogs_web.pdf</w:t>
        </w:r>
      </w:hyperlink>
      <w:r w:rsidDel="00000000" w:rsidR="00000000" w:rsidRPr="00000000">
        <w:rPr>
          <w:rtl w:val="0"/>
        </w:rPr>
        <w:t xml:space="preserve">.</w:t>
      </w:r>
    </w:p>
    <w:p w:rsidR="00000000" w:rsidDel="00000000" w:rsidP="00000000" w:rsidRDefault="00000000" w:rsidRPr="00000000" w14:paraId="0000004F">
      <w:pPr>
        <w:spacing w:after="120" w:lineRule="auto"/>
        <w:ind w:left="284" w:hanging="284"/>
        <w:rPr/>
      </w:pPr>
      <w:r w:rsidDel="00000000" w:rsidR="00000000" w:rsidRPr="00000000">
        <w:rPr>
          <w:rtl w:val="0"/>
        </w:rPr>
        <w:t xml:space="preserve">Pfister U and Nienhuis C (2017). Official Swiss livestock guarding dogs. Carnivore Damage Prevention News 16: 34–42. </w:t>
      </w:r>
      <w:hyperlink r:id="rId22">
        <w:r w:rsidDel="00000000" w:rsidR="00000000" w:rsidRPr="00000000">
          <w:rPr>
            <w:color w:val="0563c1"/>
            <w:u w:val="single"/>
            <w:rtl w:val="0"/>
          </w:rPr>
          <w:t xml:space="preserve">http://www.protectiondestroupeaux.ch/fileadmin/doc/‌International/CDP_and_General_Infos/CDPNews16-Autumn2017.pdf</w:t>
        </w:r>
      </w:hyperlink>
      <w:r w:rsidDel="00000000" w:rsidR="00000000" w:rsidRPr="00000000">
        <w:rPr>
          <w:rtl w:val="0"/>
        </w:rPr>
        <w:t xml:space="preserve">.</w:t>
      </w:r>
    </w:p>
    <w:p w:rsidR="00000000" w:rsidDel="00000000" w:rsidP="00000000" w:rsidRDefault="00000000" w:rsidRPr="00000000" w14:paraId="00000050">
      <w:pPr>
        <w:spacing w:after="120" w:lineRule="auto"/>
        <w:ind w:left="284" w:hanging="284"/>
        <w:rPr/>
      </w:pPr>
      <w:r w:rsidDel="00000000" w:rsidR="00000000" w:rsidRPr="00000000">
        <w:rPr>
          <w:rtl w:val="0"/>
        </w:rPr>
        <w:t xml:space="preserve">Reinhardt I, et al. (2012). Livestock protection methods applicable for Germany – a country newly recolonized by wolves. Hystrix, the Italian Journal of Mammalogy 23(1): 62–72. </w:t>
      </w:r>
      <w:hyperlink r:id="rId23">
        <w:r w:rsidDel="00000000" w:rsidR="00000000" w:rsidRPr="00000000">
          <w:rPr>
            <w:color w:val="0563c1"/>
            <w:u w:val="single"/>
            <w:rtl w:val="0"/>
          </w:rPr>
          <w:t xml:space="preserve">https://doi.org/10.4404/hystrix-23.1-4555</w:t>
        </w:r>
      </w:hyperlink>
      <w:r w:rsidDel="00000000" w:rsidR="00000000" w:rsidRPr="00000000">
        <w:rPr>
          <w:rtl w:val="0"/>
        </w:rPr>
        <w:t xml:space="preserve">.</w:t>
      </w:r>
    </w:p>
    <w:p w:rsidR="00000000" w:rsidDel="00000000" w:rsidP="00000000" w:rsidRDefault="00000000" w:rsidRPr="00000000" w14:paraId="00000051">
      <w:pPr>
        <w:spacing w:after="120" w:lineRule="auto"/>
        <w:ind w:left="284" w:hanging="284"/>
        <w:rPr/>
      </w:pPr>
      <w:r w:rsidDel="00000000" w:rsidR="00000000" w:rsidRPr="00000000">
        <w:rPr>
          <w:rtl w:val="0"/>
        </w:rPr>
        <w:t xml:space="preserve">Ribeiro S, et al. (2017). Livestock guarding dogs today: possible solutions to perceived limitations. Carnivore Damage Prevention News 15: 36–53. </w:t>
      </w:r>
      <w:hyperlink r:id="rId24">
        <w:r w:rsidDel="00000000" w:rsidR="00000000" w:rsidRPr="00000000">
          <w:rPr>
            <w:color w:val="0563c1"/>
            <w:u w:val="single"/>
            <w:rtl w:val="0"/>
          </w:rPr>
          <w:t xml:space="preserve">http://www.protectiondestroupeaux.ch/fileadmin/doc/International/CDP_and_General_Infos/CDPNews15-Summer2017__1_.pdf</w:t>
        </w:r>
      </w:hyperlink>
      <w:r w:rsidDel="00000000" w:rsidR="00000000" w:rsidRPr="00000000">
        <w:rPr>
          <w:rtl w:val="0"/>
        </w:rPr>
        <w:t xml:space="preserve">.</w:t>
      </w:r>
    </w:p>
    <w:p w:rsidR="00000000" w:rsidDel="00000000" w:rsidP="00000000" w:rsidRDefault="00000000" w:rsidRPr="00000000" w14:paraId="00000052">
      <w:pPr>
        <w:spacing w:after="120" w:lineRule="auto"/>
        <w:ind w:left="284" w:hanging="284"/>
        <w:rPr/>
      </w:pPr>
      <w:r w:rsidDel="00000000" w:rsidR="00000000" w:rsidRPr="00000000">
        <w:rPr>
          <w:rtl w:val="0"/>
        </w:rPr>
        <w:t xml:space="preserve">Rigg R (2001). Livestock guarding dogs: their current use world wide. IUCN/SSC Canid Specialist Group Occasional Paper No 1. </w:t>
      </w:r>
      <w:hyperlink r:id="rId25">
        <w:r w:rsidDel="00000000" w:rsidR="00000000" w:rsidRPr="00000000">
          <w:rPr>
            <w:color w:val="0563c1"/>
            <w:u w:val="single"/>
            <w:rtl w:val="0"/>
          </w:rPr>
          <w:t xml:space="preserve">http://www1.nina.no/lcie_new/pdf/‌634994135320630456_IUCN%20CSG%20Occasional%20Papers%20Rigg%20LGDs.pdf</w:t>
        </w:r>
      </w:hyperlink>
      <w:r w:rsidDel="00000000" w:rsidR="00000000" w:rsidRPr="00000000">
        <w:rPr>
          <w:rtl w:val="0"/>
        </w:rPr>
      </w:r>
    </w:p>
    <w:p w:rsidR="00000000" w:rsidDel="00000000" w:rsidP="00000000" w:rsidRDefault="00000000" w:rsidRPr="00000000" w14:paraId="00000053">
      <w:pPr>
        <w:spacing w:after="120" w:lineRule="auto"/>
        <w:ind w:left="284" w:hanging="284"/>
        <w:rPr/>
      </w:pPr>
      <w:r w:rsidDel="00000000" w:rsidR="00000000" w:rsidRPr="00000000">
        <w:rPr>
          <w:rtl w:val="0"/>
        </w:rPr>
        <w:t xml:space="preserve">Rigg R, et al. (2011). Mitigating carnivore-livestock conflict in Europe: lessons from Slovakia. Oryx 45(2): 272–280. </w:t>
      </w:r>
      <w:hyperlink r:id="rId26">
        <w:r w:rsidDel="00000000" w:rsidR="00000000" w:rsidRPr="00000000">
          <w:rPr>
            <w:color w:val="0563c1"/>
            <w:u w:val="single"/>
            <w:rtl w:val="0"/>
          </w:rPr>
          <w:t xml:space="preserve">https://doi.org/10.1017/S0030605310000074</w:t>
        </w:r>
      </w:hyperlink>
      <w:r w:rsidDel="00000000" w:rsidR="00000000" w:rsidRPr="00000000">
        <w:rPr>
          <w:rtl w:val="0"/>
        </w:rPr>
        <w:t xml:space="preserve">.</w:t>
      </w:r>
    </w:p>
    <w:p w:rsidR="00000000" w:rsidDel="00000000" w:rsidP="00000000" w:rsidRDefault="00000000" w:rsidRPr="00000000" w14:paraId="00000054">
      <w:pPr>
        <w:ind w:left="284" w:hanging="284"/>
        <w:rPr/>
      </w:pPr>
      <w:r w:rsidDel="00000000" w:rsidR="00000000" w:rsidRPr="00000000">
        <w:rPr>
          <w:rtl w:val="0"/>
        </w:rPr>
        <w:t xml:space="preserve">Vielmi L and Salvatori V (2017). </w:t>
      </w:r>
      <w:r w:rsidDel="00000000" w:rsidR="00000000" w:rsidRPr="00000000">
        <w:rPr>
          <w:rtl w:val="0"/>
        </w:rPr>
        <w:t xml:space="preserve">DifesAttiva</w:t>
      </w:r>
      <w:r w:rsidDel="00000000" w:rsidR="00000000" w:rsidRPr="00000000">
        <w:rPr>
          <w:rtl w:val="0"/>
        </w:rPr>
        <w:t xml:space="preserve">: A farmers’ association to foster networking and support for damage prevention. Carnivore Damage Prevention News 15: 1–8. </w:t>
      </w:r>
      <w:hyperlink r:id="rId27">
        <w:r w:rsidDel="00000000" w:rsidR="00000000" w:rsidRPr="00000000">
          <w:rPr>
            <w:color w:val="0563c1"/>
            <w:u w:val="single"/>
            <w:rtl w:val="0"/>
          </w:rPr>
          <w:t xml:space="preserve">https://www.protectiondestroupeaux.ch/fileadmin/doc/International/CDP_and_General_Infos/CDPNews15-Summer2017__1_.pdf</w:t>
        </w:r>
      </w:hyperlink>
      <w:r w:rsidDel="00000000" w:rsidR="00000000" w:rsidRPr="00000000">
        <w:rPr>
          <w:rtl w:val="0"/>
        </w:rPr>
        <w:t xml:space="preserve">.</w:t>
      </w:r>
    </w:p>
    <w:p w:rsidR="00000000" w:rsidDel="00000000" w:rsidP="00000000" w:rsidRDefault="00000000" w:rsidRPr="00000000" w14:paraId="00000055">
      <w:pPr>
        <w:ind w:left="284" w:hanging="284"/>
        <w:rPr/>
      </w:pPr>
      <w:r w:rsidDel="00000000" w:rsidR="00000000" w:rsidRPr="00000000">
        <w:rPr>
          <w:rtl w:val="0"/>
        </w:rPr>
        <w:t xml:space="preserve">Volski L, et al. (2021). Social effectiveness and human-wildlife conflict: linking the ecological effectiveness and social acceptability of livestock protection tools. Frontiers in Conservation Science 2. </w:t>
      </w:r>
      <w:hyperlink r:id="rId28">
        <w:r w:rsidDel="00000000" w:rsidR="00000000" w:rsidRPr="00000000">
          <w:rPr>
            <w:color w:val="0563c1"/>
            <w:u w:val="single"/>
            <w:rtl w:val="0"/>
          </w:rPr>
          <w:t xml:space="preserve">https://doi.org/10.3389/fcosc.2021.682210</w:t>
        </w:r>
      </w:hyperlink>
      <w:r w:rsidDel="00000000" w:rsidR="00000000" w:rsidRPr="00000000">
        <w:rPr>
          <w:rtl w:val="0"/>
        </w:rPr>
        <w:t xml:space="preserve">.</w:t>
      </w:r>
    </w:p>
    <w:p w:rsidR="00000000" w:rsidDel="00000000" w:rsidP="00000000" w:rsidRDefault="00000000" w:rsidRPr="00000000" w14:paraId="00000056">
      <w:pPr>
        <w:pStyle w:val="Heading1"/>
        <w:rPr/>
      </w:pPr>
      <w:r w:rsidDel="00000000" w:rsidR="00000000" w:rsidRPr="00000000">
        <w:rPr>
          <w:rtl w:val="0"/>
        </w:rPr>
        <w:t xml:space="preserve">Websites with additional resources</w:t>
      </w:r>
    </w:p>
    <w:p w:rsidR="00000000" w:rsidDel="00000000" w:rsidP="00000000" w:rsidRDefault="00000000" w:rsidRPr="00000000" w14:paraId="00000057">
      <w:pPr>
        <w:spacing w:after="120" w:lineRule="auto"/>
        <w:rPr>
          <w:color w:val="0563c1"/>
          <w:u w:val="single"/>
        </w:rPr>
      </w:pPr>
      <w:r w:rsidDel="00000000" w:rsidR="00000000" w:rsidRPr="00000000">
        <w:rPr>
          <w:rtl w:val="0"/>
        </w:rPr>
        <w:t xml:space="preserve">Carnivore Damage Prevention News: </w:t>
      </w:r>
      <w:hyperlink r:id="rId29">
        <w:r w:rsidDel="00000000" w:rsidR="00000000" w:rsidRPr="00000000">
          <w:rPr>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58">
      <w:pPr>
        <w:tabs>
          <w:tab w:val="left" w:leader="none" w:pos="4111"/>
        </w:tabs>
        <w:spacing w:after="120" w:lineRule="auto"/>
        <w:rPr/>
      </w:pPr>
      <w:bookmarkStart w:colFirst="0" w:colLast="0" w:name="_3znysh7" w:id="4"/>
      <w:bookmarkEnd w:id="4"/>
      <w:r w:rsidDel="00000000" w:rsidR="00000000" w:rsidRPr="00000000">
        <w:rPr>
          <w:rtl w:val="0"/>
        </w:rPr>
        <w:t xml:space="preserve">EU Large Carnivore Platform Case Study Selection: </w:t>
      </w:r>
      <w:hyperlink r:id="rId30">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IUCN Human–Wildlife Conflict Task Force: </w:t>
      </w:r>
      <w:hyperlink r:id="rId31">
        <w:r w:rsidDel="00000000" w:rsidR="00000000" w:rsidRPr="00000000">
          <w:rPr>
            <w:color w:val="0563c1"/>
            <w:u w:val="single"/>
            <w:rtl w:val="0"/>
          </w:rPr>
          <w:t xml:space="preserve">https://www.hwctf.org/livestock-guarding</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Italian Livestock protection information website (in Italian)</w:t>
        <w:br w:type="textWrapping"/>
      </w:r>
      <w:hyperlink r:id="rId32">
        <w:r w:rsidDel="00000000" w:rsidR="00000000" w:rsidRPr="00000000">
          <w:rPr>
            <w:color w:val="0563c1"/>
            <w:u w:val="single"/>
            <w:rtl w:val="0"/>
          </w:rPr>
          <w:t xml:space="preserve">http://www.protezionebestiame.it/cani-da-guardiania</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Swiss Centre for Agricultural Advisory and Extension Services: </w:t>
      </w:r>
      <w:hyperlink r:id="rId33">
        <w:r w:rsidDel="00000000" w:rsidR="00000000" w:rsidRPr="00000000">
          <w:rPr>
            <w:color w:val="0563c1"/>
            <w:u w:val="single"/>
            <w:rtl w:val="0"/>
          </w:rPr>
          <w:t xml:space="preserve">https://www.agridea.ch</w:t>
        </w:r>
      </w:hyperlink>
      <w:r w:rsidDel="00000000" w:rsidR="00000000" w:rsidRPr="00000000">
        <w:rPr>
          <w:rtl w:val="0"/>
        </w:rPr>
      </w:r>
    </w:p>
    <w:sectPr>
      <w:footerReference r:id="rId3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van Eeden LM, et al. (2018). Managing conflict between large carnivores and livestock. Conservation Biology 32(1): 26</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https://doi.org/10.1111/cobi.12959</w:t>
        </w:r>
      </w:hyperlink>
      <w:r w:rsidDel="00000000" w:rsidR="00000000" w:rsidRPr="00000000">
        <w:rPr>
          <w:rtl w:val="0"/>
        </w:rPr>
      </w:r>
    </w:p>
  </w:footnote>
  <w:footnote w:id="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http://www.protectiondestroupeaux.ch/fileadmin/doc/Herdenschutzmassnahmen/Vergr%C3%A4‌mungsmassnahmen/01_D_17_WEB_Info_Flatterband-Blinklampe_.pdf</w:t>
        </w:r>
      </w:hyperlink>
      <w:r w:rsidDel="00000000" w:rsidR="00000000" w:rsidRPr="00000000">
        <w:rPr>
          <w:rtl w:val="0"/>
        </w:rPr>
      </w:r>
    </w:p>
  </w:footnote>
  <w:footnote w:id="2">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Kinka D and Young JK (2018). A livestock guardian dog by any other name: similar response to wolves across livestock guardian dog breeds. Rangeland Ecology &amp; Management 71(4): 509–517.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https://doi.org/10.1016/‌j.rama.2018.03.004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http://www.predatorfriendly.org/how-to/how-to-pdf-docs/Livestock%20Guardian%20Dogs-Protecting%20Sheep%20from%20Predators,%20USDA.PDF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Zingaro M, et al. (2018). Are the livestock guarding dogs where they are supposed to be? Applied Animal Behaviour Science 198: 89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94.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https://doi.org/10.1016/j.applanim.2017.10.002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Kinka D and Young JK (2018). A livestock guardian dog by any other name: similar response to wolves across livestock guardian dog breeds. Rangeland Ecology &amp; Management 71(4): 509-517.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https://doi.org/10.1016/‌j.rama.2018.03.004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6">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https://ec.europa.eu/eip/agriculture/en/news/farm-demonstrations-boosting-peer-peer-learning</w:t>
        </w:r>
      </w:hyperlink>
      <w:r w:rsidDel="00000000" w:rsidR="00000000" w:rsidRPr="00000000">
        <w:rPr>
          <w:rtl w:val="0"/>
        </w:rPr>
      </w:r>
    </w:p>
  </w:footnote>
  <w:footnote w:id="7">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https://idele.fr/chiens-de-troupeau/</w:t>
      </w:r>
    </w:p>
  </w:footnote>
  <w:footnote w:id="8">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https://cinea.ec.europa.eu/life_en</w:t>
      </w:r>
    </w:p>
  </w:footnote>
  <w:footnote w:id="9">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https://ec.europa.eu/environment/nature/conservation/species/carnivores/case_studies_sub_rural_‌development_programmes.htm</w:t>
        </w:r>
      </w:hyperlink>
      <w:r w:rsidDel="00000000" w:rsidR="00000000" w:rsidRPr="00000000">
        <w:rPr>
          <w:rtl w:val="0"/>
        </w:rPr>
      </w:r>
    </w:p>
  </w:footnote>
  <w:footnote w:id="10">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https://ec.europa.eu/environment/nature/conservation/species/carnivores/pdf/EU_Platform_CAP_and_large‌_carnivores_July21.pdf</w:t>
        </w:r>
      </w:hyperlink>
      <w:r w:rsidDel="00000000" w:rsidR="00000000" w:rsidRPr="00000000">
        <w:rPr>
          <w:rtl w:val="0"/>
        </w:rPr>
      </w:r>
    </w:p>
  </w:footnote>
  <w:footnote w:id="11">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https://ec.europa.eu/environment/nature/conservation/species/carnivores/pdf/96_LC%20Platform-case%20studies%20and%20RD.pdf</w:t>
        </w:r>
      </w:hyperlink>
      <w:r w:rsidDel="00000000" w:rsidR="00000000" w:rsidRPr="00000000">
        <w:rPr>
          <w:rtl w:val="0"/>
        </w:rPr>
      </w:r>
    </w:p>
  </w:footnote>
  <w:footnote w:id="12">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Marsden K and Hovardas T (2020). EU Rural Development Policy and the management of conflictual species: The case of large carnivores. Biological Conservation 243: 108464.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https://doi.org/10.1016/j.biocon.2020.108464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https://ec.europa.eu/environment/nature/conservation/species/carnivores/pdf/Briefing%20note%20state%‌20aid_EU%20Platform.pdf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44" w:hanging="359.99999999999994"/>
      </w:pPr>
      <w:rPr/>
    </w:lvl>
    <w:lvl w:ilvl="1">
      <w:start w:val="1"/>
      <w:numFmt w:val="lowerLetter"/>
      <w:lvlText w:val="%2."/>
      <w:lvlJc w:val="left"/>
      <w:pPr>
        <w:ind w:left="1464" w:hanging="360"/>
      </w:pPr>
      <w:rPr/>
    </w:lvl>
    <w:lvl w:ilvl="2">
      <w:start w:val="1"/>
      <w:numFmt w:val="lowerRoman"/>
      <w:lvlText w:val="%3."/>
      <w:lvlJc w:val="right"/>
      <w:pPr>
        <w:ind w:left="2184" w:hanging="180"/>
      </w:pPr>
      <w:rPr/>
    </w:lvl>
    <w:lvl w:ilvl="3">
      <w:start w:val="1"/>
      <w:numFmt w:val="decimal"/>
      <w:lvlText w:val="%4."/>
      <w:lvlJc w:val="left"/>
      <w:pPr>
        <w:ind w:left="2904" w:hanging="360"/>
      </w:pPr>
      <w:rPr/>
    </w:lvl>
    <w:lvl w:ilvl="4">
      <w:start w:val="1"/>
      <w:numFmt w:val="lowerLetter"/>
      <w:lvlText w:val="%5."/>
      <w:lvlJc w:val="left"/>
      <w:pPr>
        <w:ind w:left="3624" w:hanging="360"/>
      </w:pPr>
      <w:rPr/>
    </w:lvl>
    <w:lvl w:ilvl="5">
      <w:start w:val="1"/>
      <w:numFmt w:val="lowerRoman"/>
      <w:lvlText w:val="%6."/>
      <w:lvlJc w:val="right"/>
      <w:pPr>
        <w:ind w:left="4344" w:hanging="180"/>
      </w:pPr>
      <w:rPr/>
    </w:lvl>
    <w:lvl w:ilvl="6">
      <w:start w:val="1"/>
      <w:numFmt w:val="decimal"/>
      <w:lvlText w:val="%7."/>
      <w:lvlJc w:val="left"/>
      <w:pPr>
        <w:ind w:left="5064" w:hanging="360"/>
      </w:pPr>
      <w:rPr/>
    </w:lvl>
    <w:lvl w:ilvl="7">
      <w:start w:val="1"/>
      <w:numFmt w:val="lowerLetter"/>
      <w:lvlText w:val="%8."/>
      <w:lvlJc w:val="left"/>
      <w:pPr>
        <w:ind w:left="5784" w:hanging="360"/>
      </w:pPr>
      <w:rPr/>
    </w:lvl>
    <w:lvl w:ilvl="8">
      <w:start w:val="1"/>
      <w:numFmt w:val="lowerRoman"/>
      <w:lvlText w:val="%9."/>
      <w:lvlJc w:val="right"/>
      <w:pPr>
        <w:ind w:left="6504" w:hanging="180"/>
      </w:pPr>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c.europa.eu/environment/nature/conservation/%E2%80%8Cspecies/carnivores/pdf/livestock%20guarding%20dogs_web.pdf" TargetMode="External"/><Relationship Id="rId22" Type="http://schemas.openxmlformats.org/officeDocument/2006/relationships/hyperlink" Target="http://www.protectiondestroupeaux.ch/fileadmin/doc/International/CDP_and_General_Infos/CDPNews16-Autumn2017.pdf" TargetMode="External"/><Relationship Id="rId21" Type="http://schemas.openxmlformats.org/officeDocument/2006/relationships/hyperlink" Target="https://ec.europa.eu/environment/nature/conservation/%E2%80%8Cspecies/carnivores/pdf/livestock%20guarding%20dogs_web.pdf" TargetMode="External"/><Relationship Id="rId24" Type="http://schemas.openxmlformats.org/officeDocument/2006/relationships/hyperlink" Target="http://www.protectiondestroupeaux.ch/fileadmin/doc/International/CDP_and_General_Infos/CDPNews15-Summer2017__1_.pdf" TargetMode="External"/><Relationship Id="rId23" Type="http://schemas.openxmlformats.org/officeDocument/2006/relationships/hyperlink" Target="https://doi.org/10.4404/hystrix-23.1-45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Daniel.Mettler@agridea.ch" TargetMode="External"/><Relationship Id="rId26" Type="http://schemas.openxmlformats.org/officeDocument/2006/relationships/hyperlink" Target="https://doi.org/10.1017/S0030605310000074" TargetMode="External"/><Relationship Id="rId25" Type="http://schemas.openxmlformats.org/officeDocument/2006/relationships/hyperlink" Target="http://www1.nina.no/lcie_new/pdf/634994135320630456_IUCN%20CSG%20Occasional%20Papers%20Rigg%20LGDs.pdf" TargetMode="External"/><Relationship Id="rId28" Type="http://schemas.openxmlformats.org/officeDocument/2006/relationships/hyperlink" Target="https://doi.org/10.3389/fcosc.2021.682210" TargetMode="External"/><Relationship Id="rId27" Type="http://schemas.openxmlformats.org/officeDocument/2006/relationships/hyperlink" Target="https://www.protectiondestroupeaux.ch/fileadmin/doc/International/CDP_and_General_Infos/CDPNews15-Summer2017__1_.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cdpnews.net" TargetMode="External"/><Relationship Id="rId7" Type="http://schemas.openxmlformats.org/officeDocument/2006/relationships/hyperlink" Target="mailto:caroline.nienhuis@hsh-ch.ch" TargetMode="External"/><Relationship Id="rId8" Type="http://schemas.openxmlformats.org/officeDocument/2006/relationships/hyperlink" Target="mailto:felix.hahn@agridea.ch" TargetMode="External"/><Relationship Id="rId31" Type="http://schemas.openxmlformats.org/officeDocument/2006/relationships/hyperlink" Target="https://www.hwctf.org/livestock-guarding" TargetMode="External"/><Relationship Id="rId30" Type="http://schemas.openxmlformats.org/officeDocument/2006/relationships/hyperlink" Target="https://ec.europa.eu/environment/nature/conservation/species/carnivores/case_studies.htm" TargetMode="External"/><Relationship Id="rId11" Type="http://schemas.openxmlformats.org/officeDocument/2006/relationships/hyperlink" Target="http://www.protectiondestroupeaux.ch/en" TargetMode="External"/><Relationship Id="rId33" Type="http://schemas.openxmlformats.org/officeDocument/2006/relationships/hyperlink" Target="https://www.agridea.ch" TargetMode="External"/><Relationship Id="rId10" Type="http://schemas.openxmlformats.org/officeDocument/2006/relationships/hyperlink" Target="https://www.cpt-ch.ch/en/" TargetMode="External"/><Relationship Id="rId32" Type="http://schemas.openxmlformats.org/officeDocument/2006/relationships/hyperlink" Target="http://www.protezionebestiame.it/cani-da-guardiania" TargetMode="External"/><Relationship Id="rId13" Type="http://schemas.openxmlformats.org/officeDocument/2006/relationships/hyperlink" Target="https://ec.europa.eu/environment/nature/conservation/species/carnivores/pdf/Briefing%20note%20state%20aid_EU%20Platform.pdf" TargetMode="External"/><Relationship Id="rId12" Type="http://schemas.openxmlformats.org/officeDocument/2006/relationships/hyperlink" Target="https://ec.europa.eu/environment/nature/conservation/species/carnivores/pdf/EU_Platform_CAP_and_large_carnivores_July21.pdf" TargetMode="External"/><Relationship Id="rId34" Type="http://schemas.openxmlformats.org/officeDocument/2006/relationships/footer" Target="footer1.xml"/><Relationship Id="rId15" Type="http://schemas.openxmlformats.org/officeDocument/2006/relationships/hyperlink" Target="https://ec.europa.eu/environment/nature/conservation/species/carnivores/pdf/96_LC%20Platform-case%20studies%20and%20RD.pdf" TargetMode="External"/><Relationship Id="rId14" Type="http://schemas.openxmlformats.org/officeDocument/2006/relationships/hyperlink" Target="http://dinalpbear.eu/wp-content/uploads/LIVESTOCK-GUARDING-DOGS-e-version.pdf" TargetMode="External"/><Relationship Id="rId17" Type="http://schemas.openxmlformats.org/officeDocument/2006/relationships/hyperlink" Target="http://www.protectiondestroupeaux.ch/fileadmin/doc/International/CDP_and_General_Infos/CDPNews16-Autumn2017.pdf" TargetMode="External"/><Relationship Id="rId16" Type="http://schemas.openxmlformats.org/officeDocument/2006/relationships/hyperlink" Target="https://doi.org/10.26077/pmra-h921" TargetMode="External"/><Relationship Id="rId19" Type="http://schemas.openxmlformats.org/officeDocument/2006/relationships/hyperlink" Target="https://ec.europa.eu/environment/nature/conservation/%E2%80%8Cspecies/carnivores/pdf/livestock%20guarding%20dogs_web.pdf" TargetMode="External"/><Relationship Id="rId18" Type="http://schemas.openxmlformats.org/officeDocument/2006/relationships/hyperlink" Target="http://www.protectiondestroupeaux.ch/fileadmin/doc/International/CDP_and_General_Infos/CDPnews_10_Spring2014z.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doi.org/10.1111/cobi.12959" TargetMode="External"/><Relationship Id="rId2" Type="http://schemas.openxmlformats.org/officeDocument/2006/relationships/hyperlink" Target="http://www.protectiondestroupeaux.ch/fileadmin/doc/Herdenschutzmassnahmen/Vergr%C3%A4mungsmassnahmen/01_D_17_WEB_Info_Flatterband-Blinklampe_.pdf" TargetMode="External"/><Relationship Id="rId3" Type="http://schemas.openxmlformats.org/officeDocument/2006/relationships/hyperlink" Target="https://doi.org/10.1016/j.rama.2018.03.004" TargetMode="External"/><Relationship Id="rId4" Type="http://schemas.openxmlformats.org/officeDocument/2006/relationships/hyperlink" Target="http://www.predatorfriendly.org/how-to/how-to-pdf-docs/Livestock%20Guardian%20Dogs-Protecting%20Sheep%20from%20Predators,%20USDA.PDF" TargetMode="External"/><Relationship Id="rId11" Type="http://schemas.openxmlformats.org/officeDocument/2006/relationships/hyperlink" Target="https://doi.org/10.1016/j.biocon.2020.108464" TargetMode="External"/><Relationship Id="rId10" Type="http://schemas.openxmlformats.org/officeDocument/2006/relationships/hyperlink" Target="https://ec.europa.eu/environment/nature/conservation/species/carnivores/pdf/96_LC%20Platform-case%20studies%20and%20RD.pdf" TargetMode="External"/><Relationship Id="rId12" Type="http://schemas.openxmlformats.org/officeDocument/2006/relationships/hyperlink" Target="https://ec.europa.eu/environment/nature/conservation/species/carnivores/pdf/Briefing%20note%20state%20aid_EU%20Platform.pdf" TargetMode="External"/><Relationship Id="rId9" Type="http://schemas.openxmlformats.org/officeDocument/2006/relationships/hyperlink" Target="https://ec.europa.eu/environment/nature/conservation/species/carnivores/pdf/EU_Platform_CAP_and_large_carnivores_July21.pdf" TargetMode="External"/><Relationship Id="rId5" Type="http://schemas.openxmlformats.org/officeDocument/2006/relationships/hyperlink" Target="https://doi.org/10.1016/j.applanim.2017.10.002" TargetMode="External"/><Relationship Id="rId6" Type="http://schemas.openxmlformats.org/officeDocument/2006/relationships/hyperlink" Target="https://doi.org/10.1016/j.rama.2018.03.004" TargetMode="External"/><Relationship Id="rId7" Type="http://schemas.openxmlformats.org/officeDocument/2006/relationships/hyperlink" Target="https://ec.europa.eu/eip/agriculture/en/news/farm-demonstrations-boosting-peer-peer-learning" TargetMode="External"/><Relationship Id="rId8" Type="http://schemas.openxmlformats.org/officeDocument/2006/relationships/hyperlink" Target="https://ec.europa.eu/environment/nature/conservation/species/carnivores/case_studies_sub_rural_development_programm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