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360" w:before="120" w:line="240" w:lineRule="auto"/>
        <w:ind w:left="23" w:firstLine="0"/>
        <w:jc w:val="center"/>
        <w:rPr/>
      </w:pPr>
      <w:bookmarkStart w:colFirst="0" w:colLast="0" w:name="_waz3a8tp3n4f" w:id="0"/>
      <w:bookmarkEnd w:id="0"/>
      <w:r w:rsidDel="00000000" w:rsidR="00000000" w:rsidRPr="00000000">
        <w:rPr>
          <w:rtl w:val="0"/>
        </w:rPr>
        <w:t xml:space="preserve">Investigating damage hotspots</w:t>
      </w:r>
    </w:p>
    <w:p w:rsidR="00000000" w:rsidDel="00000000" w:rsidP="00000000" w:rsidRDefault="00000000" w:rsidRPr="00000000" w14:paraId="000000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1.1</w:t>
      </w:r>
    </w:p>
    <w:p w:rsidR="00000000" w:rsidDel="00000000" w:rsidP="00000000" w:rsidRDefault="00000000" w:rsidRPr="00000000" w14:paraId="0000000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modified </w:t>
      </w:r>
      <w:r w:rsidDel="00000000" w:rsidR="00000000" w:rsidRPr="00000000">
        <w:rPr>
          <w:rFonts w:ascii="Times New Roman" w:cs="Times New Roman" w:eastAsia="Times New Roman" w:hAnsi="Times New Roman"/>
          <w:rtl w:val="0"/>
        </w:rPr>
        <w:t xml:space="preserve">Feb 17, 2022</w:t>
      </w:r>
      <w:r w:rsidDel="00000000" w:rsidR="00000000" w:rsidRPr="00000000">
        <w:rPr>
          <w:rFonts w:ascii="Times New Roman" w:cs="Times New Roman" w:eastAsia="Times New Roman" w:hAnsi="Times New Roman"/>
          <w:rtl w:val="0"/>
        </w:rPr>
        <w:t xml:space="preserve"> (see version history)</w:t>
      </w:r>
    </w:p>
    <w:p w:rsidR="00000000" w:rsidDel="00000000" w:rsidP="00000000" w:rsidRDefault="00000000" w:rsidRPr="00000000" w14:paraId="00000004">
      <w:pPr>
        <w:spacing w:after="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rtl w:val="0"/>
        </w:rPr>
        <w:t xml:space="preserve">Original author: Robin Rigg, Slovak Wildlife Society</w:t>
      </w: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impact of livestock depredation by large carnivores in Europe differs depending on the scale of assessment. When considered on a national level, or in relation to a country’s agricultural sector as a whole, economic losses are generally low. At a finer scale, however, there can be marked differences between individual farms or flocks, with some of them suffering disproportionately high, occasionally even catastrophic, losses. To maximise the efficiency and effectiveness of efforts intended to minimise damage, mitigate conflicts and facilitate coexistence, it makes sense to identify and target for assistance those farms or pastures which are most affected. Spatial predation risk modelling can be used to map and predict potential hotspots of livestock depredation, helping livestock owners and managers to identify priority areas for interventions as well as to guide large-scale decisions by policymakers.</w:t>
      </w:r>
    </w:p>
    <w:p w:rsidR="00000000" w:rsidDel="00000000" w:rsidP="00000000" w:rsidRDefault="00000000" w:rsidRPr="00000000" w14:paraId="0000000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Heat maps</w:t>
      </w:r>
      <w:r w:rsidDel="00000000" w:rsidR="00000000" w:rsidRPr="00000000">
        <w:rPr>
          <w:rFonts w:ascii="Times New Roman" w:cs="Times New Roman" w:eastAsia="Times New Roman" w:hAnsi="Times New Roman"/>
          <w:vertAlign w:val="superscript"/>
        </w:rPr>
        <w:footnoteReference w:customMarkFollows="0" w:id="0"/>
      </w:r>
      <w:r w:rsidDel="00000000" w:rsidR="00000000" w:rsidRPr="00000000">
        <w:rPr>
          <w:rFonts w:ascii="Times New Roman" w:cs="Times New Roman" w:eastAsia="Times New Roman" w:hAnsi="Times New Roman"/>
          <w:rtl w:val="0"/>
        </w:rPr>
        <w:t xml:space="preserve"> are graphical representations of data that can help to define high damage areas by visualising the distribution of depredation events in a geographic information system (GIS). </w:t>
      </w:r>
      <w:r w:rsidDel="00000000" w:rsidR="00000000" w:rsidRPr="00000000">
        <w:rPr>
          <w:rFonts w:ascii="Times New Roman" w:cs="Times New Roman" w:eastAsia="Times New Roman" w:hAnsi="Times New Roman"/>
          <w:b w:val="1"/>
          <w:rtl w:val="0"/>
        </w:rPr>
        <w:t xml:space="preserve">Hotspot analysis</w:t>
      </w:r>
      <w:r w:rsidDel="00000000" w:rsidR="00000000" w:rsidRPr="00000000">
        <w:rPr>
          <w:rFonts w:ascii="Times New Roman" w:cs="Times New Roman" w:eastAsia="Times New Roman" w:hAnsi="Times New Roman"/>
          <w:vertAlign w:val="superscript"/>
        </w:rPr>
        <w:footnoteReference w:customMarkFollows="0" w:id="1"/>
      </w:r>
      <w:r w:rsidDel="00000000" w:rsidR="00000000" w:rsidRPr="00000000">
        <w:rPr>
          <w:rFonts w:ascii="Times New Roman" w:cs="Times New Roman" w:eastAsia="Times New Roman" w:hAnsi="Times New Roman"/>
          <w:rtl w:val="0"/>
        </w:rPr>
        <w:t xml:space="preserve"> defines areas of high versus low occurrence with a measure of statistical confidence. Predation </w:t>
      </w:r>
      <w:r w:rsidDel="00000000" w:rsidR="00000000" w:rsidRPr="00000000">
        <w:rPr>
          <w:rFonts w:ascii="Times New Roman" w:cs="Times New Roman" w:eastAsia="Times New Roman" w:hAnsi="Times New Roman"/>
          <w:b w:val="1"/>
          <w:rtl w:val="0"/>
        </w:rPr>
        <w:t xml:space="preserve">risk mapping</w:t>
      </w:r>
      <w:r w:rsidDel="00000000" w:rsidR="00000000" w:rsidRPr="00000000">
        <w:rPr>
          <w:rFonts w:ascii="Times New Roman" w:cs="Times New Roman" w:eastAsia="Times New Roman" w:hAnsi="Times New Roman"/>
          <w:vertAlign w:val="superscript"/>
        </w:rPr>
        <w:footnoteReference w:customMarkFollows="0" w:id="2"/>
      </w:r>
      <w:r w:rsidDel="00000000" w:rsidR="00000000" w:rsidRPr="00000000">
        <w:rPr>
          <w:rFonts w:ascii="Times New Roman" w:cs="Times New Roman" w:eastAsia="Times New Roman" w:hAnsi="Times New Roman"/>
          <w:rtl w:val="0"/>
        </w:rPr>
        <w:t xml:space="preserve"> goes further, overlaying locations of past damage events with environmental and anthropogenic variables to build predictive spatial models of relative future damage probability.</w:t>
      </w:r>
    </w:p>
    <w:p w:rsidR="00000000" w:rsidDel="00000000" w:rsidP="00000000" w:rsidRDefault="00000000" w:rsidRPr="00000000" w14:paraId="0000000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Principles</w:t>
      </w:r>
    </w:p>
    <w:p w:rsidR="00000000" w:rsidDel="00000000" w:rsidP="00000000" w:rsidRDefault="00000000" w:rsidRPr="00000000" w14:paraId="0000000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Hotspot analysis and risk mapping</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Gungsuh" w:cs="Gungsuh" w:eastAsia="Gungsuh" w:hAnsi="Gungsuh"/>
          <w:rtl w:val="0"/>
        </w:rPr>
        <w:t xml:space="preserve">There is often marked variation in levels of damage within the same region, with some farms or pastures suffering considerable losses whereas others have few or none at all. In the Carpathian mountains of Slovakia, a minority of livestock operations were found to suffer high and repeated losses: 12% of sheep flocks accounted for approximately 80% of reported losses to wolves and bears, while almost half rarely or never had problems with predation (Rigg et al. 2011). Sometimes particular areas of high damage are identified. In the French Jura, for example, each year there were two to six hotspots, defined as clusters of ≥ 10 lynx attacks in neighbouring pastures belonging to one or several sheep breeders (Stahl et al. 2001a). In Italy, &gt;50% of wolf depredations occurred in &lt;10% of municipalities</w:t>
      </w:r>
      <w:r w:rsidDel="00000000" w:rsidR="00000000" w:rsidRPr="00000000">
        <w:rPr>
          <w:rFonts w:ascii="Times New Roman" w:cs="Times New Roman" w:eastAsia="Times New Roman" w:hAnsi="Times New Roman"/>
          <w:vertAlign w:val="superscript"/>
        </w:rPr>
        <w:footnoteReference w:customMarkFollows="0" w:id="3"/>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mapping provides an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early warning system</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to predict and help mitigate conflicts in a proactive manner by targeting prevention measures efficiently and effectively (van Bommel et al. 2020). For example, a risk map based on wolf attacks on livestock in Wisconsin in 1999–2006 correctly identified risk in 88% of subsequent attack sites in 2007–2009 (Treves et al. 2011) and predictive accuracy exceeded 91% in 2007–2011 (Treves and Rabenhorst 2017). More accurate predictions can be achieved by integrating multiple scales, from landscape to household (Bautista et al. 2021) or even within pastures (Gastineau et al. 2019) and by considering different livestock species separately (Milanesi et al. 2019).</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important to adjust for livestock availability in order to discriminate hotspots resulting from underlying livestock clustering from those due to other factors (Grente et al. 2020). Some hotspots may be sporadic and temporary, but investigation is recommended for those which persist in space and time. Persistent high damage might occur as a result of one or more of the following:</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inadequate prevention measures;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other aspects of husbandry that increase the vulnerability of livestock (e.g. large flock size);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landscape features or habitat types that favour predators;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human-related or other attractants drawing predators into the area;</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the presence of </w:t>
      </w:r>
      <w:r w:rsidDel="00000000" w:rsidR="00000000" w:rsidRPr="00000000">
        <w:rPr>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problem individuals</w:t>
      </w:r>
      <w:r w:rsidDel="00000000" w:rsidR="00000000" w:rsidRPr="00000000">
        <w:rPr>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that repeatedly target livestock;</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behavioural ecology of predators;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other factors.</w:t>
      </w:r>
    </w:p>
    <w:p w:rsidR="00000000" w:rsidDel="00000000" w:rsidP="00000000" w:rsidRDefault="00000000" w:rsidRPr="00000000" w14:paraId="0000001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Prevention measures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Unprotected or insufficiently protected livestock are likely to be most at risk of predation</w:t>
      </w:r>
      <w:r w:rsidDel="00000000" w:rsidR="00000000" w:rsidRPr="00000000">
        <w:rPr>
          <w:rFonts w:ascii="Times New Roman" w:cs="Times New Roman" w:eastAsia="Times New Roman" w:hAnsi="Times New Roman"/>
          <w:vertAlign w:val="superscript"/>
        </w:rPr>
        <w:footnoteReference w:customMarkFollows="0" w:id="4"/>
      </w:r>
      <w:r w:rsidDel="00000000" w:rsidR="00000000" w:rsidRPr="00000000">
        <w:rPr>
          <w:rFonts w:ascii="Times New Roman" w:cs="Times New Roman" w:eastAsia="Times New Roman" w:hAnsi="Times New Roman"/>
          <w:rtl w:val="0"/>
        </w:rPr>
        <w:t xml:space="preserve">. The most common livestock protection measures include electric fences, livestock guarding dogs and human presence or a combination of these. Electric fences, when used correctly, are very effective (Oliveira 2021) but they must be well designed, properly installed and maintained (see </w:t>
      </w:r>
      <w:r w:rsidDel="00000000" w:rsidR="00000000" w:rsidRPr="00000000">
        <w:rPr>
          <w:rFonts w:ascii="Times New Roman" w:cs="Times New Roman" w:eastAsia="Times New Roman" w:hAnsi="Times New Roman"/>
          <w:highlight w:val="yellow"/>
          <w:rtl w:val="0"/>
        </w:rPr>
        <w:t xml:space="preserve">Inspecting and testing damage prevention measures).</w:t>
      </w:r>
      <w:r w:rsidDel="00000000" w:rsidR="00000000" w:rsidRPr="00000000">
        <w:rPr>
          <w:rFonts w:ascii="Times New Roman" w:cs="Times New Roman" w:eastAsia="Times New Roman" w:hAnsi="Times New Roman"/>
          <w:rtl w:val="0"/>
        </w:rPr>
        <w:t xml:space="preserve"> Livestock guarding dogs have also been reported to provide a high level of protection and seem to prevent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surplus killing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or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excessive killing</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which can otherwise result in substantial losses (Rigg et al. 2011; see </w:t>
      </w:r>
      <w:r w:rsidDel="00000000" w:rsidR="00000000" w:rsidRPr="00000000">
        <w:rPr>
          <w:rFonts w:ascii="Times New Roman" w:cs="Times New Roman" w:eastAsia="Times New Roman" w:hAnsi="Times New Roman"/>
          <w:highlight w:val="yellow"/>
          <w:rtl w:val="0"/>
        </w:rPr>
        <w:t xml:space="preserve">Establishing a livestock guarding dog programme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may not always be practicable or affordable to implement preventive measures on all farms in a region. Risk mapping can be a tool to help to prioritise. For example, i</w:t>
      </w:r>
      <w:r w:rsidDel="00000000" w:rsidR="00000000" w:rsidRPr="00000000">
        <w:rPr>
          <w:rFonts w:ascii="Times New Roman" w:cs="Times New Roman" w:eastAsia="Times New Roman" w:hAnsi="Times New Roman"/>
          <w:color w:val="000000"/>
          <w:rtl w:val="0"/>
        </w:rPr>
        <w:t xml:space="preserve">f funds for interventions are limited, efforts could be targeted to areas with higher risk </w:t>
      </w:r>
      <w:r w:rsidDel="00000000" w:rsidR="00000000" w:rsidRPr="00000000">
        <w:rPr>
          <w:rtl w:val="0"/>
        </w:rPr>
        <w:t xml:space="preserve">o</w:t>
      </w:r>
      <w:r w:rsidDel="00000000" w:rsidR="00000000" w:rsidRPr="00000000">
        <w:rPr>
          <w:rFonts w:ascii="Times New Roman" w:cs="Times New Roman" w:eastAsia="Times New Roman" w:hAnsi="Times New Roman"/>
          <w:color w:val="000000"/>
          <w:rtl w:val="0"/>
        </w:rPr>
        <w:t xml:space="preserve">f predation as well as higher economic productivity. </w:t>
      </w:r>
      <w:r w:rsidDel="00000000" w:rsidR="00000000" w:rsidRPr="00000000">
        <w:rPr>
          <w:rFonts w:ascii="Times New Roman" w:cs="Times New Roman" w:eastAsia="Times New Roman" w:hAnsi="Times New Roman"/>
          <w:rtl w:val="0"/>
        </w:rPr>
        <w:t xml:space="preserve">If a successful attack occurs, the risk of another attack at the same site is likely to be much higher than at other sites</w:t>
      </w:r>
      <w:r w:rsidDel="00000000" w:rsidR="00000000" w:rsidRPr="00000000">
        <w:rPr>
          <w:rFonts w:ascii="Times New Roman" w:cs="Times New Roman" w:eastAsia="Times New Roman" w:hAnsi="Times New Roman"/>
          <w:vertAlign w:val="superscript"/>
        </w:rPr>
        <w:footnoteReference w:customMarkFollows="0" w:id="5"/>
      </w:r>
      <w:r w:rsidDel="00000000" w:rsidR="00000000" w:rsidRPr="00000000">
        <w:rPr>
          <w:rFonts w:ascii="Times New Roman" w:cs="Times New Roman" w:eastAsia="Times New Roman" w:hAnsi="Times New Roman"/>
          <w:rtl w:val="0"/>
        </w:rPr>
        <w:t xml:space="preserve">. Therefore, prevention measures should be improved immediately in the aftermath of an attack. Fladry is relatively quick to instal although it can provide only temporary protection against wolves</w:t>
      </w:r>
      <w:r w:rsidDel="00000000" w:rsidR="00000000" w:rsidRPr="00000000">
        <w:rPr>
          <w:rFonts w:ascii="Times New Roman" w:cs="Times New Roman" w:eastAsia="Times New Roman" w:hAnsi="Times New Roman"/>
          <w:vertAlign w:val="superscript"/>
        </w:rPr>
        <w:footnoteReference w:customMarkFollows="0" w:id="6"/>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Husbandry practices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aspects of livestock husbandry besides damage prevention measures can influence levels of damage. For example, in Minnesota, USA, cattle farms with chronic losses to wolves were larger, had more cattle and kept their herds farther from human dwellings in comparison with nearby farms in similar habitats that had no losses to wolves</w:t>
      </w:r>
      <w:r w:rsidDel="00000000" w:rsidR="00000000" w:rsidRPr="00000000">
        <w:rPr>
          <w:rFonts w:ascii="Times New Roman" w:cs="Times New Roman" w:eastAsia="Times New Roman" w:hAnsi="Times New Roman"/>
          <w:vertAlign w:val="superscript"/>
        </w:rPr>
        <w:footnoteReference w:customMarkFollows="0" w:id="7"/>
      </w:r>
      <w:r w:rsidDel="00000000" w:rsidR="00000000" w:rsidRPr="00000000">
        <w:rPr>
          <w:rFonts w:ascii="Times New Roman" w:cs="Times New Roman" w:eastAsia="Times New Roman" w:hAnsi="Times New Roman"/>
          <w:rtl w:val="0"/>
        </w:rPr>
        <w:t xml:space="preserve">. In Slovakia, the most significant difference between flocks with high and repeated losses versus those with no losses was the method of night-time confinement. As could be expected, flocks that were always or sometimes confined in a barn or farmyard at night tended to have minimal or no losses. Moreover, losses dropped to zero when flocks were confined to barns in winter. A similar result was obtained in Grosseto Province, Italy, where depredations at night dropped by 50% in selected farms which installed night enclosures (Salvatori et al. 2021).</w:t>
      </w:r>
    </w:p>
    <w:p w:rsidR="00000000" w:rsidDel="00000000" w:rsidP="00000000" w:rsidRDefault="00000000" w:rsidRPr="00000000" w14:paraId="0000001A">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Landscape features or habitat type</w:t>
      </w:r>
    </w:p>
    <w:p w:rsidR="00000000" w:rsidDel="00000000" w:rsidP="00000000" w:rsidRDefault="00000000" w:rsidRPr="00000000" w14:paraId="0000001B">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Certain types of landscape structure or habitat have been associated with a higher risk of predation. Proximity to forests, presence of forested slopes, resting areas rarely frequented by humans and other environmental factors can increase the encounter rate between livestock and large carnivores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For example, bears in Croatia were found to cause more damage in areas with a greater proportion of forest cover and villages closer to protected areas (Hipólito et al. 2020). In Slovakia, sheep flocks with high and repeated losses tended to be within 500 m of forest cover and there seemed to be a trend for livestock in brushy pastures (i.e. those with high shrub density) to be more susceptible to predation. Topography may also channel carnivore movements into certain areas or be associated with preferred resting sites.</w:t>
      </w:r>
      <w:r w:rsidDel="00000000" w:rsidR="00000000" w:rsidRPr="00000000">
        <w:rPr>
          <w:rtl w:val="0"/>
        </w:rPr>
      </w:r>
    </w:p>
    <w:p w:rsidR="00000000" w:rsidDel="00000000" w:rsidP="00000000" w:rsidRDefault="00000000" w:rsidRPr="00000000" w14:paraId="0000001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Attractants </w:t>
      </w:r>
    </w:p>
    <w:p w:rsidR="00000000" w:rsidDel="00000000" w:rsidP="00000000" w:rsidRDefault="00000000" w:rsidRPr="00000000" w14:paraId="0000001D">
      <w:pPr>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Bears are drawn to a wide range of food sources or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attractants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both natural and anthropogenic. For example, collections of attractants concentrated in high</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quality bear habitat largely explained broad patterns of human–grizzly bear conflicts on private agricultural land in Montana, USA. The presence of riparian vegetation as well as distances to sheep or cattle pastures, calving and lambing areas, unmanaged carcass disposal areas and beehives were all associated with the likelihood of human–grizzly bear conflicts</w:t>
      </w:r>
      <w:r w:rsidDel="00000000" w:rsidR="00000000" w:rsidRPr="00000000">
        <w:rPr>
          <w:rFonts w:ascii="Times New Roman" w:cs="Times New Roman" w:eastAsia="Times New Roman" w:hAnsi="Times New Roman"/>
          <w:vertAlign w:val="superscript"/>
        </w:rPr>
        <w:footnoteReference w:customMarkFollows="0" w:id="8"/>
      </w:r>
      <w:r w:rsidDel="00000000" w:rsidR="00000000" w:rsidRPr="00000000">
        <w:rPr>
          <w:rFonts w:ascii="Times New Roman" w:cs="Times New Roman" w:eastAsia="Times New Roman" w:hAnsi="Times New Roman"/>
          <w:rtl w:val="0"/>
        </w:rPr>
        <w:t xml:space="preserve">. Lynx sometimes occur close to settlements in Scandinavia while seeking to exploit aggregations of roe deer on or near agricultural land (Elfström and Støen 2015), where they may also encounter and predate on livestock.</w:t>
      </w:r>
      <w:r w:rsidDel="00000000" w:rsidR="00000000" w:rsidRPr="00000000">
        <w:rPr>
          <w:rtl w:val="0"/>
        </w:rPr>
      </w:r>
    </w:p>
    <w:p w:rsidR="00000000" w:rsidDel="00000000" w:rsidP="00000000" w:rsidRDefault="00000000" w:rsidRPr="00000000" w14:paraId="0000001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individuals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can be substantial differences in behaviour and life history strategies among individuals within the same species</w:t>
      </w:r>
      <w:r w:rsidDel="00000000" w:rsidR="00000000" w:rsidRPr="00000000">
        <w:rPr>
          <w:rFonts w:ascii="Times New Roman" w:cs="Times New Roman" w:eastAsia="Times New Roman" w:hAnsi="Times New Roman"/>
          <w:vertAlign w:val="superscript"/>
        </w:rPr>
        <w:footnoteReference w:customMarkFollows="0" w:id="9"/>
      </w:r>
      <w:r w:rsidDel="00000000" w:rsidR="00000000" w:rsidRPr="00000000">
        <w:rPr>
          <w:rFonts w:ascii="Times New Roman" w:cs="Times New Roman" w:eastAsia="Times New Roman" w:hAnsi="Times New Roman"/>
          <w:rtl w:val="0"/>
        </w:rPr>
        <w:t xml:space="preserve">. This has been observed with large carnivores in relation to damage. For example, parent animals of the Rosenthal wolf pack in Saxony learned to find and exploit weak points in fences and were responsible for multiple incidents of damage (Reinhardt 2020). To determine whether </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problem animals</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are causing repeated damage, camera traps (mainly for lynx) or DNA analysis of swabs from bite wounds (for all predator species) can be used to distinguish between individual animals.</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of the importance of intraspecific variation is reflected in a trend towards selective wildlife management, targeting individuals rather than the population (Swan et al. 2017). As not all individuals are equally involved in causing damage, selective removal of problem animals is more likely than random culling to reduce losses. However, selective removal can be logistically challenging</w:t>
      </w:r>
      <w:r w:rsidDel="00000000" w:rsidR="00000000" w:rsidRPr="00000000">
        <w:rPr>
          <w:rFonts w:ascii="Times New Roman" w:cs="Times New Roman" w:eastAsia="Times New Roman" w:hAnsi="Times New Roman"/>
          <w:vertAlign w:val="superscript"/>
        </w:rPr>
        <w:footnoteReference w:customMarkFollows="0" w:id="10"/>
      </w:r>
      <w:r w:rsidDel="00000000" w:rsidR="00000000" w:rsidRPr="00000000">
        <w:rPr>
          <w:rFonts w:ascii="Times New Roman" w:cs="Times New Roman" w:eastAsia="Times New Roman" w:hAnsi="Times New Roman"/>
          <w:rtl w:val="0"/>
        </w:rPr>
        <w:t xml:space="preserve"> and, if circumstances remain otherwise unchanged, any reduction in damage may only be short-term because of recolonisation by conspecifics. In the French Jura, for example, small areas of high lynx damage indicated that only a few individuals were involved. Selective removals of lynx resulted in temporary reduction of damage, but the reappearance of hot spots at the same sites suggested that the ultimate causal factors were inherent to the sites (Stahl et al. 2001a,b, 2002). Selective killing of wolves near sites of verified depredation in Michigan, USA, was associated with lower risk of recurrence of events at treatment sites but this was offset by a higher risk of recurrence at other farms in the surrounding area (Santiago-Avila et al. 2018).</w:t>
      </w:r>
    </w:p>
    <w:p w:rsidR="00000000" w:rsidDel="00000000" w:rsidP="00000000" w:rsidRDefault="00000000" w:rsidRPr="00000000" w14:paraId="0000002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Behavioural ecology of predators</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behavioural ecology of different predator species</w:t>
      </w:r>
      <w:r w:rsidDel="00000000" w:rsidR="00000000" w:rsidRPr="00000000">
        <w:rPr>
          <w:rFonts w:ascii="Times New Roman" w:cs="Times New Roman" w:eastAsia="Times New Roman" w:hAnsi="Times New Roman"/>
          <w:vertAlign w:val="superscript"/>
        </w:rPr>
        <w:footnoteReference w:customMarkFollows="0" w:id="11"/>
      </w:r>
      <w:r w:rsidDel="00000000" w:rsidR="00000000" w:rsidRPr="00000000">
        <w:rPr>
          <w:rFonts w:ascii="Times New Roman" w:cs="Times New Roman" w:eastAsia="Times New Roman" w:hAnsi="Times New Roman"/>
          <w:rtl w:val="0"/>
        </w:rPr>
        <w:t xml:space="preserve"> might also be a contributory factor. For example, male lynx tend to prey on livestock more than females</w:t>
      </w:r>
      <w:r w:rsidDel="00000000" w:rsidR="00000000" w:rsidRPr="00000000">
        <w:rPr>
          <w:rFonts w:ascii="Times New Roman" w:cs="Times New Roman" w:eastAsia="Times New Roman" w:hAnsi="Times New Roman"/>
          <w:vertAlign w:val="superscript"/>
        </w:rPr>
        <w:footnoteReference w:customMarkFollows="0" w:id="12"/>
      </w:r>
      <w:r w:rsidDel="00000000" w:rsidR="00000000" w:rsidRPr="00000000">
        <w:rPr>
          <w:rFonts w:ascii="Times New Roman" w:cs="Times New Roman" w:eastAsia="Times New Roman" w:hAnsi="Times New Roman"/>
          <w:rtl w:val="0"/>
        </w:rPr>
        <w:t xml:space="preserve"> while attacks by wolves often increase in summer–autumn in response to an increased need for food when rearing young</w:t>
      </w:r>
      <w:r w:rsidDel="00000000" w:rsidR="00000000" w:rsidRPr="00000000">
        <w:rPr>
          <w:rFonts w:ascii="Times New Roman" w:cs="Times New Roman" w:eastAsia="Times New Roman" w:hAnsi="Times New Roman"/>
          <w:vertAlign w:val="superscript"/>
        </w:rPr>
        <w:footnoteReference w:customMarkFollows="0" w:id="13"/>
      </w:r>
      <w:r w:rsidDel="00000000" w:rsidR="00000000" w:rsidRPr="00000000">
        <w:rPr>
          <w:rFonts w:ascii="Times New Roman" w:cs="Times New Roman" w:eastAsia="Times New Roman" w:hAnsi="Times New Roman"/>
          <w:rtl w:val="0"/>
        </w:rPr>
        <w:t xml:space="preserve">. Repeat attacks might also result from carnivores returning to a kill site to feed on carrion and encountering livestock.</w:t>
      </w:r>
    </w:p>
    <w:p w:rsidR="00000000" w:rsidDel="00000000" w:rsidP="00000000" w:rsidRDefault="00000000" w:rsidRPr="00000000" w14:paraId="0000002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factors</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relative availability and accessibility of domestic and wild ungulates is important. Predators may switch to livestock if wild prey is locally less available (i.e. at low density) or if it is more difficult to catch diversity (e.g. due to escape terrain). On the other hand, roe deer abundance was higher in lynx depredation hot spots in the French Jura (Stahl et al. 2001). In mixed landscapes of forest and agriculture in Wisconsin and Minnesota, USA, wolves selectively preyed on livestock in townships with high densities of deer in combination with several environmental variables</w:t>
      </w:r>
      <w:r w:rsidDel="00000000" w:rsidR="00000000" w:rsidRPr="00000000">
        <w:rPr>
          <w:rFonts w:ascii="Times New Roman" w:cs="Times New Roman" w:eastAsia="Times New Roman" w:hAnsi="Times New Roman"/>
          <w:vertAlign w:val="superscript"/>
        </w:rPr>
        <w:footnoteReference w:customMarkFollows="0" w:id="14"/>
      </w:r>
      <w:r w:rsidDel="00000000" w:rsidR="00000000" w:rsidRPr="00000000">
        <w:rPr>
          <w:rFonts w:ascii="Times New Roman" w:cs="Times New Roman" w:eastAsia="Times New Roman" w:hAnsi="Times New Roman"/>
          <w:rtl w:val="0"/>
        </w:rPr>
        <w:t xml:space="preserve">. Wolves have also been found to predate more on livestock following milder winters</w:t>
      </w:r>
      <w:r w:rsidDel="00000000" w:rsidR="00000000" w:rsidRPr="00000000">
        <w:rPr>
          <w:rFonts w:ascii="Times New Roman" w:cs="Times New Roman" w:eastAsia="Times New Roman" w:hAnsi="Times New Roman"/>
          <w:vertAlign w:val="superscript"/>
        </w:rPr>
        <w:footnoteReference w:customMarkFollows="0" w:id="15"/>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to investigating damage hotspots</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819"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Specify criteria and procedures for identifying high damage areas or hotspots using GIS and a hotspot analysis tool.</w:t>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If statistically significant hotspots are found, investigate multiple possible causes:</w:t>
      </w:r>
    </w:p>
    <w:p w:rsidR="00000000" w:rsidDel="00000000" w:rsidP="00000000" w:rsidRDefault="00000000" w:rsidRPr="00000000" w14:paraId="000000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Determine which (if any)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damage prevention measures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are in use and inspect them thoroughly to verify whether they are properly implemented and maintained;</w:t>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Collect detailed data 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livestock management methods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and compare those in hotspots to surrounding areas;</w:t>
      </w:r>
    </w:p>
    <w:p w:rsidR="00000000" w:rsidDel="00000000" w:rsidP="00000000" w:rsidRDefault="00000000" w:rsidRPr="00000000" w14:paraId="0000002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Use GIS to compare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landscape features, habitat types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wild prey densities and accessibility</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in hotspots versus surrounding areas;</w:t>
      </w: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Search for livestock carcasses and other possible </w:t>
      </w:r>
      <w:r w:rsidDel="00000000" w:rsidR="00000000" w:rsidRPr="00000000">
        <w:rPr>
          <w:rtl w:val="0"/>
        </w:rPr>
        <w:t xml:space="preser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attractants</w:t>
      </w:r>
      <w:r w:rsidDel="00000000" w:rsidR="00000000" w:rsidRPr="00000000">
        <w:rPr>
          <w:rtl w:val="0"/>
        </w:rPr>
        <w:t xml:space="preserve">”</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 (both natural and anthropogenic) that might be drawing predators into high damage areas;</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Use field techniques and analytical procedures that enable individual recognition (camera traps in case of lynx, swabs from bite wounds for DNA analysis of any predator species) to identify possible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problem individuals</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Guided by the findings of these investigations, take appropriate action:</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Ensure that the most suitable and effective damage prevention measures are used and that they are correctly implemented and maintained. In case of wolf predation, fladry can be installed quickly to provide temporary protection until other measures are established;</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Make recommendations to affected livestock owners and shepherds regarding husbandry practices, for example to confine livestock at night, use alternative pastures or improve shepherding techniques;</w:t>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Make recommendations to affected livestock owners and shepherds regarding landscape features or habitat types, for example to move night pens further from forest cover, avoid brushy pastures, etc.;</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Remove or secure attractants (including cessation of intentional feeding);</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64" w:lineRule="auto"/>
        <w:ind w:left="110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If problem individuals are identified, use hazing and negative conditioning (e.g. shooting with rubber bullets and firecrackers or chasing with trained dogs) and, if this fails or is impractical, removal of the individual(s) could be considered.</w:t>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64" w:lineRule="auto"/>
        <w:ind w:left="74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Document all interventions and monitor their impact, both at treatment sites and in surrounding areas (to serve as controls with which to compare treatment sites and also to detect possible displacement of depredation to neighbouring farms).</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60" w:before="0" w:line="264" w:lineRule="auto"/>
        <w:ind w:left="744" w:right="228" w:hanging="360"/>
        <w:jc w:val="left"/>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Use findings as an evidence base to guide adaptive management, for example by means of predation risk mapping to prioritise sites for prevention measures.</w:t>
      </w:r>
    </w:p>
    <w:p w:rsidR="00000000" w:rsidDel="00000000" w:rsidP="00000000" w:rsidRDefault="00000000" w:rsidRPr="00000000" w14:paraId="0000003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Case studies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Hotspot analysis is complex in terms of both data collection and analysis and therefore difficult to implement on regional or national scales. Nevertheless an analysis of wolf depredation hotspots in France was recently conducted (Grente et al. 2020). In Switzerland, hotspots are only considered in relation to lynx and are defined in the Swiss lynx concept (i.e. management plan) as, “individual pastures or pasture complexes where, due to habitat and topography, damage by lynx occurs repeatedly irrespective of the individual lynx and the general damage situation”.</w:t>
      </w:r>
    </w:p>
    <w:p w:rsidR="00000000" w:rsidDel="00000000" w:rsidP="00000000" w:rsidRDefault="00000000" w:rsidRPr="00000000" w14:paraId="0000003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Guidance, policy documents and links</w:t>
      </w:r>
    </w:p>
    <w:p w:rsidR="00000000" w:rsidDel="00000000" w:rsidP="00000000" w:rsidRDefault="00000000" w:rsidRPr="00000000" w14:paraId="00000038">
      <w:pPr>
        <w:spacing w:after="12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563c1"/>
            <w:u w:val="single"/>
            <w:rtl w:val="0"/>
          </w:rPr>
          <w:t xml:space="preserve">A </w:t>
        </w:r>
      </w:hyperlink>
      <w:hyperlink r:id="rId8">
        <w:r w:rsidDel="00000000" w:rsidR="00000000" w:rsidRPr="00000000">
          <w:rPr>
            <w:rFonts w:ascii="Times New Roman" w:cs="Times New Roman" w:eastAsia="Times New Roman" w:hAnsi="Times New Roman"/>
            <w:color w:val="0563c1"/>
            <w:u w:val="single"/>
            <w:rtl w:val="0"/>
          </w:rPr>
          <w:t xml:space="preserve">fieldguide</w:t>
        </w:r>
      </w:hyperlink>
      <w:hyperlink r:id="rId9">
        <w:r w:rsidDel="00000000" w:rsidR="00000000" w:rsidRPr="00000000">
          <w:rPr>
            <w:rFonts w:ascii="Times New Roman" w:cs="Times New Roman" w:eastAsia="Times New Roman" w:hAnsi="Times New Roman"/>
            <w:color w:val="0563c1"/>
            <w:u w:val="single"/>
            <w:rtl w:val="0"/>
          </w:rPr>
          <w:t xml:space="preserve"> for investigating damages caused by carnivores: brown bear, grey wolf, golden jackal, red fox, Eurasian lynx</w:t>
        </w:r>
      </w:hyperlink>
      <w:r w:rsidDel="00000000" w:rsidR="00000000" w:rsidRPr="00000000">
        <w:rPr>
          <w:rFonts w:ascii="Times New Roman" w:cs="Times New Roman" w:eastAsia="Times New Roman" w:hAnsi="Times New Roman"/>
          <w:rtl w:val="0"/>
        </w:rPr>
        <w:t xml:space="preserve"> (Slovenia Forest Service, 2019).</w:t>
      </w:r>
    </w:p>
    <w:p w:rsidR="00000000" w:rsidDel="00000000" w:rsidP="00000000" w:rsidRDefault="00000000" w:rsidRPr="00000000" w14:paraId="00000039">
      <w:pPr>
        <w:spacing w:after="12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563c1"/>
            <w:u w:val="single"/>
            <w:rtl w:val="0"/>
          </w:rPr>
          <w:t xml:space="preserve">A guidebook to human-carnivore conflict: strategies and tips for effective communication and collaboration with communities</w:t>
        </w:r>
      </w:hyperlink>
      <w:r w:rsidDel="00000000" w:rsidR="00000000" w:rsidRPr="00000000">
        <w:rPr>
          <w:rFonts w:ascii="Times New Roman" w:cs="Times New Roman" w:eastAsia="Times New Roman" w:hAnsi="Times New Roman"/>
          <w:rtl w:val="0"/>
        </w:rPr>
        <w:t xml:space="preserve"> (Slovenia Forest Service, 2016).</w:t>
      </w:r>
    </w:p>
    <w:p w:rsidR="00000000" w:rsidDel="00000000" w:rsidP="00000000" w:rsidRDefault="00000000" w:rsidRPr="00000000" w14:paraId="0000003A">
      <w:pPr>
        <w:spacing w:after="12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563c1"/>
            <w:u w:val="single"/>
            <w:rtl w:val="0"/>
          </w:rPr>
          <w:t xml:space="preserve">Wer war es? Spuren und Risse von großen Beutegreifern erkennen und dokumentieren</w:t>
        </w:r>
      </w:hyperlink>
      <w:r w:rsidDel="00000000" w:rsidR="00000000" w:rsidRPr="00000000">
        <w:rPr>
          <w:rFonts w:ascii="Times New Roman" w:cs="Times New Roman" w:eastAsia="Times New Roman" w:hAnsi="Times New Roman"/>
          <w:rtl w:val="0"/>
        </w:rPr>
        <w:t xml:space="preserve"> (Wildland-Stiftung Bayern, 2008).</w:t>
      </w:r>
    </w:p>
    <w:p w:rsidR="00000000" w:rsidDel="00000000" w:rsidP="00000000" w:rsidRDefault="00000000" w:rsidRPr="00000000" w14:paraId="0000003B">
      <w:pPr>
        <w:pStyle w:val="Heading1"/>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Open-access papers</w:t>
      </w:r>
      <w:r w:rsidDel="00000000" w:rsidR="00000000" w:rsidRPr="00000000">
        <w:rPr>
          <w:rtl w:val="0"/>
        </w:rPr>
      </w:r>
    </w:p>
    <w:p w:rsidR="00000000" w:rsidDel="00000000" w:rsidP="00000000" w:rsidRDefault="00000000" w:rsidRPr="00000000" w14:paraId="0000003C">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Bautista C, et al. (2021). Spatial ecology of conflicts: unravelling patterns of wildlife damage at multiple scales. Proceedings of the Royal Society B 288: 20211394. </w:t>
      </w:r>
      <w:hyperlink r:id="rId12">
        <w:r w:rsidDel="00000000" w:rsidR="00000000" w:rsidRPr="00000000">
          <w:rPr>
            <w:rFonts w:ascii="Times New Roman" w:cs="Times New Roman" w:eastAsia="Times New Roman" w:hAnsi="Times New Roman"/>
            <w:color w:val="0563c1"/>
            <w:u w:val="single"/>
            <w:rtl w:val="0"/>
          </w:rPr>
          <w:t xml:space="preserve">https://doi.org/10.1098/rspb.2021.1394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Elfström M and Støen O-G (2015). Occurrence of large carnivores near settlements: a review of mechanisms and preventive measures. Det skandinaviske bjørneprosjektet, Rapport 2015 – 4. </w:t>
      </w:r>
      <w:hyperlink r:id="rId13">
        <w:r w:rsidDel="00000000" w:rsidR="00000000" w:rsidRPr="00000000">
          <w:rPr>
            <w:rFonts w:ascii="Times New Roman" w:cs="Times New Roman" w:eastAsia="Times New Roman" w:hAnsi="Times New Roman"/>
            <w:color w:val="0563c1"/>
            <w:u w:val="single"/>
            <w:rtl w:val="0"/>
          </w:rPr>
          <w:t xml:space="preserve">http://bearproject.info/wp-content/uploads/2015/11/2015-E129-4-Occurrence-of-large-carnivores-near-settlements-a-review.pdf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Gastineau A, et al. (2019). Spatiotemporal depredation hotspots of brown bears, </w:t>
      </w:r>
      <w:r w:rsidDel="00000000" w:rsidR="00000000" w:rsidRPr="00000000">
        <w:rPr>
          <w:rFonts w:ascii="Times New Roman" w:cs="Times New Roman" w:eastAsia="Times New Roman" w:hAnsi="Times New Roman"/>
          <w:i w:val="1"/>
          <w:rtl w:val="0"/>
        </w:rPr>
        <w:t xml:space="preserve">Ursus arctos</w:t>
      </w:r>
      <w:r w:rsidDel="00000000" w:rsidR="00000000" w:rsidRPr="00000000">
        <w:rPr>
          <w:rFonts w:ascii="Times New Roman" w:cs="Times New Roman" w:eastAsia="Times New Roman" w:hAnsi="Times New Roman"/>
          <w:rtl w:val="0"/>
        </w:rPr>
        <w:t xml:space="preserve">, on livestock in the Pyrenees, France. Biological Conservation 238: 108210. </w:t>
      </w:r>
      <w:hyperlink r:id="rId14">
        <w:r w:rsidDel="00000000" w:rsidR="00000000" w:rsidRPr="00000000">
          <w:rPr>
            <w:rFonts w:ascii="Times New Roman" w:cs="Times New Roman" w:eastAsia="Times New Roman" w:hAnsi="Times New Roman"/>
            <w:color w:val="0563c1"/>
            <w:u w:val="single"/>
            <w:rtl w:val="0"/>
          </w:rPr>
          <w:t xml:space="preserve">https://doi.org/10.1016/j.biocon.2019.108210</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Grente O (2020). Wolf depredation hotspots in France: Clustering analyses accounting for livestock availability. EcoEvoRxiv. </w:t>
      </w:r>
      <w:hyperlink r:id="rId15">
        <w:r w:rsidDel="00000000" w:rsidR="00000000" w:rsidRPr="00000000">
          <w:rPr>
            <w:rFonts w:ascii="Times New Roman" w:cs="Times New Roman" w:eastAsia="Times New Roman" w:hAnsi="Times New Roman"/>
            <w:color w:val="0563c1"/>
            <w:u w:val="single"/>
            <w:rtl w:val="0"/>
          </w:rPr>
          <w:t xml:space="preserve">https://doi.org/10.32942/osf.io/n8rzg</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0">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Hipólito D, et al. (2020). Brown bear damage: Patterns and hotspots in Croatia. Oryx 54(4): 511</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519. </w:t>
      </w:r>
      <w:hyperlink r:id="rId16">
        <w:r w:rsidDel="00000000" w:rsidR="00000000" w:rsidRPr="00000000">
          <w:rPr>
            <w:rFonts w:ascii="Times New Roman" w:cs="Times New Roman" w:eastAsia="Times New Roman" w:hAnsi="Times New Roman"/>
            <w:color w:val="0563c1"/>
            <w:u w:val="single"/>
            <w:rtl w:val="0"/>
          </w:rPr>
          <w:t xml:space="preserve">https://doi.org/10.1017/S0030605318000236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spacing w:after="120" w:lineRule="auto"/>
        <w:ind w:left="284" w:hanging="284"/>
        <w:rPr>
          <w:rFonts w:ascii="Times New Roman" w:cs="Times New Roman" w:eastAsia="Times New Roman" w:hAnsi="Times New Roman"/>
        </w:rPr>
      </w:pPr>
      <w:bookmarkStart w:colFirst="0" w:colLast="0" w:name="_gjdgxs" w:id="1"/>
      <w:bookmarkEnd w:id="1"/>
      <w:r w:rsidDel="00000000" w:rsidR="00000000" w:rsidRPr="00000000">
        <w:rPr>
          <w:rFonts w:ascii="Times New Roman" w:cs="Times New Roman" w:eastAsia="Times New Roman" w:hAnsi="Times New Roman"/>
          <w:rtl w:val="0"/>
        </w:rPr>
        <w:t xml:space="preserve">Milanesi P, et al. (2019). Improving predation risk modelling: prey-specific models matter. Hystrix, the Italian Journal of Mammalogy 30(2): 149</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156. </w:t>
      </w:r>
      <w:hyperlink r:id="rId17">
        <w:r w:rsidDel="00000000" w:rsidR="00000000" w:rsidRPr="00000000">
          <w:rPr>
            <w:rFonts w:ascii="Times New Roman" w:cs="Times New Roman" w:eastAsia="Times New Roman" w:hAnsi="Times New Roman"/>
            <w:color w:val="0563c1"/>
            <w:u w:val="single"/>
            <w:rtl w:val="0"/>
          </w:rPr>
          <w:t xml:space="preserve">https://doi.org/10.4404/hystrix-00248-2019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2">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Oliveira T, et al. (2021). The contribution of the LIFE program to mitigating damages caused by large carnivores in Europe. Global Ecology and Conservation 31: e01815. </w:t>
      </w:r>
      <w:hyperlink r:id="rId18">
        <w:r w:rsidDel="00000000" w:rsidR="00000000" w:rsidRPr="00000000">
          <w:rPr>
            <w:rFonts w:ascii="Times New Roman" w:cs="Times New Roman" w:eastAsia="Times New Roman" w:hAnsi="Times New Roman"/>
            <w:color w:val="0563c1"/>
            <w:u w:val="single"/>
            <w:rtl w:val="0"/>
          </w:rPr>
          <w:t xml:space="preserve">https://doi.org/10.1016/j.gecco.2021.e01815</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3">
      <w:pPr>
        <w:spacing w:after="120" w:lineRule="auto"/>
        <w:ind w:left="284" w:hanging="284"/>
        <w:rPr>
          <w:rFonts w:ascii="Times New Roman" w:cs="Times New Roman" w:eastAsia="Times New Roman" w:hAnsi="Times New Roman"/>
        </w:rPr>
      </w:pPr>
      <w:bookmarkStart w:colFirst="0" w:colLast="0" w:name="_30j0zll" w:id="2"/>
      <w:bookmarkEnd w:id="2"/>
      <w:r w:rsidDel="00000000" w:rsidR="00000000" w:rsidRPr="00000000">
        <w:rPr>
          <w:rFonts w:ascii="Times New Roman" w:cs="Times New Roman" w:eastAsia="Times New Roman" w:hAnsi="Times New Roman"/>
          <w:rtl w:val="0"/>
        </w:rPr>
        <w:t xml:space="preserve">Reinhardt I (2020). Fences and wolves in Saxony. Carnivore Damage Prevention News 20: 55-56. </w:t>
      </w:r>
      <w:hyperlink r:id="rId19">
        <w:r w:rsidDel="00000000" w:rsidR="00000000" w:rsidRPr="00000000">
          <w:rPr>
            <w:rFonts w:ascii="Times New Roman" w:cs="Times New Roman" w:eastAsia="Times New Roman" w:hAnsi="Times New Roman"/>
            <w:color w:val="0563c1"/>
            <w:u w:val="single"/>
            <w:rtl w:val="0"/>
          </w:rPr>
          <w:t xml:space="preserve">http://www.protectiondestroupeaux.ch/fileadmin/doc/International/CDP_‌and_General_Infos/CDPNews20_Nov2020.pdf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4">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Rigg R, et al. (2011). Mitigating carnivore–livestock conflict in Europe: Lessons from Slovakia. Oryx 45(2): 272-280. </w:t>
      </w:r>
      <w:hyperlink r:id="rId20">
        <w:r w:rsidDel="00000000" w:rsidR="00000000" w:rsidRPr="00000000">
          <w:rPr>
            <w:rFonts w:ascii="Times New Roman" w:cs="Times New Roman" w:eastAsia="Times New Roman" w:hAnsi="Times New Roman"/>
            <w:color w:val="0563c1"/>
            <w:u w:val="single"/>
            <w:rtl w:val="0"/>
          </w:rPr>
          <w:t xml:space="preserve">https://doi.org/10.1017/S0030605310000074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Salvatori et al. (2021) Multidisciplinary approaches for managing sheep and wolves in Tuscany. Carnivore Damage Prevention News 21: 26</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38. </w:t>
      </w:r>
      <w:hyperlink r:id="rId21">
        <w:r w:rsidDel="00000000" w:rsidR="00000000" w:rsidRPr="00000000">
          <w:rPr>
            <w:rFonts w:ascii="Times New Roman" w:cs="Times New Roman" w:eastAsia="Times New Roman" w:hAnsi="Times New Roman"/>
            <w:color w:val="0563c1"/>
            <w:u w:val="single"/>
            <w:rtl w:val="0"/>
          </w:rPr>
          <w:t xml:space="preserve">https://www.protectiondestroupeaux.ch/fileadmin/doc/International/CDP_and_General_Infos/CDPNews21_Winter2021.pdf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6">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Santiago-Avila FJ, et al. (2018). Killing wolves to prevent predation on livestock may protect one farm but harm </w:t>
      </w:r>
      <w:r w:rsidDel="00000000" w:rsidR="00000000" w:rsidRPr="00000000">
        <w:rPr>
          <w:rFonts w:ascii="Times New Roman" w:cs="Times New Roman" w:eastAsia="Times New Roman" w:hAnsi="Times New Roman"/>
          <w:rtl w:val="0"/>
        </w:rPr>
        <w:t xml:space="preserve">neighbors</w:t>
      </w:r>
      <w:r w:rsidDel="00000000" w:rsidR="00000000" w:rsidRPr="00000000">
        <w:rPr>
          <w:rFonts w:ascii="Times New Roman" w:cs="Times New Roman" w:eastAsia="Times New Roman" w:hAnsi="Times New Roman"/>
          <w:rtl w:val="0"/>
        </w:rPr>
        <w:t xml:space="preserve">. PLoS ONE 13(1): e0189729. </w:t>
      </w:r>
      <w:hyperlink r:id="rId22">
        <w:r w:rsidDel="00000000" w:rsidR="00000000" w:rsidRPr="00000000">
          <w:rPr>
            <w:rFonts w:ascii="Times New Roman" w:cs="Times New Roman" w:eastAsia="Times New Roman" w:hAnsi="Times New Roman"/>
            <w:color w:val="0563c1"/>
            <w:u w:val="single"/>
            <w:rtl w:val="0"/>
          </w:rPr>
          <w:t xml:space="preserve">https://doi.org/10.1371/journal.pone.0189729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Stahl P, et al. (2001a). Predation on livestock by an expanding reintroduced lynx population: long-term trend and spatial variability. Journal of Applied Ecology 38(3): 674</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687. </w:t>
      </w:r>
      <w:hyperlink r:id="rId23">
        <w:r w:rsidDel="00000000" w:rsidR="00000000" w:rsidRPr="00000000">
          <w:rPr>
            <w:rFonts w:ascii="Times New Roman" w:cs="Times New Roman" w:eastAsia="Times New Roman" w:hAnsi="Times New Roman"/>
            <w:color w:val="0563c1"/>
            <w:u w:val="single"/>
            <w:rtl w:val="0"/>
          </w:rPr>
          <w:t xml:space="preserve">https://doi.org/10.1046/j.1365-2664.2001.00625.x</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Stahl P, et al. (2001b). The effect of removing lynx in reducing attacks on sheep in the French Jura Mountains. Biological Conservation 101(1): 15</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22. </w:t>
      </w:r>
      <w:hyperlink r:id="rId24">
        <w:r w:rsidDel="00000000" w:rsidR="00000000" w:rsidRPr="00000000">
          <w:rPr>
            <w:rFonts w:ascii="Times New Roman" w:cs="Times New Roman" w:eastAsia="Times New Roman" w:hAnsi="Times New Roman"/>
            <w:color w:val="0563c1"/>
            <w:u w:val="single"/>
            <w:rtl w:val="0"/>
          </w:rPr>
          <w:t xml:space="preserve">https://doi.org/10.1016/S0006-3207(01)00054-4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Stahl P, et al. (2002). Factors affecting lynx predation on sheep in the French Jura. Journal of Applied Ecology 39(2): 204-216. </w:t>
      </w:r>
      <w:hyperlink r:id="rId25">
        <w:r w:rsidDel="00000000" w:rsidR="00000000" w:rsidRPr="00000000">
          <w:rPr>
            <w:rFonts w:ascii="Times New Roman" w:cs="Times New Roman" w:eastAsia="Times New Roman" w:hAnsi="Times New Roman"/>
            <w:color w:val="0563c1"/>
            <w:u w:val="single"/>
            <w:rtl w:val="0"/>
          </w:rPr>
          <w:t xml:space="preserve">https://doi.org/10.1046/j.1365-2664.2002.00709.x</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A">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Swan GJF, et al. (2017). Ecology of problem individuals and the efficacy of selective wildlife management. Trends in Ecology &amp; Evolution 32(7): 518</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530. </w:t>
      </w:r>
      <w:hyperlink r:id="rId26">
        <w:r w:rsidDel="00000000" w:rsidR="00000000" w:rsidRPr="00000000">
          <w:rPr>
            <w:rFonts w:ascii="Times New Roman" w:cs="Times New Roman" w:eastAsia="Times New Roman" w:hAnsi="Times New Roman"/>
            <w:color w:val="0563c1"/>
            <w:u w:val="single"/>
            <w:rtl w:val="0"/>
          </w:rPr>
          <w:t xml:space="preserve">https://doi.org/10.1016/j.tree.2017.03.011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B">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Treves A and Rabenhorst MF (2017). Risk map for wolf threats to livestock still predictive 5 years after construction. PLoS ONE 12(6): e0180043. </w:t>
      </w:r>
      <w:hyperlink r:id="rId27">
        <w:r w:rsidDel="00000000" w:rsidR="00000000" w:rsidRPr="00000000">
          <w:rPr>
            <w:rFonts w:ascii="Times New Roman" w:cs="Times New Roman" w:eastAsia="Times New Roman" w:hAnsi="Times New Roman"/>
            <w:color w:val="0563c1"/>
            <w:u w:val="single"/>
            <w:rtl w:val="0"/>
          </w:rPr>
          <w:t xml:space="preserve">https://doi.org/10.1371/journal.pone.0180043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Treves A, et al. (2011). Forecasting environmental hazards and the application of risk maps to predator attacks on livestock. BioScience 61(6): 451</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458. </w:t>
      </w:r>
      <w:hyperlink r:id="rId28">
        <w:r w:rsidDel="00000000" w:rsidR="00000000" w:rsidRPr="00000000">
          <w:rPr>
            <w:rFonts w:ascii="Times New Roman" w:cs="Times New Roman" w:eastAsia="Times New Roman" w:hAnsi="Times New Roman"/>
            <w:color w:val="0563c1"/>
            <w:u w:val="single"/>
            <w:rtl w:val="0"/>
          </w:rPr>
          <w:t xml:space="preserve">https://doi.org/10.1525/bio.2011.61.6.7</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D">
      <w:pPr>
        <w:spacing w:after="120" w:lineRule="auto"/>
        <w:ind w:left="284" w:hanging="28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Bommel JK, et al. 2020). Predicting human-carnivore conflict at the urban-wildland interface. Global Ecology and Conservation 24: e01322. </w:t>
      </w:r>
      <w:hyperlink r:id="rId29">
        <w:r w:rsidDel="00000000" w:rsidR="00000000" w:rsidRPr="00000000">
          <w:rPr>
            <w:rFonts w:ascii="Times New Roman" w:cs="Times New Roman" w:eastAsia="Times New Roman" w:hAnsi="Times New Roman"/>
            <w:color w:val="0563c1"/>
            <w:u w:val="single"/>
            <w:rtl w:val="0"/>
          </w:rPr>
          <w:t xml:space="preserve">https://doi.org/10.1016/j.gecco.2020.e01322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pStyle w:val="Heading1"/>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Websites with additional resources</w:t>
      </w:r>
    </w:p>
    <w:p w:rsidR="00000000" w:rsidDel="00000000" w:rsidP="00000000" w:rsidRDefault="00000000" w:rsidRPr="00000000" w14:paraId="0000004F">
      <w:pPr>
        <w:spacing w:after="120" w:lineRule="auto"/>
        <w:rPr>
          <w:rFonts w:ascii="Times New Roman" w:cs="Times New Roman" w:eastAsia="Times New Roman" w:hAnsi="Times New Roman"/>
          <w:color w:val="0563c1"/>
          <w:u w:val="single"/>
        </w:rPr>
      </w:pPr>
      <w:r w:rsidDel="00000000" w:rsidR="00000000" w:rsidRPr="00000000">
        <w:rPr>
          <w:rFonts w:ascii="Times New Roman" w:cs="Times New Roman" w:eastAsia="Times New Roman" w:hAnsi="Times New Roman"/>
          <w:rtl w:val="0"/>
        </w:rPr>
        <w:t xml:space="preserve">Carnivore Damage Prevention News: </w:t>
      </w:r>
      <w:hyperlink r:id="rId30">
        <w:r w:rsidDel="00000000" w:rsidR="00000000" w:rsidRPr="00000000">
          <w:rPr>
            <w:rFonts w:ascii="Times New Roman" w:cs="Times New Roman" w:eastAsia="Times New Roman" w:hAnsi="Times New Roman"/>
            <w:color w:val="0563c1"/>
            <w:u w:val="single"/>
            <w:rtl w:val="0"/>
          </w:rPr>
          <w:t xml:space="preserve">http://www.cdpnews.net</w:t>
        </w:r>
      </w:hyperlink>
      <w:r w:rsidDel="00000000" w:rsidR="00000000" w:rsidRPr="00000000">
        <w:rPr>
          <w:rtl w:val="0"/>
        </w:rPr>
      </w:r>
    </w:p>
    <w:p w:rsidR="00000000" w:rsidDel="00000000" w:rsidP="00000000" w:rsidRDefault="00000000" w:rsidRPr="00000000" w14:paraId="00000050">
      <w:pPr>
        <w:tabs>
          <w:tab w:val="left" w:leader="none" w:pos="4111"/>
        </w:tabs>
        <w:rPr>
          <w:rFonts w:ascii="Times New Roman" w:cs="Times New Roman" w:eastAsia="Times New Roman" w:hAnsi="Times New Roman"/>
        </w:rPr>
      </w:pPr>
      <w:bookmarkStart w:colFirst="0" w:colLast="0" w:name="_3znysh7" w:id="4"/>
      <w:bookmarkEnd w:id="4"/>
      <w:r w:rsidDel="00000000" w:rsidR="00000000" w:rsidRPr="00000000">
        <w:rPr>
          <w:rFonts w:ascii="Times New Roman" w:cs="Times New Roman" w:eastAsia="Times New Roman" w:hAnsi="Times New Roman"/>
          <w:rtl w:val="0"/>
        </w:rPr>
        <w:t xml:space="preserve">EU Large Carnivore Platform Case Study Selection:</w:t>
        <w:br w:type="textWrapping"/>
      </w:r>
      <w:hyperlink r:id="rId31">
        <w:r w:rsidDel="00000000" w:rsidR="00000000" w:rsidRPr="00000000">
          <w:rPr>
            <w:rFonts w:ascii="Times New Roman" w:cs="Times New Roman" w:eastAsia="Times New Roman" w:hAnsi="Times New Roman"/>
            <w:color w:val="0563c1"/>
            <w:u w:val="single"/>
            <w:rtl w:val="0"/>
          </w:rPr>
          <w:t xml:space="preserve">https://ec.europa.eu/environment/nature/conservation/species/carnivores/case_studies.htm</w:t>
        </w:r>
      </w:hyperlink>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Swiss Centre for Agricultural Advisory and Extension Services: </w:t>
      </w:r>
      <w:hyperlink r:id="rId32">
        <w:r w:rsidDel="00000000" w:rsidR="00000000" w:rsidRPr="00000000">
          <w:rPr>
            <w:rFonts w:ascii="Times New Roman" w:cs="Times New Roman" w:eastAsia="Times New Roman" w:hAnsi="Times New Roman"/>
            <w:color w:val="0563c1"/>
            <w:u w:val="single"/>
            <w:rtl w:val="0"/>
          </w:rPr>
          <w:t xml:space="preserve">https://www.agridea.ch</w:t>
        </w:r>
      </w:hyperlink>
      <w:r w:rsidDel="00000000" w:rsidR="00000000" w:rsidRPr="00000000">
        <w:rPr>
          <w:rtl w:val="0"/>
        </w:rPr>
      </w:r>
    </w:p>
    <w:sectPr>
      <w:footerReference r:id="rId3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https://www.qgistutorials.com/en/docs/3/creating_heatmaps.html</w:t>
        </w:r>
      </w:hyperlink>
      <w:r w:rsidDel="00000000" w:rsidR="00000000" w:rsidRPr="00000000">
        <w:rPr>
          <w:rtl w:val="0"/>
        </w:rPr>
      </w:r>
    </w:p>
  </w:footnote>
  <w:footnote w:id="1">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https://desktop.arcgis.com/en/arcmap/latest/tools/spatial-statistics-toolbox/h-how-hot-spot-analysis-getis-ord-gi-spatial-stati.htm</w:t>
        </w:r>
      </w:hyperlink>
      <w:r w:rsidDel="00000000" w:rsidR="00000000" w:rsidRPr="00000000">
        <w:rPr>
          <w:rtl w:val="0"/>
        </w:rPr>
      </w:r>
    </w:p>
  </w:footnote>
  <w:footnote w:id="2">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Miller JRB (2015). Mapping attack hotspots to mitigate human–carnivore conflict: approaches and applications of spatial predation risk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modeling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Biodiversity and Conservation 24: 2887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2911. </w:t>
      </w:r>
      <w:hyperlink r:id="rId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https://doi.org/10.1007/s10531-015-0993-6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Gervasi V et al. (2021). Assessing trends in wolf impact on livestock through verified claims in historical vs. recent areas of occurrence in Italy. European Journal of Wildlife Research 67: 82. </w:t>
      </w:r>
      <w:hyperlink r:id="rId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https://doi.org/10.1007/s10344-021-01522-1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Dondina O, et al. (2015). Wolf predation on livestock in an area of northern Italy and prediction of damage risk. Ethology Ecology &amp; Evolution 27(2): 200</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219. </w:t>
      </w:r>
      <w:hyperlink r:id="rId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https://doi.org/10.1080/03949370.2014.916352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5">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Karlsson J and Johansson Ö (2010). Predictability of repeated carnivore attacks on livestock favours reactive use of mitigation measures. Journal of Applied Ecology 47(1): 166</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171. </w:t>
      </w:r>
      <w:hyperlink r:id="rId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http://www.jstor.org/stable/25623149</w:t>
        </w:r>
      </w:hyperlink>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w:t>
      </w:r>
      <w:r w:rsidDel="00000000" w:rsidR="00000000" w:rsidRPr="00000000">
        <w:rPr>
          <w:rtl w:val="0"/>
        </w:rPr>
      </w:r>
    </w:p>
  </w:footnote>
  <w:footnote w:id="6">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https://www.conservationevidence.com/actions/2421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Mech LD, (2000). Assessing factors that may predispose Minnesota farms to wolf depredations on cattle. Wildlife Society Bulletin 28(3): 623</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629. </w:t>
      </w:r>
      <w:hyperlink r:id="rId8">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http://www.jstor.org/stable/3783612</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Wilson SM, et al. (2006). Landscape conditions predisposing grizzly bears to conflicts on private agricultural lands in the western USA. Biological Conservation 130(1): 47</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59. </w:t>
      </w:r>
      <w:hyperlink r:id="rId9">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https://doi.org/10.1016/j.biocon.2005.12.001</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9">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Bombieri G, et al. (2021). Towards understanding bold behaviour of large carnivores: the case of brown bears in human-modified landscapes. Animal Conservation 24(5): 783</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797. </w:t>
      </w:r>
      <w:hyperlink r:id="rId10">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https://doi.org/10.1111/acv.12680</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0">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Linnell JDC, et al. (1999). Large carnivores that kill livestock: do “problem individuals” really exist? Wildlife Society Bulletin 27(3): 698–705. </w:t>
      </w:r>
      <w:hyperlink r:id="rId1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http://www.jstor.org/stable/3784091</w:t>
        </w:r>
      </w:hyperlink>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w:t>
      </w:r>
      <w:r w:rsidDel="00000000" w:rsidR="00000000" w:rsidRPr="00000000">
        <w:rPr>
          <w:rtl w:val="0"/>
        </w:rPr>
      </w:r>
    </w:p>
  </w:footnote>
  <w:footnote w:id="11">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Wilkinson CE, et al. (2020). An ecological framework for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contextualizing</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carnivore–livestock conflict. Conservation Biology 34(4): 854</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867. </w:t>
      </w:r>
      <w:hyperlink r:id="rId12">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https://doi.org/10.1111/cobi.13469</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Odden J, et al. (2002). Lynx depredation on domestic sheep in Norway. The Journal of Wildlife Management 66(1): 98</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105. </w:t>
      </w:r>
      <w:hyperlink r:id="rId13">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https://doi.org/10.2307/3802876</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3">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Iliopoulos Y, et al. (2009). Wolf depredation on livestock in central Greece. Acta Theriologica 54: 11</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22. </w:t>
      </w:r>
      <w:hyperlink r:id="rId14">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https://doi.org/10.1007/BF03193133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4">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Treves A, et al. (2004). Predicting human-carnivore conflict: A spatial model derived from 25 years of data on wolf predation on livestock. Conservation Biology 18(1): 114–125. </w:t>
      </w:r>
      <w:hyperlink r:id="rId15">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http://www.jstor.org/stable/3589123</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 w:id="15">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Mech LD, et al. (1988). Relationship between winter severity and wolf depredations on domestic animals in Minnesota. Wildlife Society Bulletin 16(3): 269</w:t>
      </w:r>
      <w:r w:rsidDel="00000000" w:rsidR="00000000" w:rsidRPr="00000000">
        <w:rPr>
          <w:sz w:val="20"/>
          <w:szCs w:val="20"/>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272. </w:t>
      </w:r>
      <w:hyperlink r:id="rId16">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http://www.jstor.org/stable/3782098</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04" w:hanging="360"/>
      </w:pPr>
      <w:rPr>
        <w:rFonts w:ascii="Noto Sans Symbols" w:cs="Noto Sans Symbols" w:eastAsia="Noto Sans Symbols" w:hAnsi="Noto Sans Symbols"/>
      </w:rPr>
    </w:lvl>
    <w:lvl w:ilvl="1">
      <w:start w:val="1"/>
      <w:numFmt w:val="bullet"/>
      <w:lvlText w:val="o"/>
      <w:lvlJc w:val="left"/>
      <w:pPr>
        <w:ind w:left="1824" w:hanging="360"/>
      </w:pPr>
      <w:rPr>
        <w:rFonts w:ascii="Courier New" w:cs="Courier New" w:eastAsia="Courier New" w:hAnsi="Courier New"/>
      </w:rPr>
    </w:lvl>
    <w:lvl w:ilvl="2">
      <w:start w:val="1"/>
      <w:numFmt w:val="bullet"/>
      <w:lvlText w:val="▪"/>
      <w:lvlJc w:val="left"/>
      <w:pPr>
        <w:ind w:left="2544" w:hanging="360"/>
      </w:pPr>
      <w:rPr>
        <w:rFonts w:ascii="Noto Sans Symbols" w:cs="Noto Sans Symbols" w:eastAsia="Noto Sans Symbols" w:hAnsi="Noto Sans Symbols"/>
      </w:rPr>
    </w:lvl>
    <w:lvl w:ilvl="3">
      <w:start w:val="1"/>
      <w:numFmt w:val="bullet"/>
      <w:lvlText w:val="●"/>
      <w:lvlJc w:val="left"/>
      <w:pPr>
        <w:ind w:left="3264" w:hanging="360"/>
      </w:pPr>
      <w:rPr>
        <w:rFonts w:ascii="Noto Sans Symbols" w:cs="Noto Sans Symbols" w:eastAsia="Noto Sans Symbols" w:hAnsi="Noto Sans Symbols"/>
      </w:rPr>
    </w:lvl>
    <w:lvl w:ilvl="4">
      <w:start w:val="1"/>
      <w:numFmt w:val="bullet"/>
      <w:lvlText w:val="o"/>
      <w:lvlJc w:val="left"/>
      <w:pPr>
        <w:ind w:left="3984" w:hanging="360"/>
      </w:pPr>
      <w:rPr>
        <w:rFonts w:ascii="Courier New" w:cs="Courier New" w:eastAsia="Courier New" w:hAnsi="Courier New"/>
      </w:rPr>
    </w:lvl>
    <w:lvl w:ilvl="5">
      <w:start w:val="1"/>
      <w:numFmt w:val="bullet"/>
      <w:lvlText w:val="▪"/>
      <w:lvlJc w:val="left"/>
      <w:pPr>
        <w:ind w:left="4704" w:hanging="360"/>
      </w:pPr>
      <w:rPr>
        <w:rFonts w:ascii="Noto Sans Symbols" w:cs="Noto Sans Symbols" w:eastAsia="Noto Sans Symbols" w:hAnsi="Noto Sans Symbols"/>
      </w:rPr>
    </w:lvl>
    <w:lvl w:ilvl="6">
      <w:start w:val="1"/>
      <w:numFmt w:val="bullet"/>
      <w:lvlText w:val="●"/>
      <w:lvlJc w:val="left"/>
      <w:pPr>
        <w:ind w:left="5424" w:hanging="360"/>
      </w:pPr>
      <w:rPr>
        <w:rFonts w:ascii="Noto Sans Symbols" w:cs="Noto Sans Symbols" w:eastAsia="Noto Sans Symbols" w:hAnsi="Noto Sans Symbols"/>
      </w:rPr>
    </w:lvl>
    <w:lvl w:ilvl="7">
      <w:start w:val="1"/>
      <w:numFmt w:val="bullet"/>
      <w:lvlText w:val="o"/>
      <w:lvlJc w:val="left"/>
      <w:pPr>
        <w:ind w:left="6144" w:hanging="360"/>
      </w:pPr>
      <w:rPr>
        <w:rFonts w:ascii="Courier New" w:cs="Courier New" w:eastAsia="Courier New" w:hAnsi="Courier New"/>
      </w:rPr>
    </w:lvl>
    <w:lvl w:ilvl="8">
      <w:start w:val="1"/>
      <w:numFmt w:val="bullet"/>
      <w:lvlText w:val="▪"/>
      <w:lvlJc w:val="left"/>
      <w:pPr>
        <w:ind w:left="6864"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44" w:hanging="359.99999999999994"/>
      </w:pPr>
      <w:rPr/>
    </w:lvl>
    <w:lvl w:ilvl="1">
      <w:start w:val="1"/>
      <w:numFmt w:val="lowerLetter"/>
      <w:lvlText w:val="%2."/>
      <w:lvlJc w:val="left"/>
      <w:pPr>
        <w:ind w:left="1464" w:hanging="360"/>
      </w:pPr>
      <w:rPr/>
    </w:lvl>
    <w:lvl w:ilvl="2">
      <w:start w:val="1"/>
      <w:numFmt w:val="lowerRoman"/>
      <w:lvlText w:val="%3."/>
      <w:lvlJc w:val="right"/>
      <w:pPr>
        <w:ind w:left="2184" w:hanging="180"/>
      </w:pPr>
      <w:rPr/>
    </w:lvl>
    <w:lvl w:ilvl="3">
      <w:start w:val="1"/>
      <w:numFmt w:val="decimal"/>
      <w:lvlText w:val="%4."/>
      <w:lvlJc w:val="left"/>
      <w:pPr>
        <w:ind w:left="2904" w:hanging="360"/>
      </w:pPr>
      <w:rPr/>
    </w:lvl>
    <w:lvl w:ilvl="4">
      <w:start w:val="1"/>
      <w:numFmt w:val="lowerLetter"/>
      <w:lvlText w:val="%5."/>
      <w:lvlJc w:val="left"/>
      <w:pPr>
        <w:ind w:left="3624" w:hanging="360"/>
      </w:pPr>
      <w:rPr/>
    </w:lvl>
    <w:lvl w:ilvl="5">
      <w:start w:val="1"/>
      <w:numFmt w:val="lowerRoman"/>
      <w:lvlText w:val="%6."/>
      <w:lvlJc w:val="right"/>
      <w:pPr>
        <w:ind w:left="4344" w:hanging="180"/>
      </w:pPr>
      <w:rPr/>
    </w:lvl>
    <w:lvl w:ilvl="6">
      <w:start w:val="1"/>
      <w:numFmt w:val="decimal"/>
      <w:lvlText w:val="%7."/>
      <w:lvlJc w:val="left"/>
      <w:pPr>
        <w:ind w:left="5064" w:hanging="360"/>
      </w:pPr>
      <w:rPr/>
    </w:lvl>
    <w:lvl w:ilvl="7">
      <w:start w:val="1"/>
      <w:numFmt w:val="lowerLetter"/>
      <w:lvlText w:val="%8."/>
      <w:lvlJc w:val="left"/>
      <w:pPr>
        <w:ind w:left="5784" w:hanging="360"/>
      </w:pPr>
      <w:rPr/>
    </w:lvl>
    <w:lvl w:ilvl="8">
      <w:start w:val="1"/>
      <w:numFmt w:val="lowerRoman"/>
      <w:lvlText w:val="%9."/>
      <w:lvlJc w:val="right"/>
      <w:pPr>
        <w:ind w:left="6504"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17/S0030605310000074" TargetMode="External"/><Relationship Id="rId22" Type="http://schemas.openxmlformats.org/officeDocument/2006/relationships/hyperlink" Target="https://doi.org/10.1371/journal.pone.0189729" TargetMode="External"/><Relationship Id="rId21" Type="http://schemas.openxmlformats.org/officeDocument/2006/relationships/hyperlink" Target="https://www.protectiondestroupeaux.ch/fileadmin/doc/International/CDP_and_General_Infos/CDPNews21_Winter2021.pdf" TargetMode="External"/><Relationship Id="rId24" Type="http://schemas.openxmlformats.org/officeDocument/2006/relationships/hyperlink" Target="https://doi.org/10.1016/S0006-3207(01)00054-4" TargetMode="External"/><Relationship Id="rId23" Type="http://schemas.openxmlformats.org/officeDocument/2006/relationships/hyperlink" Target="https://doi.org/10.1046/j.1365-2664.2001.00625.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inalpbear.eu/wp-content/uploads/GIDC_ENG_v34_web.pdf" TargetMode="External"/><Relationship Id="rId26" Type="http://schemas.openxmlformats.org/officeDocument/2006/relationships/hyperlink" Target="https://doi.org/10.1016/j.tree.2017.03.011" TargetMode="External"/><Relationship Id="rId25" Type="http://schemas.openxmlformats.org/officeDocument/2006/relationships/hyperlink" Target="https://doi.org/10.1046/j.1365-2664.2002.00709.x" TargetMode="External"/><Relationship Id="rId28" Type="http://schemas.openxmlformats.org/officeDocument/2006/relationships/hyperlink" Target="https://doi.org/10.1525/bio.2011.61.6.7" TargetMode="External"/><Relationship Id="rId27" Type="http://schemas.openxmlformats.org/officeDocument/2006/relationships/hyperlink" Target="https://doi.org/10.1371/journal.pone.018004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16/j.gecco.2020.e01322" TargetMode="External"/><Relationship Id="rId7" Type="http://schemas.openxmlformats.org/officeDocument/2006/relationships/hyperlink" Target="https://dinalpbear.eu/wp-content/uploads/GIDC_ENG_v34_web.pdf" TargetMode="External"/><Relationship Id="rId8" Type="http://schemas.openxmlformats.org/officeDocument/2006/relationships/hyperlink" Target="https://dinalpbear.eu/wp-content/uploads/GIDC_ENG_v34_web.pdf" TargetMode="External"/><Relationship Id="rId31" Type="http://schemas.openxmlformats.org/officeDocument/2006/relationships/hyperlink" Target="https://ec.europa.eu/environment/nature/conservation/species/carnivores/case_studies.htm" TargetMode="External"/><Relationship Id="rId30" Type="http://schemas.openxmlformats.org/officeDocument/2006/relationships/hyperlink" Target="http://www.cdpnews.net" TargetMode="External"/><Relationship Id="rId11" Type="http://schemas.openxmlformats.org/officeDocument/2006/relationships/hyperlink" Target="https://wolf-mv.de/wp-content/uploads/2019/11/werwaresansicht.pdf" TargetMode="External"/><Relationship Id="rId33" Type="http://schemas.openxmlformats.org/officeDocument/2006/relationships/footer" Target="footer1.xml"/><Relationship Id="rId10" Type="http://schemas.openxmlformats.org/officeDocument/2006/relationships/hyperlink" Target="http://dinalpbear.eu/wp-content/uploads/ENGLISH_Guidebook_Seth_Wilson_WEB2.pdf" TargetMode="External"/><Relationship Id="rId32" Type="http://schemas.openxmlformats.org/officeDocument/2006/relationships/hyperlink" Target="https://www.agridea.ch" TargetMode="External"/><Relationship Id="rId13" Type="http://schemas.openxmlformats.org/officeDocument/2006/relationships/hyperlink" Target="http://bearproject.info/wp-content/uploads/2015/11/2015-E129-4-Occurrence-of-large-carnivores-near-settlements-a-review.pdf" TargetMode="External"/><Relationship Id="rId12" Type="http://schemas.openxmlformats.org/officeDocument/2006/relationships/hyperlink" Target="https://doi.org/10.1098/rspb.2021.1394" TargetMode="External"/><Relationship Id="rId15" Type="http://schemas.openxmlformats.org/officeDocument/2006/relationships/hyperlink" Target="https://doi.org/10.32942/osf.io/n8rzg" TargetMode="External"/><Relationship Id="rId14" Type="http://schemas.openxmlformats.org/officeDocument/2006/relationships/hyperlink" Target="https://doi.org/10.1016/j.biocon.2019.108210" TargetMode="External"/><Relationship Id="rId17" Type="http://schemas.openxmlformats.org/officeDocument/2006/relationships/hyperlink" Target="https://doi.org/10.4404/hystrix-00248-2019" TargetMode="External"/><Relationship Id="rId16" Type="http://schemas.openxmlformats.org/officeDocument/2006/relationships/hyperlink" Target="https://doi.org/10.1017/S0030605318000236" TargetMode="External"/><Relationship Id="rId19" Type="http://schemas.openxmlformats.org/officeDocument/2006/relationships/hyperlink" Target="http://www.protectiondestroupeaux.ch/fileadmin/doc/International/CDP_and_General_Infos/CDPNews20_Nov2020.pdf" TargetMode="External"/><Relationship Id="rId18" Type="http://schemas.openxmlformats.org/officeDocument/2006/relationships/hyperlink" Target="https://doi.org/10.1016/j.gecco.2021.e0181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1" Type="http://schemas.openxmlformats.org/officeDocument/2006/relationships/hyperlink" Target="http://www.jstor.org/stable/3784091" TargetMode="External"/><Relationship Id="rId10" Type="http://schemas.openxmlformats.org/officeDocument/2006/relationships/hyperlink" Target="https://doi.org/10.1111/acv.12680" TargetMode="External"/><Relationship Id="rId13" Type="http://schemas.openxmlformats.org/officeDocument/2006/relationships/hyperlink" Target="https://doi.org/10.2307/3802876" TargetMode="External"/><Relationship Id="rId12" Type="http://schemas.openxmlformats.org/officeDocument/2006/relationships/hyperlink" Target="https://doi.org/10.1111/cobi.13469" TargetMode="External"/><Relationship Id="rId1" Type="http://schemas.openxmlformats.org/officeDocument/2006/relationships/hyperlink" Target="https://www.qgistutorials.com/en/docs/3/creating_heatmaps.html" TargetMode="External"/><Relationship Id="rId2" Type="http://schemas.openxmlformats.org/officeDocument/2006/relationships/hyperlink" Target="https://desktop.arcgis.com/en/arcmap/latest/tools/spatial-statistics-toolbox/h-how-hot-spot-analysis-getis-ord-gi-spatial-stati.htm" TargetMode="External"/><Relationship Id="rId3" Type="http://schemas.openxmlformats.org/officeDocument/2006/relationships/hyperlink" Target="https://doi.org/10.1007/s10531-015-0993-6" TargetMode="External"/><Relationship Id="rId4" Type="http://schemas.openxmlformats.org/officeDocument/2006/relationships/hyperlink" Target="https://doi.org/10.1007/s10344-021-01522-1" TargetMode="External"/><Relationship Id="rId9" Type="http://schemas.openxmlformats.org/officeDocument/2006/relationships/hyperlink" Target="https://doi.org/10.1016/j.biocon.2005.12.001" TargetMode="External"/><Relationship Id="rId15" Type="http://schemas.openxmlformats.org/officeDocument/2006/relationships/hyperlink" Target="http://www.jstor.org/stable/3589123" TargetMode="External"/><Relationship Id="rId14" Type="http://schemas.openxmlformats.org/officeDocument/2006/relationships/hyperlink" Target="https://doi.org/10.1007/BF03193133" TargetMode="External"/><Relationship Id="rId16" Type="http://schemas.openxmlformats.org/officeDocument/2006/relationships/hyperlink" Target="http://www.jstor.org/stable/3782098" TargetMode="External"/><Relationship Id="rId5" Type="http://schemas.openxmlformats.org/officeDocument/2006/relationships/hyperlink" Target="https://doi.org/10.1080/03949370.2014.916352" TargetMode="External"/><Relationship Id="rId6" Type="http://schemas.openxmlformats.org/officeDocument/2006/relationships/hyperlink" Target="http://www.jstor.org/stable/25623149" TargetMode="External"/><Relationship Id="rId7" Type="http://schemas.openxmlformats.org/officeDocument/2006/relationships/hyperlink" Target="https://www.conservationevidence.com/actions/2421" TargetMode="External"/><Relationship Id="rId8" Type="http://schemas.openxmlformats.org/officeDocument/2006/relationships/hyperlink" Target="http://www.jstor.org/stable/37836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