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qwnccp9u2i1b" w:id="0"/>
      <w:bookmarkEnd w:id="0"/>
      <w:r w:rsidDel="00000000" w:rsidR="00000000" w:rsidRPr="00000000">
        <w:rPr>
          <w:rtl w:val="0"/>
        </w:rPr>
        <w:t xml:space="preserve">Verifying livestock damage and compensation claims</w:t>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4">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Original author: Robin Rigg, Slovak Wildlife Society</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Depredation </w:t>
      </w:r>
      <w:r w:rsidDel="00000000" w:rsidR="00000000" w:rsidRPr="00000000">
        <w:rPr>
          <w:rFonts w:ascii="Times New Roman" w:cs="Times New Roman" w:eastAsia="Times New Roman" w:hAnsi="Times New Roman"/>
          <w:rtl w:val="0"/>
        </w:rPr>
        <w:t xml:space="preserve">on livestock</w:t>
      </w:r>
      <w:r w:rsidDel="00000000" w:rsidR="00000000" w:rsidRPr="00000000">
        <w:rPr>
          <w:rFonts w:ascii="Times New Roman" w:cs="Times New Roman" w:eastAsia="Times New Roman" w:hAnsi="Times New Roman"/>
          <w:rtl w:val="0"/>
        </w:rPr>
        <w:t xml:space="preserve"> is a major issue in carnivore conservation and management. Three main approaches have been taken to address it: damage prevention, predator control and mitigation of financial losses. The first of these, in which people try to protect their livestock from attack, has been </w:t>
      </w:r>
      <w:r w:rsidDel="00000000" w:rsidR="00000000" w:rsidRPr="00000000">
        <w:rPr>
          <w:rtl w:val="0"/>
        </w:rPr>
        <w:t xml:space="preserve">practised</w:t>
      </w:r>
      <w:r w:rsidDel="00000000" w:rsidR="00000000" w:rsidRPr="00000000">
        <w:rPr>
          <w:rFonts w:ascii="Times New Roman" w:cs="Times New Roman" w:eastAsia="Times New Roman" w:hAnsi="Times New Roman"/>
          <w:rtl w:val="0"/>
        </w:rPr>
        <w:t xml:space="preserve"> since domestication began and is still highly relevant today. Control, i</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killing predators, also has a long history but has contributed to drastic reductions in large carnivore populations, prompting present legal restrictions on hunting. The third approach, that of financial mitigation, is more recent and differs from the others in its aim. Rather than seeking to prevent or reduce predation, it instead shares the economic burden of those directly affected with the rest of society. This approach is typified by the payment of compensation for damage caused by large carnivores.</w:t>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Most European countries have </w:t>
      </w:r>
      <w:r w:rsidDel="00000000" w:rsidR="00000000" w:rsidRPr="00000000">
        <w:rPr>
          <w:rFonts w:ascii="Times New Roman" w:cs="Times New Roman" w:eastAsia="Times New Roman" w:hAnsi="Times New Roman"/>
          <w:i w:val="1"/>
          <w:rtl w:val="0"/>
        </w:rPr>
        <w:t xml:space="preserve">a posteriori</w:t>
      </w:r>
      <w:r w:rsidDel="00000000" w:rsidR="00000000" w:rsidRPr="00000000">
        <w:rPr>
          <w:rFonts w:ascii="Times New Roman" w:cs="Times New Roman" w:eastAsia="Times New Roman" w:hAnsi="Times New Roman"/>
          <w:rtl w:val="0"/>
        </w:rPr>
        <w:t xml:space="preserve"> compensation </w:t>
      </w:r>
      <w:r w:rsidDel="00000000" w:rsidR="00000000" w:rsidRPr="00000000">
        <w:rPr>
          <w:rFonts w:ascii="Times New Roman" w:cs="Times New Roman" w:eastAsia="Times New Roman" w:hAnsi="Times New Roman"/>
          <w:rtl w:val="0"/>
        </w:rPr>
        <w:t xml:space="preserve">schemes</w:t>
      </w:r>
      <w:r w:rsidDel="00000000" w:rsidR="00000000" w:rsidRPr="00000000">
        <w:rPr>
          <w:rFonts w:ascii="Times New Roman" w:cs="Times New Roman" w:eastAsia="Times New Roman" w:hAnsi="Times New Roman"/>
          <w:rtl w:val="0"/>
        </w:rPr>
        <w:t xml:space="preserve"> (Bautista et al. 2017). They usually include on-site inspections to verify the likely cause of the alleged damage, but this is sometimes difficult to determine with certainty</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At the same time, livestock breeders frequently complain that procedures are too bureaucratic and payments are insufficient or subject to long delays (Grossman et al. 2019, Klenzendorf et al. 2019). Moreover, unconditional compensation payments provide little motivation to implement prevention methods. </w:t>
      </w:r>
      <w:r w:rsidDel="00000000" w:rsidR="00000000" w:rsidRPr="00000000">
        <w:rPr>
          <w:rFonts w:ascii="Times New Roman" w:cs="Times New Roman" w:eastAsia="Times New Roman" w:hAnsi="Times New Roman"/>
          <w:color w:val="000000"/>
          <w:rtl w:val="0"/>
        </w:rPr>
        <w:t xml:space="preserve">To succeed, compensation schemes need to incentivise the use of prevention measures and ensure reasonable application procedures, cost-effective verification, fair and timely payments and financial sustainability.</w:t>
      </w:r>
    </w:p>
    <w:p w:rsidR="00000000" w:rsidDel="00000000" w:rsidP="00000000" w:rsidRDefault="00000000" w:rsidRPr="00000000" w14:paraId="0000000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“conflict” and “impact” are not synonymous. The IUCN Human–Wildlife Conflict Task Force</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defines </w:t>
      </w:r>
      <w:r w:rsidDel="00000000" w:rsidR="00000000" w:rsidRPr="00000000">
        <w:rPr>
          <w:rFonts w:ascii="Times New Roman" w:cs="Times New Roman" w:eastAsia="Times New Roman" w:hAnsi="Times New Roman"/>
          <w:b w:val="1"/>
          <w:rtl w:val="0"/>
        </w:rPr>
        <w:t xml:space="preserve">human–wildlife conflicts</w:t>
      </w:r>
      <w:r w:rsidDel="00000000" w:rsidR="00000000" w:rsidRPr="00000000">
        <w:rPr>
          <w:rFonts w:ascii="Times New Roman" w:cs="Times New Roman" w:eastAsia="Times New Roman" w:hAnsi="Times New Roman"/>
          <w:rtl w:val="0"/>
        </w:rPr>
        <w:t xml:space="preserve"> as “when animals pose a direct and recurring threat to the livelihood or safety of people, leading to the persecution of that species”. In these scenarios, which might be better termed </w:t>
      </w:r>
      <w:r w:rsidDel="00000000" w:rsidR="00000000" w:rsidRPr="00000000">
        <w:rPr>
          <w:rFonts w:ascii="Times New Roman" w:cs="Times New Roman" w:eastAsia="Times New Roman" w:hAnsi="Times New Roman"/>
          <w:b w:val="1"/>
          <w:rtl w:val="0"/>
        </w:rPr>
        <w:t xml:space="preserve">human–wildlife impacts</w:t>
      </w:r>
      <w:r w:rsidDel="00000000" w:rsidR="00000000" w:rsidRPr="00000000">
        <w:rPr>
          <w:rFonts w:ascii="Times New Roman" w:cs="Times New Roman" w:eastAsia="Times New Roman" w:hAnsi="Times New Roman"/>
          <w:rtl w:val="0"/>
        </w:rPr>
        <w:t xml:space="preserve">, technical solutions, such as targeted measures to reduce depredation on livestock, may be sufficient and work well to alleviate negative consequences for both people and wildlife.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w:t>
      </w:r>
      <w:r w:rsidDel="00000000" w:rsidR="00000000" w:rsidRPr="00000000">
        <w:rPr>
          <w:rFonts w:ascii="Times New Roman" w:cs="Times New Roman" w:eastAsia="Times New Roman" w:hAnsi="Times New Roman"/>
          <w:b w:val="1"/>
          <w:rtl w:val="0"/>
        </w:rPr>
        <w:t xml:space="preserve">conservation conflicts</w:t>
      </w:r>
      <w:r w:rsidDel="00000000" w:rsidR="00000000" w:rsidRPr="00000000">
        <w:rPr>
          <w:rFonts w:ascii="Times New Roman" w:cs="Times New Roman" w:eastAsia="Times New Roman" w:hAnsi="Times New Roman"/>
          <w:rtl w:val="0"/>
        </w:rPr>
        <w:t xml:space="preserve"> occur between people and so are also referred to as </w:t>
      </w:r>
      <w:r w:rsidDel="00000000" w:rsidR="00000000" w:rsidRPr="00000000">
        <w:rPr>
          <w:rFonts w:ascii="Times New Roman" w:cs="Times New Roman" w:eastAsia="Times New Roman" w:hAnsi="Times New Roman"/>
          <w:b w:val="1"/>
          <w:rtl w:val="0"/>
        </w:rPr>
        <w:t xml:space="preserve">human–human conflicts</w:t>
      </w:r>
      <w:r w:rsidDel="00000000" w:rsidR="00000000" w:rsidRPr="00000000">
        <w:rPr>
          <w:rFonts w:ascii="Times New Roman" w:cs="Times New Roman" w:eastAsia="Times New Roman" w:hAnsi="Times New Roman"/>
          <w:rtl w:val="0"/>
        </w:rPr>
        <w:t xml:space="preserve">. They have been defined as, “situations that occur when two or more parties with strongly held opinions clash over conservation objectives and when one party is perceived to assert its interests at the expense of another” (Redpath et al. 2013). An example is when people disagree over whether the best response to depredation on livestock is to cull predators or use non-lethal prevention measures. In this case, compensation is intended to alleviate economic and social disequilibria caused to a minority, i.e. livestock breeders, by the desire of others to conserve large carnivores (Fourli 1999).</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Confusingly, terms such as “human–wildlife conflict” and “carnivore–livestock conflict“ are often used to refer to what are, in effect, human–wildlife impacts, i.e. damage caused by wildlife to human interests and the effects of human actions on wildlife (Redpath et al. 2015). Clarifying whether an issue is a “conflict” or an “impact” has important implications for which management approaches are most appropriate. It is a common mistake to assume that human–human conflicts can be resolved simply by using technical solutions to reduce human–wildlife impacts. Conflicts tend to be complex, conflated with social issues such as discord between urban versus rural values and rejection of top-down governance, so participatory processes are needed to address them (Salvatori et al. 2020, 2021).</w:t>
      </w:r>
    </w:p>
    <w:p w:rsidR="00000000" w:rsidDel="00000000" w:rsidP="00000000" w:rsidRDefault="00000000" w:rsidRPr="00000000" w14:paraId="0000000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Principles</w:t>
      </w:r>
    </w:p>
    <w:p w:rsidR="00000000" w:rsidDel="00000000" w:rsidP="00000000" w:rsidRDefault="00000000" w:rsidRPr="00000000" w14:paraId="0000000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relation to overall productivity and prosperity in Europe, the economic cost of damage to livestock by large carnivores is minor (Fourli 1999, Gervasi et al. 2021). However, the burden tends to fall on a small minority of people, some of whom suffer significant economic losses, particularly in poor rural communities</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As society has taken the collective decision to protect species which cause damage to some individuals, there is a moral obligation, according to the social contract principle, to share the costs equitably among all citizens (Schwerdtner and Gruber 2007). One way to do this is by using public money to pay compensation. EU Member States can use State aid to compensate 100% of the total direct costs (i.e. market value of depredated livestock) as well as of indirect costs (e.g. labour, veterinary treatment) of damage by protected species provided certain conditions are met</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of claims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of damage claims is central to building trust in the legitimacy of compensation programmes, preventing fraud and minimising erroneous attribution of other causes of livestock death or injury to large carnivores</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EU guidelines on using State aid to pay compensation</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require Member States to establish a direct causal link between the damage suffered and the behaviour of a protected animal. Determining the cause of death and which, if any, predator species was involved by visual examination of livestock wounds and other field signs can be ambiguous, particularly if few remains are present.</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reliability of decisions made on the basis of on-site inspections can be improved with appropriate training and protocols</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but also by forensic DNA analysis</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for example to distinguish damage by wolves from that by dogs</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In Switzerland, in cases where even an experienced game warden is unsure, livestock carcasses are sent to the Veterinary Faculty for necropsy. Livestock sometimes remain missing after an attack or carcasses are not found until it is too late to determine the cause of death. There is a trade-off between appropriate verification of claims and avoiding excess bureaucracy that deters livestock breeders from claiming compensation for damage. Some countries have adopted policies of paying compensation if large carnivores cannot be excluded as the cause of damage.</w:t>
      </w:r>
    </w:p>
    <w:p w:rsidR="00000000" w:rsidDel="00000000" w:rsidP="00000000" w:rsidRDefault="00000000" w:rsidRPr="00000000" w14:paraId="0000001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Shortcomings of damage compensation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approach of seeking to facilitate coexistence with wildlife by paying compensation for damage has been criticised as expensive, bureaucratic, ineffective, economically unsustainable</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and possibly counterproductive</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Lenient compensation systems, which do not include prerequisites for the use of preventive measures, reward passivity and treat symptoms rather than the root cause of the problem (Fourli 1999). Moreover, by linking payments to damage, compensation schemes maintain a focus on negative aspects of carnivore presence (cf. Rode et al. 2021), perpetuating a state of permanent conflict. Systems which are perceived as too bureaucratic, slow or unjust risk aggravating, rather than mitigating, sources of grievance, to the detriment of conservation and coexistence.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alone does not seem to fulfil its aim of building tolerance towards large carnivores</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Despite the existence of a compensation scheme in Slovakia, for example, people who had experienced damage held significantly more negative attitudes towards large carnivores than those who had not (Rigg et al. 2011). High expenditure on compensation did not prevent illegal killing of wolves in Italy</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 or Portugal</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Livestock producers in Wisconsin, USA, who had been compensated for losses to wolves were not more tolerant than those who alleged losses but received no compensation</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However, once a damage compensation scheme is in place, it is very difficult to abandon it as this is likely to be perceived as withdrawing support, which could aggravate conflicts.</w:t>
      </w:r>
    </w:p>
    <w:p w:rsidR="00000000" w:rsidDel="00000000" w:rsidP="00000000" w:rsidRDefault="00000000" w:rsidRPr="00000000" w14:paraId="0000001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solutions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global review</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Fonts w:ascii="Times New Roman" w:cs="Times New Roman" w:eastAsia="Times New Roman" w:hAnsi="Times New Roman"/>
          <w:rtl w:val="0"/>
        </w:rPr>
        <w:t xml:space="preserve"> highlighted three suggestions for improvement: require claimants to use damage prevention measures; make compensation payments more quickly; or replace </w:t>
      </w:r>
      <w:r w:rsidDel="00000000" w:rsidR="00000000" w:rsidRPr="00000000">
        <w:rPr>
          <w:rFonts w:ascii="Times New Roman" w:cs="Times New Roman" w:eastAsia="Times New Roman" w:hAnsi="Times New Roman"/>
          <w:i w:val="1"/>
          <w:rtl w:val="0"/>
        </w:rPr>
        <w:t xml:space="preserve">ex post</w:t>
      </w:r>
      <w:r w:rsidDel="00000000" w:rsidR="00000000" w:rsidRPr="00000000">
        <w:rPr>
          <w:rFonts w:ascii="Times New Roman" w:cs="Times New Roman" w:eastAsia="Times New Roman" w:hAnsi="Times New Roman"/>
          <w:rtl w:val="0"/>
        </w:rPr>
        <w:t xml:space="preserve"> compensation schemes with outcome-based performance payments.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avoid reducing owners’ motivation to protect their livestock, compensation payments should be conditional on the use of damage prevention measures in areas with permanent presence of large carnivores (Fourli 1999, Bautista et al. 2017). Indeed, according to EU </w:t>
      </w:r>
      <w:r w:rsidDel="00000000" w:rsidR="00000000" w:rsidRPr="00000000">
        <w:rPr>
          <w:rtl w:val="0"/>
        </w:rPr>
        <w:t xml:space="preserve">g</w:t>
      </w:r>
      <w:r w:rsidDel="00000000" w:rsidR="00000000" w:rsidRPr="00000000">
        <w:rPr>
          <w:rFonts w:ascii="Times New Roman" w:cs="Times New Roman" w:eastAsia="Times New Roman" w:hAnsi="Times New Roman"/>
          <w:rtl w:val="0"/>
        </w:rPr>
        <w:t xml:space="preserve">uidelines, when paying compensation Member States must ensure that farmers are incentivised to minimise risk and take “reasonable prevention measures, such as safety fences where possible, livestock guarding dogs, which are proportionate to the risk of damage caused by protected animals in the area concerned”. Low</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quality or poorly implemented protection measures run the risk of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training</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large carnivores to circumnavigate them and, in the long run, can result in problem individuals that cause damage to properly protected livestock (see </w:t>
      </w:r>
      <w:r w:rsidDel="00000000" w:rsidR="00000000" w:rsidRPr="00000000">
        <w:rPr>
          <w:rFonts w:ascii="Times New Roman" w:cs="Times New Roman" w:eastAsia="Times New Roman" w:hAnsi="Times New Roman"/>
          <w:highlight w:val="yellow"/>
          <w:rtl w:val="0"/>
        </w:rPr>
        <w:t xml:space="preserve">Setting standards for livestock protection measures</w:t>
      </w:r>
      <w:r w:rsidDel="00000000" w:rsidR="00000000" w:rsidRPr="00000000">
        <w:rPr>
          <w:rFonts w:ascii="Times New Roman" w:cs="Times New Roman" w:eastAsia="Times New Roman" w:hAnsi="Times New Roman"/>
          <w:rtl w:val="0"/>
        </w:rPr>
        <w:t xml:space="preserve">). Proper implementation of protection measures needs to be verified through occasional inspections (see </w:t>
      </w:r>
      <w:r w:rsidDel="00000000" w:rsidR="00000000" w:rsidRPr="00000000">
        <w:rPr>
          <w:rFonts w:ascii="Times New Roman" w:cs="Times New Roman" w:eastAsia="Times New Roman" w:hAnsi="Times New Roman"/>
          <w:highlight w:val="yellow"/>
          <w:rtl w:val="0"/>
        </w:rPr>
        <w:t xml:space="preserve">Inspecting and testing damage prevention measures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proportionality principle, it seems reasonable to have less stringent requirements for protective measures in lower risk areas or for large stock such as cattle which are less often predated than sheep (see also </w:t>
      </w:r>
      <w:r w:rsidDel="00000000" w:rsidR="00000000" w:rsidRPr="00000000">
        <w:rPr>
          <w:rFonts w:ascii="Times New Roman" w:cs="Times New Roman" w:eastAsia="Times New Roman" w:hAnsi="Times New Roman"/>
          <w:highlight w:val="yellow"/>
          <w:rtl w:val="0"/>
        </w:rPr>
        <w:t xml:space="preserve">Investigating damage hotspots</w:t>
      </w:r>
      <w:r w:rsidDel="00000000" w:rsidR="00000000" w:rsidRPr="00000000">
        <w:rPr>
          <w:rFonts w:ascii="Times New Roman" w:cs="Times New Roman" w:eastAsia="Times New Roman" w:hAnsi="Times New Roman"/>
          <w:rtl w:val="0"/>
        </w:rPr>
        <w:t xml:space="preserve">). In such cases, it may be more cost-effective to pay for occasional damage rather than try to protect all livestock equally well. However, this necessitates an effective monitoring system to enable timely reassessment of the status of predator populations, particularly those which are expanding, and updating payment criteria as part of adaptive management. Moreover, livestock breeders should be provided with financial, practical and technical support to implement prevention measures in order to avoid the risk of this obligation itself becoming a source of conflict (Montag 2003).</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approaches might be more effective at facilitating coexistence than conventional </w:t>
      </w:r>
      <w:r w:rsidDel="00000000" w:rsidR="00000000" w:rsidRPr="00000000">
        <w:rPr>
          <w:rFonts w:ascii="Times New Roman" w:cs="Times New Roman" w:eastAsia="Times New Roman" w:hAnsi="Times New Roman"/>
          <w:i w:val="1"/>
          <w:rtl w:val="0"/>
        </w:rPr>
        <w:t xml:space="preserve">ex post</w:t>
      </w:r>
      <w:r w:rsidDel="00000000" w:rsidR="00000000" w:rsidRPr="00000000">
        <w:rPr>
          <w:rFonts w:ascii="Times New Roman" w:cs="Times New Roman" w:eastAsia="Times New Roman" w:hAnsi="Times New Roman"/>
          <w:rtl w:val="0"/>
        </w:rPr>
        <w:t xml:space="preserve"> damage compensation. In addition to subsiding prevention measures, these include conservation payments, insurance schemes and revenue sharing (Dickman et al. 2011, Wilson-Holt and Steele 2019). Subsidies for proactive measures to reduce depredation in Sweden significantly increased positive attitudes toward wolf presence on the local scale (Karlsson and Sjöström 2011). The Swedish conservation performance payment scheme links payments to successful conservation outcomes</w:t>
      </w:r>
      <w:r w:rsidDel="00000000" w:rsidR="00000000" w:rsidRPr="00000000">
        <w:rPr>
          <w:rFonts w:ascii="Times New Roman" w:cs="Times New Roman" w:eastAsia="Times New Roman" w:hAnsi="Times New Roman"/>
          <w:vertAlign w:val="superscript"/>
        </w:rPr>
        <w:footnoteReference w:customMarkFollows="0" w:id="16"/>
      </w:r>
      <w:r w:rsidDel="00000000" w:rsidR="00000000" w:rsidRPr="00000000">
        <w:rPr>
          <w:rFonts w:ascii="Times New Roman" w:cs="Times New Roman" w:eastAsia="Times New Roman" w:hAnsi="Times New Roman"/>
          <w:rtl w:val="0"/>
        </w:rPr>
        <w:t xml:space="preserve">. Where there is a high level of public support for large carnivore conservation, it may be possible to harness this to fund community-led coexistence programmes such as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predator-friendly</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certification schemes</w:t>
      </w:r>
      <w:r w:rsidDel="00000000" w:rsidR="00000000" w:rsidRPr="00000000">
        <w:rPr>
          <w:rFonts w:ascii="Times New Roman" w:cs="Times New Roman" w:eastAsia="Times New Roman" w:hAnsi="Times New Roman"/>
          <w:vertAlign w:val="superscript"/>
        </w:rPr>
        <w:footnoteReference w:customMarkFollows="0" w:id="17"/>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Tolerance towards large carnivores is likely to have multiple drivers (Marino et al. 2021) and so any system may fail without adequate engagement with representatives of those most affected by damages or other adverse effects caused by large carnivores</w:t>
      </w:r>
      <w:r w:rsidDel="00000000" w:rsidR="00000000" w:rsidRPr="00000000">
        <w:rPr>
          <w:rFonts w:ascii="Times New Roman" w:cs="Times New Roman" w:eastAsia="Times New Roman" w:hAnsi="Times New Roman"/>
          <w:vertAlign w:val="superscript"/>
        </w:rPr>
        <w:footnoteReference w:customMarkFollows="0" w:id="18"/>
      </w:r>
      <w:r w:rsidDel="00000000" w:rsidR="00000000" w:rsidRPr="00000000">
        <w:rPr>
          <w:rFonts w:ascii="Times New Roman" w:cs="Times New Roman" w:eastAsia="Times New Roman" w:hAnsi="Times New Roman"/>
          <w:rtl w:val="0"/>
        </w:rPr>
        <w:t xml:space="preserve">. Authorities and managers are strongly encouraged to engage with stakeholders in participatory processes aimed at attaining a shared understanding of problems and co-creating sustainable solutions (Salvatori et al. 2020, 2021).</w:t>
      </w:r>
    </w:p>
    <w:p w:rsidR="00000000" w:rsidDel="00000000" w:rsidP="00000000" w:rsidRDefault="00000000" w:rsidRPr="00000000" w14:paraId="0000001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to verifying livestock damage and compensation claims</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If a new financial mechanism is to be introduced, or an existing one modified, include livestock breeders and other relevant stakeholders in participatory processes from the outset.</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 areas with permanent occurrence of large carnivores, compensation payments should be conditional on the proper use of prevention measures, the implementation of which should be subsidised and subject to inspection.</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Ensure that legal frameworks are clear and specify on whom rests the burden of proof, who is given the benefit of any doubt, etc.</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Establish efficient management structures and communication channels.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Standardise procedures and ensure rapid processing of claims and payments.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Prepare a field guide in the regional language(s) to assist in determining the cause of livestock damage, recognising wildlife field signs and collecting evidence for further analysis.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Prepare protocols for on-site verification of damage including documentation with photographs, measurements and samples. Specifically, </w:t>
      </w:r>
      <w:r w:rsidDel="00000000" w:rsidR="00000000" w:rsidRPr="00000000">
        <w:rPr>
          <w:rFonts w:ascii="Times New Roman" w:cs="Times New Roman" w:eastAsia="Times New Roman" w:hAnsi="Times New Roman"/>
          <w:i w:val="1"/>
          <w:smallCaps w:val="0"/>
          <w:strike w:val="0"/>
          <w:color w:val="000000"/>
          <w:sz w:val="22"/>
          <w:szCs w:val="22"/>
          <w:u w:val="none"/>
          <w:shd w:fill="auto" w:val="clear"/>
          <w:vertAlign w:val="baseline"/>
          <w:rtl w:val="0"/>
        </w:rPr>
        <w:t xml:space="preserve">a priori</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criteria for assessment are required, preferably with a decision tree to ensure transparency and consistency between inspectors.</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Provide damage inspectors with thorough training in these procedures as well as in applicable health and safety precautions such as the proper use of personal protection equipment (PPE) when in contact with carcasses in order to prevent the spread of zoonoses.</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Supplement on-site verification of damage with forensic DNA analysis.</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Ensure that the calculation of payments is fair and transparent.</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Monitor compensation costs and conduct periodic assessments of the functioning and cost-effectiveness of the scheme.</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64" w:lineRule="auto"/>
        <w:ind w:left="74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Make data on livestock damage and compensation payments publicly available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19"/>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pStyle w:val="Heading1"/>
        <w:rPr>
          <w:rFonts w:ascii="Times New Roman" w:cs="Times New Roman" w:eastAsia="Times New Roman" w:hAnsi="Times New Roman"/>
        </w:rPr>
      </w:pPr>
      <w:bookmarkStart w:colFirst="0" w:colLast="0" w:name="_gjdgxs" w:id="1"/>
      <w:bookmarkEnd w:id="1"/>
      <w:r w:rsidDel="00000000" w:rsidR="00000000" w:rsidRPr="00000000">
        <w:rPr>
          <w:rFonts w:ascii="Times New Roman" w:cs="Times New Roman" w:eastAsia="Times New Roman" w:hAnsi="Times New Roman"/>
          <w:rtl w:val="0"/>
        </w:rPr>
        <w:t xml:space="preserve">Case study: Italy</w:t>
      </w:r>
    </w:p>
    <w:p w:rsidR="00000000" w:rsidDel="00000000" w:rsidP="00000000" w:rsidRDefault="00000000" w:rsidRPr="00000000" w14:paraId="0000002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of the LIFE WolfNet project in improving an existing but contested damage compensation scheme has been identified as exemplary by the LIFE EuroLargeCarnivores project. It is recommended here as a model which can be adapted to the respective conditions and socio-economic contexts elsewhere. Implementation of similar programmes in other countries and regions probably requires financial, regulatory and professional support (see </w:t>
      </w:r>
      <w:r w:rsidDel="00000000" w:rsidR="00000000" w:rsidRPr="00000000">
        <w:rPr>
          <w:rFonts w:ascii="Times New Roman" w:cs="Times New Roman" w:eastAsia="Times New Roman" w:hAnsi="Times New Roman"/>
          <w:highlight w:val="yellow"/>
          <w:rtl w:val="0"/>
        </w:rPr>
        <w:t xml:space="preserve">Examples for the use of EU support for damage prevention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 WolfNet project (LIFE08 NAT/IT/000325) was a joint project between a number of public entities – nature reserves, national and regional parks and provincial governments – aiming to establish better wolf management in the Apennines. Prior to the project, which ran </w:t>
      </w:r>
      <w:r w:rsidDel="00000000" w:rsidR="00000000" w:rsidRPr="00000000">
        <w:rPr>
          <w:rtl w:val="0"/>
        </w:rPr>
        <w:t xml:space="preserve">from</w:t>
      </w:r>
      <w:r w:rsidDel="00000000" w:rsidR="00000000" w:rsidRPr="00000000">
        <w:rPr>
          <w:rFonts w:ascii="Times New Roman" w:cs="Times New Roman" w:eastAsia="Times New Roman" w:hAnsi="Times New Roman"/>
          <w:rtl w:val="0"/>
        </w:rPr>
        <w:t xml:space="preserve"> 2010</w:t>
      </w:r>
      <w:r w:rsidDel="00000000" w:rsidR="00000000" w:rsidRPr="00000000">
        <w:rPr>
          <w:rtl w:val="0"/>
        </w:rPr>
        <w:t xml:space="preserve"> to </w:t>
      </w:r>
      <w:r w:rsidDel="00000000" w:rsidR="00000000" w:rsidRPr="00000000">
        <w:rPr>
          <w:rFonts w:ascii="Times New Roman" w:cs="Times New Roman" w:eastAsia="Times New Roman" w:hAnsi="Times New Roman"/>
          <w:rtl w:val="0"/>
        </w:rPr>
        <w:t xml:space="preserve">2013, a coordinated and agreed way of assessing damages to livestock caused by wolves was lacking. Different bodies were responsible in different locations. Procedures were neither standardised nor accurate, they were too complex and expensive for farmers concerned and were inadequate in economic terms. These deficiencies often resulted in farmers either giving up on claiming for damages or trying to get around the system.</w:t>
      </w:r>
    </w:p>
    <w:p w:rsidR="00000000" w:rsidDel="00000000" w:rsidP="00000000" w:rsidRDefault="00000000" w:rsidRPr="00000000" w14:paraId="0000002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LIFE WolfNet was to develop and apply a co-ordinated programme of sustainable conservation measures to protect and manage wolves in the Apennines area. This involved working with local stakeholders to help reduce negative perceptions and direct persecution of wolves. Actions included introducing a standardised damage-compensation-prevention-mitigation assessment system to address conflicts over wolf damage to livestock. </w:t>
      </w:r>
    </w:p>
    <w:p w:rsidR="00000000" w:rsidDel="00000000" w:rsidP="00000000" w:rsidRDefault="00000000" w:rsidRPr="00000000" w14:paraId="0000002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created an institutional network to unify decision-making procedures. Assessment of livestock damage was standardised and clearer compensation mechanisms were adopted. In addition, prevention measures to reduce the impact of wolves on livestock breeding were developed and implemented. Through these means, greater acceptance of the wolf in the area was achieved as well as a better understanding of the scale of damage caused by wolves and how to reduce it.</w:t>
      </w:r>
    </w:p>
    <w:p w:rsidR="00000000" w:rsidDel="00000000" w:rsidP="00000000" w:rsidRDefault="00000000" w:rsidRPr="00000000" w14:paraId="0000002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Contact:</w:t>
      </w:r>
      <w:r w:rsidDel="00000000" w:rsidR="00000000" w:rsidRPr="00000000">
        <w:rPr>
          <w:rFonts w:ascii="Times New Roman" w:cs="Times New Roman" w:eastAsia="Times New Roman" w:hAnsi="Times New Roman"/>
          <w:rtl w:val="0"/>
        </w:rPr>
        <w:t xml:space="preserve"> Simone Angelucci (Majella National Park, Italy) - </w:t>
      </w:r>
      <w:hyperlink r:id="rId7">
        <w:r w:rsidDel="00000000" w:rsidR="00000000" w:rsidRPr="00000000">
          <w:rPr>
            <w:rFonts w:ascii="Times New Roman" w:cs="Times New Roman" w:eastAsia="Times New Roman" w:hAnsi="Times New Roman"/>
            <w:color w:val="0563c1"/>
            <w:u w:val="single"/>
            <w:rtl w:val="0"/>
          </w:rPr>
          <w:t xml:space="preserve">simone.angelucci@parcomajella.it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Further information:</w:t>
      </w:r>
      <w:r w:rsidDel="00000000" w:rsidR="00000000" w:rsidRPr="00000000">
        <w:rPr>
          <w:rFonts w:ascii="Times New Roman" w:cs="Times New Roman" w:eastAsia="Times New Roman" w:hAnsi="Times New Roman"/>
          <w:rtl w:val="0"/>
        </w:rPr>
        <w:t xml:space="preserve"> See the project website: </w:t>
      </w:r>
      <w:hyperlink r:id="rId8">
        <w:r w:rsidDel="00000000" w:rsidR="00000000" w:rsidRPr="00000000">
          <w:rPr>
            <w:rFonts w:ascii="Times New Roman" w:cs="Times New Roman" w:eastAsia="Times New Roman" w:hAnsi="Times New Roman"/>
            <w:color w:val="0563c1"/>
            <w:u w:val="single"/>
            <w:rtl w:val="0"/>
          </w:rPr>
          <w:t xml:space="preserve">http://www.lifewolf.net</w:t>
        </w:r>
      </w:hyperlink>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Guidance, policy documents and links</w:t>
      </w:r>
    </w:p>
    <w:p w:rsidR="00000000" w:rsidDel="00000000" w:rsidP="00000000" w:rsidRDefault="00000000" w:rsidRPr="00000000" w14:paraId="00000030">
      <w:pPr>
        <w:spacing w:after="12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563c1"/>
            <w:u w:val="single"/>
            <w:rtl w:val="0"/>
          </w:rPr>
          <w:t xml:space="preserve">A </w:t>
        </w:r>
      </w:hyperlink>
      <w:hyperlink r:id="rId10">
        <w:r w:rsidDel="00000000" w:rsidR="00000000" w:rsidRPr="00000000">
          <w:rPr>
            <w:rFonts w:ascii="Times New Roman" w:cs="Times New Roman" w:eastAsia="Times New Roman" w:hAnsi="Times New Roman"/>
            <w:color w:val="0563c1"/>
            <w:u w:val="single"/>
            <w:rtl w:val="0"/>
          </w:rPr>
          <w:t xml:space="preserve">fieldguide</w:t>
        </w:r>
      </w:hyperlink>
      <w:hyperlink r:id="rId11">
        <w:r w:rsidDel="00000000" w:rsidR="00000000" w:rsidRPr="00000000">
          <w:rPr>
            <w:rFonts w:ascii="Times New Roman" w:cs="Times New Roman" w:eastAsia="Times New Roman" w:hAnsi="Times New Roman"/>
            <w:color w:val="0563c1"/>
            <w:u w:val="single"/>
            <w:rtl w:val="0"/>
          </w:rPr>
          <w:t xml:space="preserve"> for investigating damages caused by carnivores: brown bear, grey wolf, golden jackal, red fox, Eurasian lynx</w:t>
        </w:r>
      </w:hyperlink>
      <w:r w:rsidDel="00000000" w:rsidR="00000000" w:rsidRPr="00000000">
        <w:rPr>
          <w:rFonts w:ascii="Times New Roman" w:cs="Times New Roman" w:eastAsia="Times New Roman" w:hAnsi="Times New Roman"/>
          <w:rtl w:val="0"/>
        </w:rPr>
        <w:t xml:space="preserve"> (Slovenia Forest Service, 2019).</w:t>
      </w:r>
    </w:p>
    <w:p w:rsidR="00000000" w:rsidDel="00000000" w:rsidP="00000000" w:rsidRDefault="00000000" w:rsidRPr="00000000" w14:paraId="00000031">
      <w:pPr>
        <w:spacing w:after="12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563c1"/>
            <w:u w:val="single"/>
            <w:rtl w:val="0"/>
          </w:rPr>
          <w:t xml:space="preserve">The revival of wolves and other large predators and its impact on farmers and their livelihood in rural regions of Europe</w:t>
        </w:r>
      </w:hyperlink>
      <w:r w:rsidDel="00000000" w:rsidR="00000000" w:rsidRPr="00000000">
        <w:rPr>
          <w:rFonts w:ascii="Times New Roman" w:cs="Times New Roman" w:eastAsia="Times New Roman" w:hAnsi="Times New Roman"/>
          <w:rtl w:val="0"/>
        </w:rPr>
        <w:t xml:space="preserve"> (Research for AGRI Committee – European Parliament, Policy Department for Structural and Cohesion Policies, 2018).</w:t>
      </w:r>
    </w:p>
    <w:p w:rsidR="00000000" w:rsidDel="00000000" w:rsidP="00000000" w:rsidRDefault="00000000" w:rsidRPr="00000000" w14:paraId="00000032">
      <w:pPr>
        <w:spacing w:after="12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563c1"/>
            <w:u w:val="single"/>
            <w:rtl w:val="0"/>
          </w:rPr>
          <w:t xml:space="preserve">A guidebook to human-carnivore conflict: strategies and tips for effective communication and collaboration with communities</w:t>
        </w:r>
      </w:hyperlink>
      <w:r w:rsidDel="00000000" w:rsidR="00000000" w:rsidRPr="00000000">
        <w:rPr>
          <w:rFonts w:ascii="Times New Roman" w:cs="Times New Roman" w:eastAsia="Times New Roman" w:hAnsi="Times New Roman"/>
          <w:rtl w:val="0"/>
        </w:rPr>
        <w:t xml:space="preserve"> (Slovenia Forest Service, 2016).</w:t>
      </w:r>
    </w:p>
    <w:p w:rsidR="00000000" w:rsidDel="00000000" w:rsidP="00000000" w:rsidRDefault="00000000" w:rsidRPr="00000000" w14:paraId="00000033">
      <w:pPr>
        <w:spacing w:after="12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563c1"/>
            <w:u w:val="single"/>
            <w:rtl w:val="0"/>
          </w:rPr>
          <w:t xml:space="preserve">Key actions for large carnivore populations in Europe</w:t>
        </w:r>
      </w:hyperlink>
      <w:r w:rsidDel="00000000" w:rsidR="00000000" w:rsidRPr="00000000">
        <w:rPr>
          <w:rFonts w:ascii="Times New Roman" w:cs="Times New Roman" w:eastAsia="Times New Roman" w:hAnsi="Times New Roman"/>
          <w:rtl w:val="0"/>
        </w:rPr>
        <w:t xml:space="preserve"> (Report to DG Environment, European Commission, 2015).</w:t>
      </w:r>
    </w:p>
    <w:p w:rsidR="00000000" w:rsidDel="00000000" w:rsidP="00000000" w:rsidRDefault="00000000" w:rsidRPr="00000000" w14:paraId="0000003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Open-access papers</w:t>
      </w:r>
    </w:p>
    <w:p w:rsidR="00000000" w:rsidDel="00000000" w:rsidP="00000000" w:rsidRDefault="00000000" w:rsidRPr="00000000" w14:paraId="00000035">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Bautista C, et al. (2017). Patterns and correlates of claims for brown bear damage on a continental scale. Journal of Applied Ecology 54: 282-292. </w:t>
      </w:r>
      <w:hyperlink r:id="rId15">
        <w:r w:rsidDel="00000000" w:rsidR="00000000" w:rsidRPr="00000000">
          <w:rPr>
            <w:rFonts w:ascii="Times New Roman" w:cs="Times New Roman" w:eastAsia="Times New Roman" w:hAnsi="Times New Roman"/>
            <w:color w:val="0563c1"/>
            <w:u w:val="single"/>
            <w:rtl w:val="0"/>
          </w:rPr>
          <w:t xml:space="preserve">https://doi.org/10.1111/1365-2664.12708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Dickman AJ, et al. (2011). A review of financial instruments to pay for predator conservation and encourage human–carnivore coexistence. Proceedings of the National Academy of Sciences 108(34) 13937-13944. </w:t>
      </w:r>
      <w:hyperlink r:id="rId16">
        <w:r w:rsidDel="00000000" w:rsidR="00000000" w:rsidRPr="00000000">
          <w:rPr>
            <w:rFonts w:ascii="Times New Roman" w:cs="Times New Roman" w:eastAsia="Times New Roman" w:hAnsi="Times New Roman"/>
            <w:color w:val="0563c1"/>
            <w:u w:val="single"/>
            <w:rtl w:val="0"/>
          </w:rPr>
          <w:t xml:space="preserve">https://doi.org/10.1073/pnas.1012972108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Fourli M (1999). Compensation for damage caused by bears and wolves in the European Union. DG XI “Environment, Nuclear Safety and Civil Protection” of the EC. </w:t>
      </w:r>
      <w:hyperlink r:id="rId17">
        <w:r w:rsidDel="00000000" w:rsidR="00000000" w:rsidRPr="00000000">
          <w:rPr>
            <w:rFonts w:ascii="Times New Roman" w:cs="Times New Roman" w:eastAsia="Times New Roman" w:hAnsi="Times New Roman"/>
            <w:color w:val="0563c1"/>
            <w:u w:val="single"/>
            <w:rtl w:val="0"/>
          </w:rPr>
          <w:t xml:space="preserve">https://ec.europa.eu/environment/nature/info/pubs/docs/life/damage_bears_wolves.pdf</w:t>
        </w:r>
      </w:hyperlink>
      <w:r w:rsidDel="00000000" w:rsidR="00000000" w:rsidRPr="00000000">
        <w:rPr>
          <w:rtl w:val="0"/>
        </w:rPr>
      </w:r>
    </w:p>
    <w:p w:rsidR="00000000" w:rsidDel="00000000" w:rsidP="00000000" w:rsidRDefault="00000000" w:rsidRPr="00000000" w14:paraId="00000038">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Gervasi V, et al. (2021). Ecological correlates of large carnivore depredation on sheep in Europe. Global Ecology and Conservation 30: e01798. </w:t>
      </w:r>
      <w:hyperlink r:id="rId18">
        <w:r w:rsidDel="00000000" w:rsidR="00000000" w:rsidRPr="00000000">
          <w:rPr>
            <w:rFonts w:ascii="Times New Roman" w:cs="Times New Roman" w:eastAsia="Times New Roman" w:hAnsi="Times New Roman"/>
            <w:color w:val="0563c1"/>
            <w:u w:val="single"/>
            <w:rtl w:val="0"/>
          </w:rPr>
          <w:t xml:space="preserve">https://doi.org/10.1016/j.gecco.2021.e01798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Grossman C, et al. (2019). Stakeholder analysis. Final report. LIFE EuroLargeCarnivores project. Forest Research Institute Baden-Wuerttemberg, Germany. </w:t>
      </w:r>
      <w:hyperlink r:id="rId19">
        <w:r w:rsidDel="00000000" w:rsidR="00000000" w:rsidRPr="00000000">
          <w:rPr>
            <w:rFonts w:ascii="Times New Roman" w:cs="Times New Roman" w:eastAsia="Times New Roman" w:hAnsi="Times New Roman"/>
            <w:color w:val="0563c1"/>
            <w:u w:val="single"/>
            <w:rtl w:val="0"/>
          </w:rPr>
          <w:t xml:space="preserve">https://drive.google.com/file/d/1nflNbbH-QAOseEadzSpjzI3vsBPalB_4/view</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Karlsson J and Sjöström M (2011). </w:t>
      </w:r>
      <w:r w:rsidDel="00000000" w:rsidR="00000000" w:rsidRPr="00000000">
        <w:rPr>
          <w:rFonts w:ascii="Times New Roman" w:cs="Times New Roman" w:eastAsia="Times New Roman" w:hAnsi="Times New Roman"/>
          <w:rtl w:val="0"/>
        </w:rPr>
        <w:t xml:space="preserve">Subsidized</w:t>
      </w:r>
      <w:r w:rsidDel="00000000" w:rsidR="00000000" w:rsidRPr="00000000">
        <w:rPr>
          <w:rFonts w:ascii="Times New Roman" w:cs="Times New Roman" w:eastAsia="Times New Roman" w:hAnsi="Times New Roman"/>
          <w:rtl w:val="0"/>
        </w:rPr>
        <w:t xml:space="preserve"> fencing of livestock as a means of increasing tolerance for wolves. Ecology and Society 16(1): 16. </w:t>
      </w:r>
      <w:hyperlink r:id="rId20">
        <w:r w:rsidDel="00000000" w:rsidR="00000000" w:rsidRPr="00000000">
          <w:rPr>
            <w:rFonts w:ascii="Times New Roman" w:cs="Times New Roman" w:eastAsia="Times New Roman" w:hAnsi="Times New Roman"/>
            <w:color w:val="0563c1"/>
            <w:u w:val="single"/>
            <w:rtl w:val="0"/>
          </w:rPr>
          <w:t xml:space="preserve">http://www.ecologyandsociety.org/vol16/iss1/art16/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Klenzendorf S, et al. (2019). European perspectives on coexistence with large carnivores. A summary of regional stakeholder perspectives on managing conflicts related to large carnivores: Challenges and solutions. WWF Deutschland, Berlin. </w:t>
      </w:r>
      <w:hyperlink r:id="rId21">
        <w:r w:rsidDel="00000000" w:rsidR="00000000" w:rsidRPr="00000000">
          <w:rPr>
            <w:rFonts w:ascii="Times New Roman" w:cs="Times New Roman" w:eastAsia="Times New Roman" w:hAnsi="Times New Roman"/>
            <w:color w:val="0563c1"/>
            <w:u w:val="single"/>
            <w:rtl w:val="0"/>
          </w:rPr>
          <w:t xml:space="preserve">https://drive.google.com/file/d/1gSENlBf5_caHDDJUZR3fwWS-0XumTj6T/view</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spacing w:after="120" w:lineRule="auto"/>
        <w:ind w:left="284" w:hanging="284"/>
        <w:rPr>
          <w:rFonts w:ascii="Times New Roman" w:cs="Times New Roman" w:eastAsia="Times New Roman" w:hAnsi="Times New Roman"/>
        </w:rPr>
      </w:pPr>
      <w:bookmarkStart w:colFirst="0" w:colLast="0" w:name="_30j0zll" w:id="2"/>
      <w:bookmarkEnd w:id="2"/>
      <w:r w:rsidDel="00000000" w:rsidR="00000000" w:rsidRPr="00000000">
        <w:rPr>
          <w:rFonts w:ascii="Times New Roman" w:cs="Times New Roman" w:eastAsia="Times New Roman" w:hAnsi="Times New Roman"/>
          <w:rtl w:val="0"/>
        </w:rPr>
        <w:t xml:space="preserve">Marino F, et al. (2021). Understanding drivers of human tolerance to </w:t>
      </w:r>
      <w:r w:rsidDel="00000000" w:rsidR="00000000" w:rsidRPr="00000000">
        <w:rPr>
          <w:rFonts w:ascii="Times New Roman" w:cs="Times New Roman" w:eastAsia="Times New Roman" w:hAnsi="Times New Roman"/>
          <w:rtl w:val="0"/>
        </w:rPr>
        <w:t xml:space="preserve">gray</w:t>
      </w:r>
      <w:r w:rsidDel="00000000" w:rsidR="00000000" w:rsidRPr="00000000">
        <w:rPr>
          <w:rFonts w:ascii="Times New Roman" w:cs="Times New Roman" w:eastAsia="Times New Roman" w:hAnsi="Times New Roman"/>
          <w:rtl w:val="0"/>
        </w:rPr>
        <w:t xml:space="preserve"> wolves and brown bears as a strategy to improve landholder–carnivore coexistence. Conservation Science and Practice 3(3): e265. </w:t>
      </w:r>
      <w:hyperlink r:id="rId22">
        <w:r w:rsidDel="00000000" w:rsidR="00000000" w:rsidRPr="00000000">
          <w:rPr>
            <w:rFonts w:ascii="Times New Roman" w:cs="Times New Roman" w:eastAsia="Times New Roman" w:hAnsi="Times New Roman"/>
            <w:color w:val="0563c1"/>
            <w:u w:val="single"/>
            <w:rtl w:val="0"/>
          </w:rPr>
          <w:t xml:space="preserve">https://doi.org/10.1111/csp2.265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Montag J. (2003). Compensation and predator conservation: limitations of compensation. Carnivore Damage Prevention News 6: 2</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6. </w:t>
      </w:r>
      <w:hyperlink r:id="rId23">
        <w:r w:rsidDel="00000000" w:rsidR="00000000" w:rsidRPr="00000000">
          <w:rPr>
            <w:rFonts w:ascii="Times New Roman" w:cs="Times New Roman" w:eastAsia="Times New Roman" w:hAnsi="Times New Roman"/>
            <w:color w:val="0563c1"/>
            <w:u w:val="single"/>
            <w:rtl w:val="0"/>
          </w:rPr>
          <w:t xml:space="preserve">https://www.protectiondestroupeaux.ch/‌fileadmin/doc/International/CDP_and_General_Infos/CDPNews6_February_2003.pdf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Redpath SM, et al. (2013). Understanding and managing conservation conflicts. Trends in Ecology &amp; Evolution 28(2): 100</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109. </w:t>
      </w:r>
      <w:hyperlink r:id="rId24">
        <w:r w:rsidDel="00000000" w:rsidR="00000000" w:rsidRPr="00000000">
          <w:rPr>
            <w:rFonts w:ascii="Times New Roman" w:cs="Times New Roman" w:eastAsia="Times New Roman" w:hAnsi="Times New Roman"/>
            <w:color w:val="0563c1"/>
            <w:u w:val="single"/>
            <w:rtl w:val="0"/>
          </w:rPr>
          <w:t xml:space="preserve">https://doi.org/10.1016/j.tree.2012.08.021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Redpath SM, et al. (2015). Tilting at wildlife: Reconsidering human–wildlife conflict. Oryx 49(2): 222</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225. </w:t>
      </w:r>
      <w:hyperlink r:id="rId25">
        <w:r w:rsidDel="00000000" w:rsidR="00000000" w:rsidRPr="00000000">
          <w:rPr>
            <w:rFonts w:ascii="Times New Roman" w:cs="Times New Roman" w:eastAsia="Times New Roman" w:hAnsi="Times New Roman"/>
            <w:color w:val="0563c1"/>
            <w:u w:val="single"/>
            <w:rtl w:val="0"/>
          </w:rPr>
          <w:t xml:space="preserve">https://doi.org/10.1017/S0030605314000799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Rigg R, et al. (2011). Mitigating carnivore–livestock conflict in Europe: Lessons from Slovakia. Oryx 45(2): 272</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280. </w:t>
      </w:r>
      <w:hyperlink r:id="rId26">
        <w:r w:rsidDel="00000000" w:rsidR="00000000" w:rsidRPr="00000000">
          <w:rPr>
            <w:rFonts w:ascii="Times New Roman" w:cs="Times New Roman" w:eastAsia="Times New Roman" w:hAnsi="Times New Roman"/>
            <w:color w:val="0563c1"/>
            <w:u w:val="single"/>
            <w:rtl w:val="0"/>
          </w:rPr>
          <w:t xml:space="preserve">https://doi.org/10.1017/S0030605310000074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Rode J, et al. (2021). Why so negative? Exploring the socio-economic impacts of large carnivores from a European perspective. Biological Conservation 255: 108918. </w:t>
      </w:r>
      <w:hyperlink r:id="rId27">
        <w:r w:rsidDel="00000000" w:rsidR="00000000" w:rsidRPr="00000000">
          <w:rPr>
            <w:rFonts w:ascii="Times New Roman" w:cs="Times New Roman" w:eastAsia="Times New Roman" w:hAnsi="Times New Roman"/>
            <w:color w:val="0563c1"/>
            <w:u w:val="single"/>
            <w:rtl w:val="0"/>
          </w:rPr>
          <w:t xml:space="preserve">https://doi.org/10.1016/j.biocon.2020.108918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Salvatori V, et al. (2020). Applying participatory processes to address conflicts over the conservation of large carnivores: understanding conditions for successful management. Frontiers in Ecology and Evolution 8: 182. </w:t>
      </w:r>
      <w:hyperlink r:id="rId28">
        <w:r w:rsidDel="00000000" w:rsidR="00000000" w:rsidRPr="00000000">
          <w:rPr>
            <w:rFonts w:ascii="Times New Roman" w:cs="Times New Roman" w:eastAsia="Times New Roman" w:hAnsi="Times New Roman"/>
            <w:color w:val="0563c1"/>
            <w:u w:val="single"/>
            <w:rtl w:val="0"/>
          </w:rPr>
          <w:t xml:space="preserve">https://doi.org/10.3389/fevo.2020.00182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Salvatori V, et al. (2021). Are large carnivores the real issue? Solutions for improving conflict management through stakeholder participation. Sustainability 13(8): 4482. </w:t>
      </w:r>
      <w:hyperlink r:id="rId29">
        <w:r w:rsidDel="00000000" w:rsidR="00000000" w:rsidRPr="00000000">
          <w:rPr>
            <w:rFonts w:ascii="Times New Roman" w:cs="Times New Roman" w:eastAsia="Times New Roman" w:hAnsi="Times New Roman"/>
            <w:color w:val="0563c1"/>
            <w:u w:val="single"/>
            <w:rtl w:val="0"/>
          </w:rPr>
          <w:t xml:space="preserve">https://doi.org/10.3390/su13084482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Schwerdtner K and Gruber B (2007). A conceptual framework for damage compensation schemes. Biological Conservation 134(3): 354</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360. </w:t>
      </w:r>
      <w:hyperlink r:id="rId30">
        <w:r w:rsidDel="00000000" w:rsidR="00000000" w:rsidRPr="00000000">
          <w:rPr>
            <w:rFonts w:ascii="Times New Roman" w:cs="Times New Roman" w:eastAsia="Times New Roman" w:hAnsi="Times New Roman"/>
            <w:color w:val="0563c1"/>
            <w:u w:val="single"/>
            <w:rtl w:val="0"/>
          </w:rPr>
          <w:t xml:space="preserve">https://doi.org/10.1016/j.biocon.2006.08.010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Wilson-Holt O and Steele P (2019). Human–wildlife conflict and insurance. Can insurance reduce the costs of living with wildlife? IIED Discussion Paper. IIED, London. </w:t>
      </w:r>
      <w:hyperlink r:id="rId31">
        <w:r w:rsidDel="00000000" w:rsidR="00000000" w:rsidRPr="00000000">
          <w:rPr>
            <w:rFonts w:ascii="Times New Roman" w:cs="Times New Roman" w:eastAsia="Times New Roman" w:hAnsi="Times New Roman"/>
            <w:color w:val="0563c1"/>
            <w:u w:val="single"/>
            <w:rtl w:val="0"/>
          </w:rPr>
          <w:t xml:space="preserve">http://pubs.iied.org/16648IIED</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Websites with additional resources</w:t>
      </w:r>
    </w:p>
    <w:p w:rsidR="00000000" w:rsidDel="00000000" w:rsidP="00000000" w:rsidRDefault="00000000" w:rsidRPr="00000000" w14:paraId="00000047">
      <w:pPr>
        <w:spacing w:after="12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Carnivore Damage Prevention News: </w:t>
      </w:r>
      <w:hyperlink r:id="rId32">
        <w:r w:rsidDel="00000000" w:rsidR="00000000" w:rsidRPr="00000000">
          <w:rPr>
            <w:rFonts w:ascii="Times New Roman" w:cs="Times New Roman" w:eastAsia="Times New Roman" w:hAnsi="Times New Roman"/>
            <w:color w:val="0563c1"/>
            <w:u w:val="single"/>
            <w:rtl w:val="0"/>
          </w:rPr>
          <w:t xml:space="preserve">http://www.cdpnews.net</w:t>
        </w:r>
      </w:hyperlink>
      <w:r w:rsidDel="00000000" w:rsidR="00000000" w:rsidRPr="00000000">
        <w:rPr>
          <w:rtl w:val="0"/>
        </w:rPr>
      </w:r>
    </w:p>
    <w:p w:rsidR="00000000" w:rsidDel="00000000" w:rsidP="00000000" w:rsidRDefault="00000000" w:rsidRPr="00000000" w14:paraId="00000048">
      <w:pPr>
        <w:tabs>
          <w:tab w:val="left" w:leader="none" w:pos="4111"/>
        </w:tabs>
        <w:rPr>
          <w:rFonts w:ascii="Times New Roman" w:cs="Times New Roman" w:eastAsia="Times New Roman" w:hAnsi="Times New Roman"/>
        </w:rPr>
      </w:pPr>
      <w:bookmarkStart w:colFirst="0" w:colLast="0" w:name="_1fob9te" w:id="3"/>
      <w:bookmarkEnd w:id="3"/>
      <w:r w:rsidDel="00000000" w:rsidR="00000000" w:rsidRPr="00000000">
        <w:rPr>
          <w:rFonts w:ascii="Times New Roman" w:cs="Times New Roman" w:eastAsia="Times New Roman" w:hAnsi="Times New Roman"/>
          <w:rtl w:val="0"/>
        </w:rPr>
        <w:t xml:space="preserve">EU Large Carnivore Platform Case Study Selection:</w:t>
        <w:br w:type="textWrapping"/>
      </w:r>
      <w:hyperlink r:id="rId33">
        <w:r w:rsidDel="00000000" w:rsidR="00000000" w:rsidRPr="00000000">
          <w:rPr>
            <w:rFonts w:ascii="Times New Roman" w:cs="Times New Roman" w:eastAsia="Times New Roman" w:hAnsi="Times New Roman"/>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IUCN Human</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Wildlife Conflict Task Force: </w:t>
      </w:r>
      <w:hyperlink r:id="rId34">
        <w:r w:rsidDel="00000000" w:rsidR="00000000" w:rsidRPr="00000000">
          <w:rPr>
            <w:rFonts w:ascii="Times New Roman" w:cs="Times New Roman" w:eastAsia="Times New Roman" w:hAnsi="Times New Roman"/>
            <w:color w:val="0563c1"/>
            <w:u w:val="single"/>
            <w:rtl w:val="0"/>
          </w:rPr>
          <w:t xml:space="preserve">https://www.hwctf.org/compensation</w:t>
        </w:r>
      </w:hyperlink>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 Centre for Agricultural Advisory and Extension Services webpage on livestock protection: </w:t>
      </w:r>
      <w:hyperlink r:id="rId35">
        <w:r w:rsidDel="00000000" w:rsidR="00000000" w:rsidRPr="00000000">
          <w:rPr>
            <w:rFonts w:ascii="Times New Roman" w:cs="Times New Roman" w:eastAsia="Times New Roman" w:hAnsi="Times New Roman"/>
            <w:color w:val="0563c1"/>
            <w:u w:val="single"/>
            <w:rtl w:val="0"/>
          </w:rPr>
          <w:t xml:space="preserve">https://www.protectiondestroupeaux.ch</w:t>
        </w:r>
      </w:hyperlink>
      <w:r w:rsidDel="00000000" w:rsidR="00000000" w:rsidRPr="00000000">
        <w:rPr>
          <w:rFonts w:ascii="Times New Roman" w:cs="Times New Roman" w:eastAsia="Times New Roman" w:hAnsi="Times New Roman"/>
          <w:rtl w:val="0"/>
        </w:rPr>
        <w:t xml:space="preserve"> </w:t>
      </w:r>
    </w:p>
    <w:sectPr>
      <w:footerReference r:id="rId3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https://dinalpbear.eu/wp-content/uploads/GIDC_ENG_v34_web.pdf</w:t>
        </w:r>
      </w:hyperlink>
      <w:r w:rsidDel="00000000" w:rsidR="00000000" w:rsidRPr="00000000">
        <w:rPr>
          <w:rtl w:val="0"/>
        </w:rPr>
      </w:r>
    </w:p>
  </w:footnote>
  <w:footnote w:id="1">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https://www.hwctf.org/about</w:t>
        </w:r>
      </w:hyperlink>
      <w:r w:rsidDel="00000000" w:rsidR="00000000" w:rsidRPr="00000000">
        <w:rPr>
          <w:rtl w:val="0"/>
        </w:rPr>
      </w:r>
    </w:p>
  </w:footnote>
  <w:footnote w:id="2">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Mertens A and Promberger C (2001). Economic aspects of large carnivore-livestock conflicts in Romania. Ursus 12: 173</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180.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http://www.jstor.org/stable/3873246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3">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https://ec.europa.eu/environment/nature/conservation/species/carnivores/pdf/Briefing%20note%20state%‌20aid_EU%20Platform.pdf</w:t>
        </w:r>
      </w:hyperlink>
      <w:r w:rsidDel="00000000" w:rsidR="00000000" w:rsidRPr="00000000">
        <w:rPr>
          <w:rtl w:val="0"/>
        </w:rPr>
      </w:r>
    </w:p>
  </w:footnote>
  <w:footnote w:id="4">
    <w:p w:rsidR="00000000" w:rsidDel="00000000" w:rsidP="00000000" w:rsidRDefault="00000000" w:rsidRPr="00000000" w14:paraId="0000004F">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López-Bao JV, et al. (2017). Building public trust in compensation programs through accuracy assessments of damage verification protocols. Biological Conservation 213(A): 36</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41. </w:t>
      </w:r>
      <w:hyperlink r:id="rId5">
        <w:r w:rsidDel="00000000" w:rsidR="00000000" w:rsidRPr="00000000">
          <w:rPr>
            <w:rFonts w:ascii="Times New Roman" w:cs="Times New Roman" w:eastAsia="Times New Roman" w:hAnsi="Times New Roman"/>
            <w:color w:val="0563c1"/>
            <w:sz w:val="20"/>
            <w:szCs w:val="20"/>
            <w:u w:val="single"/>
            <w:rtl w:val="0"/>
          </w:rPr>
          <w:t xml:space="preserve">https://doi.org/10.1016/j.biocon.2017.06.033</w:t>
        </w:r>
      </w:hyperlink>
      <w:r w:rsidDel="00000000" w:rsidR="00000000" w:rsidRPr="00000000">
        <w:rPr>
          <w:rFonts w:ascii="Times New Roman" w:cs="Times New Roman" w:eastAsia="Times New Roman" w:hAnsi="Times New Roman"/>
          <w:sz w:val="20"/>
          <w:szCs w:val="20"/>
          <w:rtl w:val="0"/>
        </w:rPr>
        <w:t xml:space="preserve">.</w:t>
      </w:r>
    </w:p>
  </w:footnote>
  <w:footnote w:id="5">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https://eur-lex.europa.eu/legal-content/EN/TXT/?uri=uriserv:OJ.C_.2014.204.01.0001.01.ENG&amp;toc=OJ:C:2014:204:TOC</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6">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example: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https://dinalpbear.eu/wp-content/uploads/GIDC_ENG_v34_web.pdf</w:t>
        </w:r>
      </w:hyperlink>
      <w:r w:rsidDel="00000000" w:rsidR="00000000" w:rsidRPr="00000000">
        <w:rPr>
          <w:rtl w:val="0"/>
        </w:rPr>
      </w:r>
    </w:p>
  </w:footnote>
  <w:footnote w:id="7">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Peelle LE, et al. (2019). Identifying predators from saliva at kill sites with limited remains. Wildlife Society Bulletin 43(3): 546</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557.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https://doi.org/10.1002/wsb.992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Plumer L, et al. (2018). Assessing the roles of wolves and dogs in livestock predation with suggestions for mitigating human–wildlife conflict and conservation of wolves. Conservation Genetics 19: 665–672.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https://doi.org/10.1007/s10592-017-1045-4</w:t>
        </w:r>
      </w:hyperlink>
      <w:r w:rsidDel="00000000" w:rsidR="00000000" w:rsidRPr="00000000">
        <w:rPr>
          <w:rtl w:val="0"/>
        </w:rPr>
      </w:r>
    </w:p>
  </w:footnote>
  <w:footnote w:id="9">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Linnell JDC and Cretois B (2018). Research for AGRI Committee – The revival of wolves and other large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predators and its impact on farmers and their livelihood in rural regions of Europe, European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Parliament, Policy Department for Structural and Cohesion Policies, Brussels. </w:t>
      </w: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https://www.europarl.europa.eu/RegData/etudes/STUD/2018/617488/IPOL_STU(2018)617488_EN.pdf</w:t>
        </w:r>
      </w:hyperlink>
      <w:r w:rsidDel="00000000" w:rsidR="00000000" w:rsidRPr="00000000">
        <w:rPr>
          <w:rtl w:val="0"/>
        </w:rPr>
      </w:r>
    </w:p>
  </w:footnote>
  <w:footnote w:id="10">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Bulte EH and Rondeau D (2005). Why compensating wildlife damages may be bad for conservation. Journal of Wildlife Management 69(1): 14</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 </w:t>
      </w:r>
      <w:hyperlink r:id="rId1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https://doi.org/10.2193/0022-541X(2005)069&lt;0014:WCWDMB&gt;2.0.CO;2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1">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Bautista C, et al. (2019). Large carnivore damage in Europe: Analysis of compensation and prevention programs. Biological Conservation 235: 308–316. </w:t>
      </w:r>
      <w:hyperlink r:id="rId1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https://doi.org/10.1016/j.biocon.2019.04.019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2">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Boitani L, et al. (2010). Ex-post compensation payments for wolf predation on livestock in Italy: a tool for conservation? Wildlife Research 37(8): 722</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730. </w:t>
      </w:r>
      <w:hyperlink r:id="rId1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https://doi.org/10.1071/WR10029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3">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Milheiras S and Hodge I (2011). Attitudes towards compensation for wolf damage to livestock in Viana do Castelo, North of Portugal, Innovation: The European Journal of Social Science Research 24(3): 333</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351. </w:t>
      </w:r>
      <w:hyperlink r:id="rId1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https://doi.org/10.1080/13511610.2011.592071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4">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Naughton-Treves L, et al. (2003). Paying for tolerance: rural citizens' attitudes toward wolf depredation and compensation. Conservation Biology 17(6): 1500</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1511. </w:t>
      </w:r>
      <w:hyperlink r:id="rId1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https://doi.org/10.1111/j.1523-1739.2003.00060.x</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5">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Ravenelle J and Nyhus PJ (2017). Global patterns and trends in human–wildlife conflict compensation. Conservation Biology 31(6): 1247</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1256. </w:t>
      </w:r>
      <w:hyperlink r:id="rId1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https://doi.org/10.1111/cobi.12948</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6">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https://www.rbpnetwork.eu/country-infos/sweden/conservation-performance-payments-51/</w:t>
        </w:r>
      </w:hyperlink>
      <w:r w:rsidDel="00000000" w:rsidR="00000000" w:rsidRPr="00000000">
        <w:rPr>
          <w:rtl w:val="0"/>
        </w:rPr>
      </w:r>
    </w:p>
  </w:footnote>
  <w:footnote w:id="17">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van Eeden LM, et al. (2021). Public willingness to pay for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wolf conservation that could support a rancher-led wolf-livestock coexistence program. Biological Conservation 260: 109226. </w:t>
      </w:r>
      <w:hyperlink r:id="rId1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https://doi.org/10.1016/j.biocon.2021.109226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8">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Marino A, et al. (2016). Ex post and insurance-based compensation fail to increase tolerance for wolves in semi-agricultural landscapes of central Italy. European Journal of Wildlife Research 62: 227</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240. </w:t>
      </w:r>
      <w:hyperlink r:id="rId1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https://doi.org/10.1007/s10344-016-1001-5</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9">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Beginning in 2019, the LIFE EuroLargeCarnivores project has collated records of individual incidents of wolf damage to livestock on the municipality level in 16 or more countries. The University of Fribourg took over this task in 2020 which will be continued for at least the next two years by the EU Large Carnivore Platform Secretariat. Data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collected and stored in a standardised form.</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4" w:hanging="359.99999999999994"/>
      </w:pPr>
      <w:rPr/>
    </w:lvl>
    <w:lvl w:ilvl="1">
      <w:start w:val="1"/>
      <w:numFmt w:val="lowerLetter"/>
      <w:lvlText w:val="%2."/>
      <w:lvlJc w:val="left"/>
      <w:pPr>
        <w:ind w:left="1464" w:hanging="360"/>
      </w:pPr>
      <w:rPr/>
    </w:lvl>
    <w:lvl w:ilvl="2">
      <w:start w:val="1"/>
      <w:numFmt w:val="lowerRoman"/>
      <w:lvlText w:val="%3."/>
      <w:lvlJc w:val="right"/>
      <w:pPr>
        <w:ind w:left="2184" w:hanging="180"/>
      </w:pPr>
      <w:rPr/>
    </w:lvl>
    <w:lvl w:ilvl="3">
      <w:start w:val="1"/>
      <w:numFmt w:val="decimal"/>
      <w:lvlText w:val="%4."/>
      <w:lvlJc w:val="left"/>
      <w:pPr>
        <w:ind w:left="2904" w:hanging="360"/>
      </w:pPr>
      <w:rPr/>
    </w:lvl>
    <w:lvl w:ilvl="4">
      <w:start w:val="1"/>
      <w:numFmt w:val="lowerLetter"/>
      <w:lvlText w:val="%5."/>
      <w:lvlJc w:val="left"/>
      <w:pPr>
        <w:ind w:left="3624" w:hanging="360"/>
      </w:pPr>
      <w:rPr/>
    </w:lvl>
    <w:lvl w:ilvl="5">
      <w:start w:val="1"/>
      <w:numFmt w:val="lowerRoman"/>
      <w:lvlText w:val="%6."/>
      <w:lvlJc w:val="right"/>
      <w:pPr>
        <w:ind w:left="4344" w:hanging="180"/>
      </w:pPr>
      <w:rPr/>
    </w:lvl>
    <w:lvl w:ilvl="6">
      <w:start w:val="1"/>
      <w:numFmt w:val="decimal"/>
      <w:lvlText w:val="%7."/>
      <w:lvlJc w:val="left"/>
      <w:pPr>
        <w:ind w:left="5064" w:hanging="360"/>
      </w:pPr>
      <w:rPr/>
    </w:lvl>
    <w:lvl w:ilvl="7">
      <w:start w:val="1"/>
      <w:numFmt w:val="lowerLetter"/>
      <w:lvlText w:val="%8."/>
      <w:lvlJc w:val="left"/>
      <w:pPr>
        <w:ind w:left="5784" w:hanging="360"/>
      </w:pPr>
      <w:rPr/>
    </w:lvl>
    <w:lvl w:ilvl="8">
      <w:start w:val="1"/>
      <w:numFmt w:val="lowerRoman"/>
      <w:lvlText w:val="%9."/>
      <w:lvlJc w:val="right"/>
      <w:pPr>
        <w:ind w:left="65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ecologyandsociety.org/vol16/iss1/art16/" TargetMode="External"/><Relationship Id="rId22" Type="http://schemas.openxmlformats.org/officeDocument/2006/relationships/hyperlink" Target="https://doi.org/10.1111/csp2.265" TargetMode="External"/><Relationship Id="rId21" Type="http://schemas.openxmlformats.org/officeDocument/2006/relationships/hyperlink" Target="https://drive.google.com/file/d/1gSENlBf5_caHDDJUZR3fwWS-0XumTj6T/view" TargetMode="External"/><Relationship Id="rId24" Type="http://schemas.openxmlformats.org/officeDocument/2006/relationships/hyperlink" Target="https://doi.org/10.1016/j.tree.2012.08.021" TargetMode="External"/><Relationship Id="rId23" Type="http://schemas.openxmlformats.org/officeDocument/2006/relationships/hyperlink" Target="https://www.protectiondestroupeaux.ch/fileadmin/doc/International/CDP_and_General_Infos/CDPNews6_February_200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inalpbear.eu/wp-content/uploads/GIDC_ENG_v34_web.pdf" TargetMode="External"/><Relationship Id="rId26" Type="http://schemas.openxmlformats.org/officeDocument/2006/relationships/hyperlink" Target="https://doi.org/10.1017/S0030605310000074" TargetMode="External"/><Relationship Id="rId25" Type="http://schemas.openxmlformats.org/officeDocument/2006/relationships/hyperlink" Target="https://doi.org/10.1017/S0030605314000799" TargetMode="External"/><Relationship Id="rId28" Type="http://schemas.openxmlformats.org/officeDocument/2006/relationships/hyperlink" Target="https://doi.org/10.3389/fevo.2020.00182" TargetMode="External"/><Relationship Id="rId27" Type="http://schemas.openxmlformats.org/officeDocument/2006/relationships/hyperlink" Target="https://doi.org/10.1016/j.biocon.2020.108918"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3390/su13084482" TargetMode="External"/><Relationship Id="rId7" Type="http://schemas.openxmlformats.org/officeDocument/2006/relationships/hyperlink" Target="mailto:simone.angelucci@parcomajella.it" TargetMode="External"/><Relationship Id="rId8" Type="http://schemas.openxmlformats.org/officeDocument/2006/relationships/hyperlink" Target="http://www.lifewolf.net" TargetMode="External"/><Relationship Id="rId31" Type="http://schemas.openxmlformats.org/officeDocument/2006/relationships/hyperlink" Target="http://pubs.iied.org/16648IIED" TargetMode="External"/><Relationship Id="rId30" Type="http://schemas.openxmlformats.org/officeDocument/2006/relationships/hyperlink" Target="https://doi.org/10.1016/j.biocon.2006.08.010" TargetMode="External"/><Relationship Id="rId11" Type="http://schemas.openxmlformats.org/officeDocument/2006/relationships/hyperlink" Target="https://dinalpbear.eu/wp-content/uploads/GIDC_ENG_v34_web.pdf" TargetMode="External"/><Relationship Id="rId33" Type="http://schemas.openxmlformats.org/officeDocument/2006/relationships/hyperlink" Target="https://ec.europa.eu/environment/nature/conservation/species/carnivores/case_studies.htm" TargetMode="External"/><Relationship Id="rId10" Type="http://schemas.openxmlformats.org/officeDocument/2006/relationships/hyperlink" Target="https://dinalpbear.eu/wp-content/uploads/GIDC_ENG_v34_web.pdf" TargetMode="External"/><Relationship Id="rId32" Type="http://schemas.openxmlformats.org/officeDocument/2006/relationships/hyperlink" Target="http://www.cdpnews.net" TargetMode="External"/><Relationship Id="rId13" Type="http://schemas.openxmlformats.org/officeDocument/2006/relationships/hyperlink" Target="http://dinalpbear.eu/wp-content/uploads/ENGLISH_Guidebook_Seth_Wilson_WEB2.pdf" TargetMode="External"/><Relationship Id="rId35" Type="http://schemas.openxmlformats.org/officeDocument/2006/relationships/hyperlink" Target="https://www.protectiondestroupeaux.ch" TargetMode="External"/><Relationship Id="rId12" Type="http://schemas.openxmlformats.org/officeDocument/2006/relationships/hyperlink" Target="http://www.europarl.europa.eu/RegData/etudes/STUD/2018/617488/IPOL_STU(2018)617488_EN.pdf" TargetMode="External"/><Relationship Id="rId34" Type="http://schemas.openxmlformats.org/officeDocument/2006/relationships/hyperlink" Target="https://www.hwctf.org/compensation" TargetMode="External"/><Relationship Id="rId15" Type="http://schemas.openxmlformats.org/officeDocument/2006/relationships/hyperlink" Target="https://doi.org/10.1111/1365-2664.12708" TargetMode="External"/><Relationship Id="rId14" Type="http://schemas.openxmlformats.org/officeDocument/2006/relationships/hyperlink" Target="https://ec.europa.eu/environment/nature/conservation/species/carnivores/pdf/key_actions_large_carnivores_2015.pdf" TargetMode="External"/><Relationship Id="rId36" Type="http://schemas.openxmlformats.org/officeDocument/2006/relationships/footer" Target="footer1.xml"/><Relationship Id="rId17" Type="http://schemas.openxmlformats.org/officeDocument/2006/relationships/hyperlink" Target="https://ec.europa.eu/environment/nature/info/pubs/docs/life/damage_bears_wolves.pdf" TargetMode="External"/><Relationship Id="rId16" Type="http://schemas.openxmlformats.org/officeDocument/2006/relationships/hyperlink" Target="https://doi.org/10.1073/pnas.1012972108" TargetMode="External"/><Relationship Id="rId19" Type="http://schemas.openxmlformats.org/officeDocument/2006/relationships/hyperlink" Target="https://drive.google.com/file/d/1nflNbbH-QAOseEadzSpjzI3vsBPalB_4/view" TargetMode="External"/><Relationship Id="rId18" Type="http://schemas.openxmlformats.org/officeDocument/2006/relationships/hyperlink" Target="https://doi.org/10.1016/j.gecco.2021.e01798"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i.org/10.2193/0022-541X(2005)069%3c0014:WCWDMB%3e2.0.CO;2" TargetMode="External"/><Relationship Id="rId10" Type="http://schemas.openxmlformats.org/officeDocument/2006/relationships/hyperlink" Target="https://www.europarl.europa.eu/RegData/etudes/STUD/2018/617488/IPOL_STU(2018)617488_EN.pdf" TargetMode="External"/><Relationship Id="rId13" Type="http://schemas.openxmlformats.org/officeDocument/2006/relationships/hyperlink" Target="https://doi.org/10.1071/WR10029" TargetMode="External"/><Relationship Id="rId12" Type="http://schemas.openxmlformats.org/officeDocument/2006/relationships/hyperlink" Target="https://doi.org/10.1016/j.biocon.2019.04.019" TargetMode="External"/><Relationship Id="rId1" Type="http://schemas.openxmlformats.org/officeDocument/2006/relationships/hyperlink" Target="https://dinalpbear.eu/wp-content/uploads/GIDC_ENG_v34_web.pdf" TargetMode="External"/><Relationship Id="rId2" Type="http://schemas.openxmlformats.org/officeDocument/2006/relationships/hyperlink" Target="https://www.hwctf.org/about" TargetMode="External"/><Relationship Id="rId3" Type="http://schemas.openxmlformats.org/officeDocument/2006/relationships/hyperlink" Target="http://www.jstor.org/stable/3873246" TargetMode="External"/><Relationship Id="rId4" Type="http://schemas.openxmlformats.org/officeDocument/2006/relationships/hyperlink" Target="https://ec.europa.eu/environment/nature/conservation/species/carnivores/pdf/Briefing%20note%20state%20aid_EU%20Platform.pdf" TargetMode="External"/><Relationship Id="rId9" Type="http://schemas.openxmlformats.org/officeDocument/2006/relationships/hyperlink" Target="https://doi.org/10.1007/s10592-017-1045-4" TargetMode="External"/><Relationship Id="rId15" Type="http://schemas.openxmlformats.org/officeDocument/2006/relationships/hyperlink" Target="https://doi.org/10.1111/j.1523-1739.2003.00060.x" TargetMode="External"/><Relationship Id="rId14" Type="http://schemas.openxmlformats.org/officeDocument/2006/relationships/hyperlink" Target="https://doi.org/10.1080/13511610.2011.592071" TargetMode="External"/><Relationship Id="rId17" Type="http://schemas.openxmlformats.org/officeDocument/2006/relationships/hyperlink" Target="https://www.rbpnetwork.eu/country-infos/sweden/conservation-performance-payments-51/" TargetMode="External"/><Relationship Id="rId16" Type="http://schemas.openxmlformats.org/officeDocument/2006/relationships/hyperlink" Target="https://doi.org/10.1111/cobi.12948" TargetMode="External"/><Relationship Id="rId5" Type="http://schemas.openxmlformats.org/officeDocument/2006/relationships/hyperlink" Target="https://doi.org/10.1016/j.biocon.2017.06.033" TargetMode="External"/><Relationship Id="rId19" Type="http://schemas.openxmlformats.org/officeDocument/2006/relationships/hyperlink" Target="https://doi.org/10.1007/s10344-016-1001-5" TargetMode="External"/><Relationship Id="rId6" Type="http://schemas.openxmlformats.org/officeDocument/2006/relationships/hyperlink" Target="https://eur-lex.europa.eu/legal-content/EN/TXT/?uri=uriserv:OJ.C_.2014.204.01.0001.01.ENG&amp;toc=OJ:C:2014:204:TOC" TargetMode="External"/><Relationship Id="rId18" Type="http://schemas.openxmlformats.org/officeDocument/2006/relationships/hyperlink" Target="https://doi.org/10.1016/j.biocon.2021.109226" TargetMode="External"/><Relationship Id="rId7" Type="http://schemas.openxmlformats.org/officeDocument/2006/relationships/hyperlink" Target="https://dinalpbear.eu/wp-content/uploads/GIDC_ENG_v34_web.pdf" TargetMode="External"/><Relationship Id="rId8" Type="http://schemas.openxmlformats.org/officeDocument/2006/relationships/hyperlink" Target="https://doi.org/10.1002/wsb.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