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ek8yb7g9q68i" w:id="0"/>
      <w:bookmarkEnd w:id="0"/>
      <w:r w:rsidDel="00000000" w:rsidR="00000000" w:rsidRPr="00000000">
        <w:rPr>
          <w:rtl w:val="0"/>
        </w:rPr>
        <w:t xml:space="preserve">Making monitoring data and hunting quotas transparent</w:t>
      </w:r>
    </w:p>
    <w:p w:rsidR="00000000" w:rsidDel="00000000" w:rsidP="00000000" w:rsidRDefault="00000000" w:rsidRPr="00000000" w14:paraId="00000002">
      <w:pPr>
        <w:jc w:val="center"/>
        <w:rPr/>
      </w:pPr>
      <w:r w:rsidDel="00000000" w:rsidR="00000000" w:rsidRPr="00000000">
        <w:rPr>
          <w:rtl w:val="0"/>
        </w:rPr>
        <w:t xml:space="preserve">Version 1.1</w:t>
      </w:r>
    </w:p>
    <w:p w:rsidR="00000000" w:rsidDel="00000000" w:rsidP="00000000" w:rsidRDefault="00000000" w:rsidRPr="00000000" w14:paraId="00000003">
      <w:pPr>
        <w:jc w:val="center"/>
        <w:rPr/>
      </w:pPr>
      <w:r w:rsidDel="00000000" w:rsidR="00000000" w:rsidRPr="00000000">
        <w:rPr>
          <w:rtl w:val="0"/>
        </w:rPr>
        <w:t xml:space="preserve">Last modified </w:t>
      </w:r>
      <w:r w:rsidDel="00000000" w:rsidR="00000000" w:rsidRPr="00000000">
        <w:rPr>
          <w:rtl w:val="0"/>
        </w:rPr>
        <w:t xml:space="preserve">Feb 17, 2022</w:t>
      </w:r>
      <w:r w:rsidDel="00000000" w:rsidR="00000000" w:rsidRPr="00000000">
        <w:rPr>
          <w:rtl w:val="0"/>
        </w:rPr>
        <w:t xml:space="preserve"> (see version history)</w:t>
      </w:r>
    </w:p>
    <w:p w:rsidR="00000000" w:rsidDel="00000000" w:rsidP="00000000" w:rsidRDefault="00000000" w:rsidRPr="00000000" w14:paraId="00000004">
      <w:pPr>
        <w:jc w:val="center"/>
        <w:rPr/>
      </w:pPr>
      <w:r w:rsidDel="00000000" w:rsidR="00000000" w:rsidRPr="00000000">
        <w:rPr>
          <w:rtl w:val="0"/>
        </w:rPr>
        <w:t xml:space="preserve">Original author: Robin Rigg, Slovak Wildlife Society</w:t>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rPr/>
      </w:pPr>
      <w:r w:rsidDel="00000000" w:rsidR="00000000" w:rsidRPr="00000000">
        <w:rPr>
          <w:rtl w:val="0"/>
        </w:rPr>
        <w:t xml:space="preserve">Large carnivore management engenders controversy and disagreement because of the diversity of values, worldviews, opinions and interests that exist among and within interest groups. This leads to social conflicts and ethical trade-offs (Bruskotter et al. 2021). Science can help by providing an objective knowledge base to guide discussions and negotiations, but stakeholders often complain that reliable information is either lacking or inaccessible (Salvatori et al. 2021). Furthermore, results are not always immediately accepted</w:t>
      </w:r>
      <w:r w:rsidDel="00000000" w:rsidR="00000000" w:rsidRPr="00000000">
        <w:rPr>
          <w:vertAlign w:val="superscript"/>
        </w:rPr>
        <w:footnoteReference w:customMarkFollows="0" w:id="0"/>
      </w:r>
      <w:r w:rsidDel="00000000" w:rsidR="00000000" w:rsidRPr="00000000">
        <w:rPr>
          <w:rtl w:val="0"/>
        </w:rPr>
        <w:t xml:space="preserve"> and diverse groups may interpret them in their own ways (Barmoen et al. 2021).</w:t>
      </w:r>
    </w:p>
    <w:p w:rsidR="00000000" w:rsidDel="00000000" w:rsidP="00000000" w:rsidRDefault="00000000" w:rsidRPr="00000000" w14:paraId="00000007">
      <w:pPr>
        <w:rPr/>
      </w:pPr>
      <w:r w:rsidDel="00000000" w:rsidR="00000000" w:rsidRPr="00000000">
        <w:rPr>
          <w:rtl w:val="0"/>
        </w:rPr>
        <w:t xml:space="preserve">Science-based, participatory approaches to planning have delivered successful conservation outcomes</w:t>
      </w:r>
      <w:r w:rsidDel="00000000" w:rsidR="00000000" w:rsidRPr="00000000">
        <w:rPr>
          <w:vertAlign w:val="superscript"/>
        </w:rPr>
        <w:footnoteReference w:customMarkFollows="0" w:id="1"/>
      </w:r>
      <w:r w:rsidDel="00000000" w:rsidR="00000000" w:rsidRPr="00000000">
        <w:rPr>
          <w:rtl w:val="0"/>
        </w:rPr>
        <w:t xml:space="preserve">. Therefore, both robust scientific evidence and broad stakeholder involvement are essential for effective management of large carnivores and the challenges they bring. These two elements are brought together in collaborative approaches to monitoring which, in turn, can be a step to addressing two of the most prevalent sources of disagreement and conflict: population status and hunting quotas.</w:t>
      </w:r>
    </w:p>
    <w:p w:rsidR="00000000" w:rsidDel="00000000" w:rsidP="00000000" w:rsidRDefault="00000000" w:rsidRPr="00000000" w14:paraId="00000008">
      <w:pPr>
        <w:rPr/>
      </w:pPr>
      <w:r w:rsidDel="00000000" w:rsidR="00000000" w:rsidRPr="00000000">
        <w:rPr>
          <w:rtl w:val="0"/>
        </w:rPr>
        <w:t xml:space="preserve">To increase transparency, stakeholders and the public have to understand how data are gathered as well as how and by whom they are transformed into hunting quotas. This calls for a lot of communication with different target groups through diverse channels. Moreover, besides explaining the processes and results, the data and results themselves have to be openly accessible for everyone interested.</w:t>
      </w:r>
    </w:p>
    <w:p w:rsidR="00000000" w:rsidDel="00000000" w:rsidP="00000000" w:rsidRDefault="00000000" w:rsidRPr="00000000" w14:paraId="00000009">
      <w:pPr>
        <w:pStyle w:val="Heading1"/>
        <w:rPr/>
      </w:pPr>
      <w:r w:rsidDel="00000000" w:rsidR="00000000" w:rsidRPr="00000000">
        <w:rPr>
          <w:rtl w:val="0"/>
        </w:rPr>
        <w:t xml:space="preserve">Principles </w:t>
      </w:r>
    </w:p>
    <w:p w:rsidR="00000000" w:rsidDel="00000000" w:rsidP="00000000" w:rsidRDefault="00000000" w:rsidRPr="00000000" w14:paraId="0000000A">
      <w:pPr>
        <w:pStyle w:val="Heading2"/>
        <w:rPr/>
      </w:pPr>
      <w:r w:rsidDel="00000000" w:rsidR="00000000" w:rsidRPr="00000000">
        <w:rPr>
          <w:rtl w:val="0"/>
        </w:rPr>
        <w:t xml:space="preserve">Hunting and conservation</w:t>
      </w:r>
    </w:p>
    <w:p w:rsidR="00000000" w:rsidDel="00000000" w:rsidP="00000000" w:rsidRDefault="00000000" w:rsidRPr="00000000" w14:paraId="0000000B">
      <w:pPr>
        <w:rPr/>
      </w:pPr>
      <w:r w:rsidDel="00000000" w:rsidR="00000000" w:rsidRPr="00000000">
        <w:rPr>
          <w:rtl w:val="0"/>
        </w:rPr>
        <w:t xml:space="preserve">Hunting has a long tradition and a range of motivations in Europe</w:t>
      </w:r>
      <w:r w:rsidDel="00000000" w:rsidR="00000000" w:rsidRPr="00000000">
        <w:rPr>
          <w:vertAlign w:val="superscript"/>
        </w:rPr>
        <w:footnoteReference w:customMarkFollows="0" w:id="2"/>
      </w:r>
      <w:r w:rsidDel="00000000" w:rsidR="00000000" w:rsidRPr="00000000">
        <w:rPr>
          <w:rtl w:val="0"/>
        </w:rPr>
        <w:t xml:space="preserve">. Here, as in North America and elsewhere, hunting carnivores has been justified on the basis of balancing their population viability with mitigating conflicts, building tolerance and reducing poaching while allowing sustainable harvest (Treves 2009). However, the efficacy and ethics of hunting as a wildlife management tool are increasingly challenged (Treves et al. 2016, 2019a,b). There is growing recognition of the intrinsic value of wildlife and the role of predators in ecosystems. The killing of predators, once widely accepted or even expected by the public, has become a source of intense social conflict. Depending on the context, hunting strictly protected species to increase tolerance may be neither effective</w:t>
      </w:r>
      <w:r w:rsidDel="00000000" w:rsidR="00000000" w:rsidRPr="00000000">
        <w:rPr>
          <w:vertAlign w:val="superscript"/>
        </w:rPr>
        <w:footnoteReference w:customMarkFollows="0" w:id="3"/>
      </w:r>
      <w:r w:rsidDel="00000000" w:rsidR="00000000" w:rsidRPr="00000000">
        <w:rPr>
          <w:rtl w:val="0"/>
        </w:rPr>
        <w:t xml:space="preserve"> nor compatible with EU law (see </w:t>
      </w:r>
      <w:r w:rsidDel="00000000" w:rsidR="00000000" w:rsidRPr="00000000">
        <w:rPr>
          <w:highlight w:val="yellow"/>
          <w:rtl w:val="0"/>
        </w:rPr>
        <w:t xml:space="preserve">Interpreting criteria for derogations from strict protection</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On the other hand, managers face calls to control predators through culling in response to increasing levels of damage associated with expanding wolf populations (e.g. Meuret et al. 2021). Both WWF and the IUCN have recognised that, subject to certain criteria, hunting may have benefits for both wildlife conservation and the livelihoods and wellbeing of local communities. The Large Carnivore Initiative for Europe (LCIE)</w:t>
      </w:r>
      <w:r w:rsidDel="00000000" w:rsidR="00000000" w:rsidRPr="00000000">
        <w:rPr>
          <w:vertAlign w:val="superscript"/>
        </w:rPr>
        <w:footnoteReference w:customMarkFollows="0" w:id="4"/>
      </w:r>
      <w:r w:rsidDel="00000000" w:rsidR="00000000" w:rsidRPr="00000000">
        <w:rPr>
          <w:rtl w:val="0"/>
        </w:rPr>
        <w:t xml:space="preserve"> believes that, in some situations, hunting large carnivores is acceptable, compatible with conservation and may confer some benefits. The LCIE strongly recommends the use of non-lethal measures to reduce carnivore-caused damage and associated conflicts, but accepts that lethal control may be required in some situations. It advocates the need for comprehensive species </w:t>
      </w:r>
      <w:r w:rsidDel="00000000" w:rsidR="00000000" w:rsidRPr="00000000">
        <w:rPr>
          <w:b w:val="1"/>
          <w:rtl w:val="0"/>
        </w:rPr>
        <w:t xml:space="preserve">management plans</w:t>
      </w:r>
      <w:r w:rsidDel="00000000" w:rsidR="00000000" w:rsidRPr="00000000">
        <w:rPr>
          <w:rtl w:val="0"/>
        </w:rPr>
        <w:t xml:space="preserve"> including </w:t>
      </w:r>
      <w:r w:rsidDel="00000000" w:rsidR="00000000" w:rsidRPr="00000000">
        <w:rPr>
          <w:b w:val="1"/>
          <w:rtl w:val="0"/>
        </w:rPr>
        <w:t xml:space="preserve">goals for minimum population size</w:t>
      </w:r>
      <w:r w:rsidDel="00000000" w:rsidR="00000000" w:rsidRPr="00000000">
        <w:rPr>
          <w:rtl w:val="0"/>
        </w:rPr>
        <w:t xml:space="preserve"> and </w:t>
      </w:r>
      <w:r w:rsidDel="00000000" w:rsidR="00000000" w:rsidRPr="00000000">
        <w:rPr>
          <w:b w:val="1"/>
          <w:rtl w:val="0"/>
        </w:rPr>
        <w:t xml:space="preserve">monitoring</w:t>
      </w:r>
      <w:r w:rsidDel="00000000" w:rsidR="00000000" w:rsidRPr="00000000">
        <w:rPr>
          <w:rtl w:val="0"/>
        </w:rPr>
        <w:t xml:space="preserve"> of these goals through active collection of biological data. Moreover, hunting should only occur if a population is regarded as </w:t>
      </w:r>
      <w:r w:rsidDel="00000000" w:rsidR="00000000" w:rsidRPr="00000000">
        <w:rPr>
          <w:b w:val="1"/>
          <w:rtl w:val="0"/>
        </w:rPr>
        <w:t xml:space="preserve">demographically viable</w:t>
      </w:r>
      <w:r w:rsidDel="00000000" w:rsidR="00000000" w:rsidRPr="00000000">
        <w:rPr>
          <w:rtl w:val="0"/>
        </w:rPr>
        <w:t xml:space="preserve"> and proper consideration is given to its </w:t>
      </w:r>
      <w:r w:rsidDel="00000000" w:rsidR="00000000" w:rsidRPr="00000000">
        <w:rPr>
          <w:b w:val="1"/>
          <w:rtl w:val="0"/>
        </w:rPr>
        <w:t xml:space="preserve">social organisation</w:t>
      </w:r>
      <w:r w:rsidDel="00000000" w:rsidR="00000000" w:rsidRPr="00000000">
        <w:rPr>
          <w:rtl w:val="0"/>
        </w:rPr>
        <w:t xml:space="preserve">. The LCIE also strongly recommends that appropriate attention be paid to the complex </w:t>
      </w:r>
      <w:r w:rsidDel="00000000" w:rsidR="00000000" w:rsidRPr="00000000">
        <w:rPr>
          <w:b w:val="1"/>
          <w:rtl w:val="0"/>
        </w:rPr>
        <w:t xml:space="preserve">human dimensions</w:t>
      </w:r>
      <w:r w:rsidDel="00000000" w:rsidR="00000000" w:rsidRPr="00000000">
        <w:rPr>
          <w:rtl w:val="0"/>
        </w:rPr>
        <w:t xml:space="preserve"> involved.</w:t>
      </w:r>
    </w:p>
    <w:p w:rsidR="00000000" w:rsidDel="00000000" w:rsidP="00000000" w:rsidRDefault="00000000" w:rsidRPr="00000000" w14:paraId="0000000D">
      <w:pPr>
        <w:rPr/>
      </w:pPr>
      <w:r w:rsidDel="00000000" w:rsidR="00000000" w:rsidRPr="00000000">
        <w:rPr>
          <w:rtl w:val="0"/>
        </w:rPr>
        <w:t xml:space="preserve">WWF (2016) policy calls for the relevant stakeholders in any (trophy) hunting programme to implement the following “minimum conservation standards”: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A science-based approach to providing benefits to species and their habitats (i.e., based on sound research and data on the status, population dynamics and habitat requirements of target species populations);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A specific legal framework in order to regulate all aspects of the trophy hunting programme (e.g., quota-setting, trophy standards, national laws and regulations, professional guide and hunter standards), with adequate administrative and enforcement capacity at both local and national levels to ensure its proper implementation;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An administrative framework for a science-based monitoring programme, including regular game counts, assessments of population trends in order to facilitate quota setting and secure sustainability of wildlife use;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tl w:val="0"/>
        </w:rPr>
        <w:t xml:space="preserve">Maximising</w:t>
      </w:r>
      <w:r w:rsidDel="00000000" w:rsidR="00000000" w:rsidRPr="00000000">
        <w:rPr>
          <w:i w:val="0"/>
          <w:smallCaps w:val="0"/>
          <w:strike w:val="0"/>
          <w:color w:val="000000"/>
          <w:sz w:val="22"/>
          <w:szCs w:val="22"/>
          <w:u w:val="none"/>
          <w:shd w:fill="auto" w:val="clear"/>
          <w:vertAlign w:val="baseline"/>
          <w:rtl w:val="0"/>
        </w:rPr>
        <w:t xml:space="preserve"> economic and social benefits to enhance conservation impacts;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Strong participation by local communities in decision-making, management and benefit allocation;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Adherence to accepted ethical norms, including ensuring that methods used are humane;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Respect for local cultural attitudes and values;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Weighing the potential benefits to the species and local communities against the risks, erring on the side of precaution; and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Transparency in record keeping, data management and information sharing in relation to hunting programmes and related conservation activities.</w:t>
      </w:r>
    </w:p>
    <w:p w:rsidR="00000000" w:rsidDel="00000000" w:rsidP="00000000" w:rsidRDefault="00000000" w:rsidRPr="00000000" w14:paraId="00000017">
      <w:pPr>
        <w:pStyle w:val="Heading2"/>
        <w:rPr/>
      </w:pPr>
      <w:r w:rsidDel="00000000" w:rsidR="00000000" w:rsidRPr="00000000">
        <w:rPr>
          <w:rtl w:val="0"/>
        </w:rPr>
        <w:t xml:space="preserve">Working with people</w:t>
      </w:r>
    </w:p>
    <w:p w:rsidR="00000000" w:rsidDel="00000000" w:rsidP="00000000" w:rsidRDefault="00000000" w:rsidRPr="00000000" w14:paraId="00000018">
      <w:pPr>
        <w:rPr/>
      </w:pPr>
      <w:r w:rsidDel="00000000" w:rsidR="00000000" w:rsidRPr="00000000">
        <w:rPr>
          <w:rtl w:val="0"/>
        </w:rPr>
        <w:t xml:space="preserve">Social conflicts related to large carnivores are becoming more frequent. Engagement of and support from relevant management institutions are considered crucial for their effective management (Salvatori et al. 2021). Lack of trust between stakeholders and relevant authorities and lack of genuine communication among different stakeholder groups are common issues. Building and maintaining trust with stakeholders is vital but requires effort and resources, constructive dialogue and decentralisation of decision-making</w:t>
      </w:r>
      <w:r w:rsidDel="00000000" w:rsidR="00000000" w:rsidRPr="00000000">
        <w:rPr>
          <w:vertAlign w:val="superscript"/>
        </w:rPr>
        <w:footnoteReference w:customMarkFollows="0" w:id="5"/>
      </w:r>
      <w:r w:rsidDel="00000000" w:rsidR="00000000" w:rsidRPr="00000000">
        <w:rPr>
          <w:rtl w:val="0"/>
        </w:rPr>
        <w:t xml:space="preserve"> as well as fulfilling promises (Anthony 2021). Transparency is needed in terms of which values are considered in management</w:t>
      </w:r>
      <w:r w:rsidDel="00000000" w:rsidR="00000000" w:rsidRPr="00000000">
        <w:rPr>
          <w:vertAlign w:val="superscript"/>
        </w:rPr>
        <w:footnoteReference w:customMarkFollows="0" w:id="6"/>
      </w:r>
      <w:r w:rsidDel="00000000" w:rsidR="00000000" w:rsidRPr="00000000">
        <w:rPr>
          <w:rtl w:val="0"/>
        </w:rPr>
        <w:t xml:space="preserve">. A tool to aid decision-making has been proposed (Young et al. 2016). Professionals who interact with stakeholders should receive adequate training in communication</w:t>
      </w:r>
      <w:r w:rsidDel="00000000" w:rsidR="00000000" w:rsidRPr="00000000">
        <w:rPr>
          <w:vertAlign w:val="superscript"/>
        </w:rPr>
        <w:footnoteReference w:customMarkFollows="0" w:id="7"/>
      </w:r>
      <w:r w:rsidDel="00000000" w:rsidR="00000000" w:rsidRPr="00000000">
        <w:rPr>
          <w:rtl w:val="0"/>
        </w:rPr>
        <w:t xml:space="preserve">. The media, and increasingly social media, play a major role in influencing views of large carnivores and should be considered as an important stakeholder (Nanni et al. 2020, Arbieu et al. 2021).</w:t>
      </w:r>
    </w:p>
    <w:p w:rsidR="00000000" w:rsidDel="00000000" w:rsidP="00000000" w:rsidRDefault="00000000" w:rsidRPr="00000000" w14:paraId="00000019">
      <w:pPr>
        <w:rPr/>
      </w:pPr>
      <w:r w:rsidDel="00000000" w:rsidR="00000000" w:rsidRPr="00000000">
        <w:rPr>
          <w:rtl w:val="0"/>
        </w:rPr>
        <w:t xml:space="preserve">There is a growing “toolbox” of techniques available</w:t>
      </w:r>
      <w:r w:rsidDel="00000000" w:rsidR="00000000" w:rsidRPr="00000000">
        <w:rPr>
          <w:vertAlign w:val="superscript"/>
        </w:rPr>
        <w:footnoteReference w:customMarkFollows="0" w:id="8"/>
      </w:r>
      <w:r w:rsidDel="00000000" w:rsidR="00000000" w:rsidRPr="00000000">
        <w:rPr>
          <w:rtl w:val="0"/>
        </w:rPr>
        <w:t xml:space="preserve"> to facilitate dialogue, understand conflicts and help find sustainable solutions. These include stakeholder identification and network analysis (Grossmann et al. 2020), various participatory processes (Salvatori et al. 2020, 2021), Multi-Criteria Decision Analysis (Marino et al. 2021), the PARTNERS principles for community-based conservation (Young et al. 2021), Theories of Change</w:t>
      </w:r>
      <w:r w:rsidDel="00000000" w:rsidR="00000000" w:rsidRPr="00000000">
        <w:rPr>
          <w:vertAlign w:val="superscript"/>
        </w:rPr>
        <w:footnoteReference w:customMarkFollows="0" w:id="9"/>
      </w:r>
      <w:r w:rsidDel="00000000" w:rsidR="00000000" w:rsidRPr="00000000">
        <w:rPr>
          <w:rtl w:val="0"/>
        </w:rPr>
        <w:t xml:space="preserve">, social learning (Hovardas 2020) and deliberative democracy (Vucetich et al. 2021). Each approach has different foci and strengths. To keep such processes focused and functioning, some form of moderation is usually required (Pais et al. 2019). Some of them can be combined to create a more holistic, integrated framework (König et al. 2021). However, a prerequisite to participatory processes and decentralised governance is that they are not circumvented or overruled without justification (Sjölander-Lindqvist et al. 2020).</w:t>
      </w:r>
    </w:p>
    <w:p w:rsidR="00000000" w:rsidDel="00000000" w:rsidP="00000000" w:rsidRDefault="00000000" w:rsidRPr="00000000" w14:paraId="0000001A">
      <w:pPr>
        <w:pStyle w:val="Heading2"/>
        <w:rPr/>
      </w:pPr>
      <w:r w:rsidDel="00000000" w:rsidR="00000000" w:rsidRPr="00000000">
        <w:rPr>
          <w:rtl w:val="0"/>
        </w:rPr>
        <w:t xml:space="preserve">Monitoring</w:t>
      </w:r>
    </w:p>
    <w:p w:rsidR="00000000" w:rsidDel="00000000" w:rsidP="00000000" w:rsidRDefault="00000000" w:rsidRPr="00000000" w14:paraId="0000001B">
      <w:pPr>
        <w:rPr/>
      </w:pPr>
      <w:r w:rsidDel="00000000" w:rsidR="00000000" w:rsidRPr="00000000">
        <w:rPr>
          <w:rtl w:val="0"/>
        </w:rPr>
        <w:t xml:space="preserve">Obtaining reliable information on key population parameters is not only an obligation arising from the Habitats Directive but also provides an important basis of knowledge on which management decisions can be built. For example, adaptive management informed by population monitoring was found to enable a sustainable, quota-regulated harvest of lynx in Norway</w:t>
      </w:r>
      <w:r w:rsidDel="00000000" w:rsidR="00000000" w:rsidRPr="00000000">
        <w:rPr>
          <w:vertAlign w:val="superscript"/>
        </w:rPr>
        <w:footnoteReference w:customMarkFollows="0" w:id="10"/>
      </w:r>
      <w:r w:rsidDel="00000000" w:rsidR="00000000" w:rsidRPr="00000000">
        <w:rPr>
          <w:rtl w:val="0"/>
        </w:rPr>
        <w:t xml:space="preserve">. Moreover, when undertaken collaboratively, monitoring can be a step towards resolving conflicts among stakeholders, which often include disagreements over population size. Citizen science is now widely recognised not only as a means to increase resources available for monitoring but also to improve its transparency and likely acceptance by stakeholders when they are included in the process of data gathering</w:t>
      </w:r>
      <w:r w:rsidDel="00000000" w:rsidR="00000000" w:rsidRPr="00000000">
        <w:rPr>
          <w:vertAlign w:val="superscript"/>
        </w:rPr>
        <w:footnoteReference w:customMarkFollows="0" w:id="11"/>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Monitoring data </w:t>
      </w:r>
      <w:r w:rsidDel="00000000" w:rsidR="00000000" w:rsidRPr="00000000">
        <w:rPr>
          <w:rtl w:val="0"/>
        </w:rPr>
        <w:t xml:space="preserve">are</w:t>
      </w:r>
      <w:r w:rsidDel="00000000" w:rsidR="00000000" w:rsidRPr="00000000">
        <w:rPr>
          <w:rtl w:val="0"/>
        </w:rPr>
        <w:t xml:space="preserve"> often used to make controversial management decisions so it is important to produce consistent and incontestable results. Observations must be validated by trained staff, preferably with a record that can be verified such as a photograph or DNA sample. Methods should be standardised across the entire area of interest, preferably at the population level, which often requires coordination across administrative boundaries. For more details, </w:t>
      </w:r>
      <w:r w:rsidDel="00000000" w:rsidR="00000000" w:rsidRPr="00000000">
        <w:rPr>
          <w:highlight w:val="yellow"/>
          <w:rtl w:val="0"/>
        </w:rPr>
        <w:t xml:space="preserve">see Implementing a monitoring programme</w:t>
      </w:r>
      <w:r w:rsidDel="00000000" w:rsidR="00000000" w:rsidRPr="00000000">
        <w:rPr>
          <w:rtl w:val="0"/>
        </w:rPr>
        <w:t xml:space="preserve">.</w:t>
      </w:r>
    </w:p>
    <w:p w:rsidR="00000000" w:rsidDel="00000000" w:rsidP="00000000" w:rsidRDefault="00000000" w:rsidRPr="00000000" w14:paraId="0000001D">
      <w:pPr>
        <w:pStyle w:val="Heading2"/>
        <w:rPr>
          <w:highlight w:val="green"/>
        </w:rPr>
      </w:pPr>
      <w:r w:rsidDel="00000000" w:rsidR="00000000" w:rsidRPr="00000000">
        <w:rPr>
          <w:rtl w:val="0"/>
        </w:rPr>
        <w:t xml:space="preserve">Science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ensure accuracy and credibility, data must be analysed and interpreted by experts using scientifically robust methodologies and made available for independent review. Nobody is above being questioned. Scientists should rigorously scrutinise both their own work</w:t>
      </w:r>
      <w:r w:rsidDel="00000000" w:rsidR="00000000" w:rsidRPr="00000000">
        <w:rPr>
          <w:vertAlign w:val="superscript"/>
        </w:rPr>
        <w:footnoteReference w:customMarkFollows="0" w:id="12"/>
      </w:r>
      <w:r w:rsidDel="00000000" w:rsidR="00000000" w:rsidRPr="00000000">
        <w:rPr>
          <w:rtl w:val="0"/>
        </w:rPr>
        <w:t xml:space="preserve"> as well as that of others</w:t>
      </w:r>
      <w:r w:rsidDel="00000000" w:rsidR="00000000" w:rsidRPr="00000000">
        <w:rPr>
          <w:vertAlign w:val="superscript"/>
        </w:rPr>
        <w:footnoteReference w:customMarkFollows="0" w:id="13"/>
      </w:r>
      <w:r w:rsidDel="00000000" w:rsidR="00000000" w:rsidRPr="00000000">
        <w:rPr>
          <w:rtl w:val="0"/>
        </w:rPr>
        <w:t xml:space="preserve"> and be willing to revisit previous conclusions in light of new evidence. Peer review</w:t>
      </w:r>
      <w:r w:rsidDel="00000000" w:rsidR="00000000" w:rsidRPr="00000000">
        <w:rPr>
          <w:vertAlign w:val="superscript"/>
        </w:rPr>
        <w:footnoteReference w:customMarkFollows="0" w:id="14"/>
      </w:r>
      <w:r w:rsidDel="00000000" w:rsidR="00000000" w:rsidRPr="00000000">
        <w:rPr>
          <w:rtl w:val="0"/>
        </w:rPr>
        <w:t xml:space="preserve"> is a centuries-old system of validating scientific work and maintaining standards in publishing. The need for greater accountability and communication to broader society is reflected in a move towards Open Science, the idea of which is to allow scientific information, data and outputs to be more widely accessible (Open Access) and more reliably harnessed (Open Data) with the active engagement of all stakeholders (Open to Society)</w:t>
      </w:r>
      <w:r w:rsidDel="00000000" w:rsidR="00000000" w:rsidRPr="00000000">
        <w:rPr>
          <w:vertAlign w:val="superscript"/>
        </w:rPr>
        <w:footnoteReference w:customMarkFollows="0" w:id="15"/>
      </w:r>
      <w:r w:rsidDel="00000000" w:rsidR="00000000" w:rsidRPr="00000000">
        <w:rPr>
          <w:rtl w:val="0"/>
        </w:rPr>
        <w:t xml:space="preserve">. Open Science is a policy priority for the European Commission</w:t>
      </w:r>
      <w:r w:rsidDel="00000000" w:rsidR="00000000" w:rsidRPr="00000000">
        <w:rPr>
          <w:vertAlign w:val="superscript"/>
        </w:rPr>
        <w:footnoteReference w:customMarkFollows="0" w:id="16"/>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Besides its role in monitoring, the scientific method can and should be applied to a variety of other aspects of carnivore management. Biological sciences, supported by recent advances in technology and data processing, enable detailed analysis of the outcomes of management decisions including the impacts of hunting (Bischof et al. 2012) and poaching (Liberg et al. 2012). There is a need for more rigorous assessment of the effectiveness at reducing damage to livestock of both predator control (Treves et al. 2019b) and non-lethal prevention measures (van Eeden et al. 2018). Researchers have found that the potential effects of hunting on predators extend beyond demographics (Šuba 2021) to social structure, ecological functioning (Borg et al. 2015) and even evolutionary processes (Leclerc et al. 2019). Social sciences improve understanding of human dimensions of conservation and management</w:t>
      </w:r>
      <w:r w:rsidDel="00000000" w:rsidR="00000000" w:rsidRPr="00000000">
        <w:rPr>
          <w:vertAlign w:val="superscript"/>
        </w:rPr>
        <w:footnoteReference w:customMarkFollows="0" w:id="17"/>
      </w:r>
      <w:r w:rsidDel="00000000" w:rsidR="00000000" w:rsidRPr="00000000">
        <w:rPr>
          <w:rtl w:val="0"/>
        </w:rPr>
        <w:t xml:space="preserve">, such as the influence of socio-political context on policies (Niedziałkowski and Putkowska-Smoter 2020).</w:t>
      </w:r>
    </w:p>
    <w:p w:rsidR="00000000" w:rsidDel="00000000" w:rsidP="00000000" w:rsidRDefault="00000000" w:rsidRPr="00000000" w14:paraId="00000020">
      <w:pPr>
        <w:rPr/>
      </w:pPr>
      <w:bookmarkStart w:colFirst="0" w:colLast="0" w:name="_gjdgxs" w:id="1"/>
      <w:bookmarkEnd w:id="1"/>
      <w:r w:rsidDel="00000000" w:rsidR="00000000" w:rsidRPr="00000000">
        <w:rPr>
          <w:rtl w:val="0"/>
        </w:rPr>
        <w:t xml:space="preserve">There are, of course, still gaps in scientific knowledge. Researchers have tended to focus on mitigating conflicts related to carnivore presence and have paid less attention to their positive benefits through wildlife tourism, game population control, regional and product marketing, cultural heritage and identity, education, research and social cohesion (Rode et al. 2021). Research is needed to better understand the interplay of hunting, damage, tolerance and poaching and there should be more rigorous testing of non-lethal damage prevention measures. In the meantime, managers often have to make decisions on the basis of incomplete data (Nilsen et al. 2012). The European Commission’s </w:t>
      </w:r>
      <w:r w:rsidDel="00000000" w:rsidR="00000000" w:rsidRPr="00000000">
        <w:rPr>
          <w:i w:val="1"/>
          <w:rtl w:val="0"/>
        </w:rPr>
        <w:t xml:space="preserve">Guidance document on the strict protection of species of Community interest under the Habitats Directive</w:t>
      </w:r>
      <w:r w:rsidDel="00000000" w:rsidR="00000000" w:rsidRPr="00000000">
        <w:rPr>
          <w:i w:val="1"/>
          <w:vertAlign w:val="superscript"/>
        </w:rPr>
        <w:footnoteReference w:customMarkFollows="0" w:id="18"/>
      </w:r>
      <w:r w:rsidDel="00000000" w:rsidR="00000000" w:rsidRPr="00000000">
        <w:rPr>
          <w:rtl w:val="0"/>
        </w:rPr>
        <w:t xml:space="preserve"> emphasises that, (2–79) “in the case of lack of data on the conservation status and/or the actual level of incidental capture and killing, the precautionary principle should apply”, with the benefit of the doubt going to the wildlife populations.</w:t>
      </w:r>
    </w:p>
    <w:p w:rsidR="00000000" w:rsidDel="00000000" w:rsidP="00000000" w:rsidRDefault="00000000" w:rsidRPr="00000000" w14:paraId="00000021">
      <w:pPr>
        <w:pStyle w:val="Heading1"/>
        <w:rPr/>
      </w:pPr>
      <w:r w:rsidDel="00000000" w:rsidR="00000000" w:rsidRPr="00000000">
        <w:rPr>
          <w:rtl w:val="0"/>
        </w:rPr>
        <w:t xml:space="preserve">Steps to making monitoring data and hunting quotas transparent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Work with social scientists and researchers to identify and engage with key stakeholders and interest groups.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Employ appropriate frameworks to facilitate constructive dialogue, understand conflicts and find sustainable solutions.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Support diverse interest groups and stakeholders to identify shared goals and common ground.</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Instil the principle of evidence-based, adaptive management.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Design a system of monitoring that enables co-generation of knowledge through scientifically robust methods that maximise effort through ‘citizen science’.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Clarify roles and responsibilities to motivate and maintain participation.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Have experts validate, analyse and interpret the data but also communicate how data are processed. If data are insufficient or lacking, this should also be clearly stated.</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Make findings available for scrutiny by independent experts, stakeholders, interest groups and the general public via online platforms and peer-reviewed publications.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Archive data for subsequent use and verification.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If setting quotas, use the best available science, subject to independent expert review and public scrutiny, and apply the precautionary principle. Communicate what basis, methods, models and assumptions are used and make them publicly available to explain how data are processed and results obtained.</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Develop a communications strategy and work with scientists and journalists to ensure accurate representation in the media of carnivore-related issues and to counter misinformation. Communicate in a way that people can understand.</w:t>
      </w:r>
    </w:p>
    <w:p w:rsidR="00000000" w:rsidDel="00000000" w:rsidP="00000000" w:rsidRDefault="00000000" w:rsidRPr="00000000" w14:paraId="0000002D">
      <w:pPr>
        <w:pStyle w:val="Heading1"/>
        <w:rPr/>
      </w:pPr>
      <w:bookmarkStart w:colFirst="0" w:colLast="0" w:name="_30j0zll" w:id="2"/>
      <w:bookmarkEnd w:id="2"/>
      <w:r w:rsidDel="00000000" w:rsidR="00000000" w:rsidRPr="00000000">
        <w:rPr>
          <w:rtl w:val="0"/>
        </w:rPr>
        <w:t xml:space="preserve">Case study: Estonia</w:t>
      </w:r>
    </w:p>
    <w:p w:rsidR="00000000" w:rsidDel="00000000" w:rsidP="00000000" w:rsidRDefault="00000000" w:rsidRPr="00000000" w14:paraId="0000002E">
      <w:pPr>
        <w:rPr/>
      </w:pPr>
      <w:r w:rsidDel="00000000" w:rsidR="00000000" w:rsidRPr="00000000">
        <w:rPr>
          <w:rtl w:val="0"/>
        </w:rPr>
        <w:t xml:space="preserve">The Estonian approach to this issue has been identified as exemplary by the LIFE EurolargeCarnivores project. It is presented here as a model which is recommended to be taken up and adapted to respective framework conditions and different socio-economic contexts in other countries. Implementation of similar programmes in other countries and regions probably requires financial, regulatory and professional support (see </w:t>
      </w:r>
      <w:r w:rsidDel="00000000" w:rsidR="00000000" w:rsidRPr="00000000">
        <w:rPr>
          <w:highlight w:val="yellow"/>
          <w:rtl w:val="0"/>
        </w:rPr>
        <w:t xml:space="preserve">Examples for the use of EU support for damage prevention</w:t>
      </w:r>
      <w:r w:rsidDel="00000000" w:rsidR="00000000" w:rsidRPr="00000000">
        <w:rPr>
          <w:rtl w:val="0"/>
        </w:rPr>
        <w:t xml:space="preserve">).</w:t>
      </w:r>
    </w:p>
    <w:p w:rsidR="00000000" w:rsidDel="00000000" w:rsidP="00000000" w:rsidRDefault="00000000" w:rsidRPr="00000000" w14:paraId="0000002F">
      <w:pPr>
        <w:spacing w:after="120" w:lineRule="auto"/>
        <w:rPr/>
      </w:pPr>
      <w:r w:rsidDel="00000000" w:rsidR="00000000" w:rsidRPr="00000000">
        <w:rPr>
          <w:rtl w:val="0"/>
        </w:rPr>
        <w:t xml:space="preserve">The lynx and wolf in Estonia are in Annex V of the Habitats Directive and are subject to hunting. Management is overseen by the Environmental Board in accordance with the national management plan</w:t>
      </w:r>
      <w:r w:rsidDel="00000000" w:rsidR="00000000" w:rsidRPr="00000000">
        <w:rPr>
          <w:vertAlign w:val="superscript"/>
        </w:rPr>
        <w:footnoteReference w:customMarkFollows="0" w:id="19"/>
      </w:r>
      <w:r w:rsidDel="00000000" w:rsidR="00000000" w:rsidRPr="00000000">
        <w:rPr>
          <w:rtl w:val="0"/>
        </w:rPr>
        <w:t xml:space="preserve">, under the jurisdiction of the Ministry of the Environment. There is a Working Group for Large Carnivore Management with various stakeholders which advises the Ministry on policy.</w:t>
      </w:r>
    </w:p>
    <w:p w:rsidR="00000000" w:rsidDel="00000000" w:rsidP="00000000" w:rsidRDefault="00000000" w:rsidRPr="00000000" w14:paraId="00000030">
      <w:pPr>
        <w:spacing w:after="120" w:lineRule="auto"/>
        <w:rPr/>
      </w:pPr>
      <w:r w:rsidDel="00000000" w:rsidR="00000000" w:rsidRPr="00000000">
        <w:rPr>
          <w:rtl w:val="0"/>
        </w:rPr>
        <w:t xml:space="preserve">The Estonian Environment Agency is responsible for monitoring. Data is collected from year-round opportunistic observations (sightings, tracks), a winter track census on permanent transects and details of harvested animals (sex, biometrics, health and reproductive status, tissue and DNA samples) which hunters are obliged to provide by the hunting law. There are also surveys of damage cases based on inspections by experts of the Environmental Board. </w:t>
      </w:r>
    </w:p>
    <w:p w:rsidR="00000000" w:rsidDel="00000000" w:rsidP="00000000" w:rsidRDefault="00000000" w:rsidRPr="00000000" w14:paraId="00000031">
      <w:pPr>
        <w:spacing w:after="120" w:lineRule="auto"/>
        <w:rPr/>
      </w:pPr>
      <w:r w:rsidDel="00000000" w:rsidR="00000000" w:rsidRPr="00000000">
        <w:rPr>
          <w:rtl w:val="0"/>
        </w:rPr>
        <w:t xml:space="preserve">The Agency analyses all the available data to produce annual population status reports</w:t>
      </w:r>
      <w:r w:rsidDel="00000000" w:rsidR="00000000" w:rsidRPr="00000000">
        <w:rPr>
          <w:vertAlign w:val="superscript"/>
        </w:rPr>
        <w:footnoteReference w:customMarkFollows="0" w:id="20"/>
      </w:r>
      <w:r w:rsidDel="00000000" w:rsidR="00000000" w:rsidRPr="00000000">
        <w:rPr>
          <w:rtl w:val="0"/>
        </w:rPr>
        <w:t xml:space="preserve">, with a focus on estimating the number and location of unique reproductive units. Annual reports include proposals for the establishment of annual conservation measures and sustainable harvest, the goal being to maintain the vitality of populations of large carnivores in Estonia by ensuring that hunting quotas do not exceed the population recruitment rate and to maintain a close-to-natural population structure. Hunting pressure is sometimes raised in areas of semi-cultural habitats with higher depredation rates. Damage attributed to large carnivores is compensated and 50% subsidies are provided for preventive measures by the Environmental Board.</w:t>
      </w:r>
    </w:p>
    <w:p w:rsidR="00000000" w:rsidDel="00000000" w:rsidP="00000000" w:rsidRDefault="00000000" w:rsidRPr="00000000" w14:paraId="00000032">
      <w:pPr>
        <w:spacing w:after="120" w:lineRule="auto"/>
        <w:rPr/>
      </w:pPr>
      <w:r w:rsidDel="00000000" w:rsidR="00000000" w:rsidRPr="00000000">
        <w:rPr>
          <w:b w:val="1"/>
          <w:rtl w:val="0"/>
        </w:rPr>
        <w:t xml:space="preserve">Contact:</w:t>
      </w:r>
      <w:r w:rsidDel="00000000" w:rsidR="00000000" w:rsidRPr="00000000">
        <w:rPr>
          <w:rtl w:val="0"/>
        </w:rPr>
        <w:t xml:space="preserve"> Peep Mannil (Estonian Environment Agency) - </w:t>
      </w:r>
      <w:hyperlink r:id="rId7">
        <w:r w:rsidDel="00000000" w:rsidR="00000000" w:rsidRPr="00000000">
          <w:rPr>
            <w:color w:val="0563c1"/>
            <w:u w:val="single"/>
            <w:rtl w:val="0"/>
          </w:rPr>
          <w:t xml:space="preserve">Peep.Mannil@Envir.ee</w:t>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b w:val="1"/>
          <w:rtl w:val="0"/>
        </w:rPr>
        <w:t xml:space="preserve">Further information:</w:t>
      </w:r>
      <w:r w:rsidDel="00000000" w:rsidR="00000000" w:rsidRPr="00000000">
        <w:rPr>
          <w:rtl w:val="0"/>
        </w:rPr>
        <w:t xml:space="preserve"> See the Game section of the Estonian Environment Agency website</w:t>
      </w:r>
      <w:r w:rsidDel="00000000" w:rsidR="00000000" w:rsidRPr="00000000">
        <w:rPr>
          <w:vertAlign w:val="superscript"/>
        </w:rPr>
        <w:footnoteReference w:customMarkFollows="0" w:id="21"/>
      </w:r>
      <w:r w:rsidDel="00000000" w:rsidR="00000000" w:rsidRPr="00000000">
        <w:rPr>
          <w:rtl w:val="0"/>
        </w:rPr>
        <w:t xml:space="preserve">.</w:t>
      </w:r>
    </w:p>
    <w:p w:rsidR="00000000" w:rsidDel="00000000" w:rsidP="00000000" w:rsidRDefault="00000000" w:rsidRPr="00000000" w14:paraId="00000034">
      <w:pPr>
        <w:pStyle w:val="Heading1"/>
        <w:rPr/>
      </w:pPr>
      <w:r w:rsidDel="00000000" w:rsidR="00000000" w:rsidRPr="00000000">
        <w:rPr>
          <w:rtl w:val="0"/>
        </w:rPr>
        <w:t xml:space="preserve">Guidance, policy documents and links</w:t>
      </w:r>
    </w:p>
    <w:p w:rsidR="00000000" w:rsidDel="00000000" w:rsidP="00000000" w:rsidRDefault="00000000" w:rsidRPr="00000000" w14:paraId="00000035">
      <w:pPr>
        <w:spacing w:after="120" w:lineRule="auto"/>
        <w:rPr/>
      </w:pPr>
      <w:hyperlink r:id="rId8">
        <w:r w:rsidDel="00000000" w:rsidR="00000000" w:rsidRPr="00000000">
          <w:rPr>
            <w:color w:val="0563c1"/>
            <w:u w:val="single"/>
            <w:rtl w:val="0"/>
          </w:rPr>
          <w:t xml:space="preserve">Guidance document on the strict protection of species of Community interest under the Habitats Directive</w:t>
        </w:r>
      </w:hyperlink>
      <w:r w:rsidDel="00000000" w:rsidR="00000000" w:rsidRPr="00000000">
        <w:rPr>
          <w:rtl w:val="0"/>
        </w:rPr>
        <w:t xml:space="preserve"> (European Commission, 2021).</w:t>
      </w:r>
    </w:p>
    <w:p w:rsidR="00000000" w:rsidDel="00000000" w:rsidP="00000000" w:rsidRDefault="00000000" w:rsidRPr="00000000" w14:paraId="00000036">
      <w:pPr>
        <w:spacing w:after="120" w:lineRule="auto"/>
        <w:rPr/>
      </w:pPr>
      <w:hyperlink r:id="rId9">
        <w:r w:rsidDel="00000000" w:rsidR="00000000" w:rsidRPr="00000000">
          <w:rPr>
            <w:color w:val="0563c1"/>
            <w:u w:val="single"/>
            <w:rtl w:val="0"/>
          </w:rPr>
          <w:t xml:space="preserve">A guidebook to human-carnivore conflict: strategies and tips for effective communication and collaboration with communities</w:t>
        </w:r>
      </w:hyperlink>
      <w:r w:rsidDel="00000000" w:rsidR="00000000" w:rsidRPr="00000000">
        <w:rPr>
          <w:rtl w:val="0"/>
        </w:rPr>
        <w:t xml:space="preserve"> (Slovenia Forest Service, 2016).</w:t>
      </w:r>
    </w:p>
    <w:p w:rsidR="00000000" w:rsidDel="00000000" w:rsidP="00000000" w:rsidRDefault="00000000" w:rsidRPr="00000000" w14:paraId="00000037">
      <w:pPr>
        <w:spacing w:after="120" w:lineRule="auto"/>
        <w:rPr/>
      </w:pPr>
      <w:hyperlink r:id="rId10">
        <w:r w:rsidDel="00000000" w:rsidR="00000000" w:rsidRPr="00000000">
          <w:rPr>
            <w:color w:val="0563c1"/>
            <w:u w:val="single"/>
            <w:rtl w:val="0"/>
          </w:rPr>
          <w:t xml:space="preserve">Key actions for large carnivore populations in Europe</w:t>
        </w:r>
      </w:hyperlink>
      <w:r w:rsidDel="00000000" w:rsidR="00000000" w:rsidRPr="00000000">
        <w:rPr>
          <w:rtl w:val="0"/>
        </w:rPr>
        <w:t xml:space="preserve"> (Report to DG Environment, European Commission, 2015).</w:t>
      </w:r>
    </w:p>
    <w:p w:rsidR="00000000" w:rsidDel="00000000" w:rsidP="00000000" w:rsidRDefault="00000000" w:rsidRPr="00000000" w14:paraId="00000038">
      <w:pPr>
        <w:spacing w:after="120" w:lineRule="auto"/>
        <w:rPr/>
      </w:pPr>
      <w:hyperlink r:id="rId11">
        <w:r w:rsidDel="00000000" w:rsidR="00000000" w:rsidRPr="00000000">
          <w:rPr>
            <w:color w:val="0563c1"/>
            <w:u w:val="single"/>
            <w:rtl w:val="0"/>
          </w:rPr>
          <w:t xml:space="preserve">Policy and considerations on trophy hunting</w:t>
        </w:r>
      </w:hyperlink>
      <w:r w:rsidDel="00000000" w:rsidR="00000000" w:rsidRPr="00000000">
        <w:rPr>
          <w:rtl w:val="0"/>
        </w:rPr>
        <w:t xml:space="preserve"> (WWF, 2016).</w:t>
      </w:r>
    </w:p>
    <w:p w:rsidR="00000000" w:rsidDel="00000000" w:rsidP="00000000" w:rsidRDefault="00000000" w:rsidRPr="00000000" w14:paraId="00000039">
      <w:pPr>
        <w:spacing w:after="120" w:lineRule="auto"/>
        <w:rPr/>
      </w:pPr>
      <w:hyperlink r:id="rId12">
        <w:r w:rsidDel="00000000" w:rsidR="00000000" w:rsidRPr="00000000">
          <w:rPr>
            <w:color w:val="0563c1"/>
            <w:u w:val="single"/>
            <w:rtl w:val="0"/>
          </w:rPr>
          <w:t xml:space="preserve">Informing decisions on trophy hunting</w:t>
        </w:r>
      </w:hyperlink>
      <w:r w:rsidDel="00000000" w:rsidR="00000000" w:rsidRPr="00000000">
        <w:rPr>
          <w:rtl w:val="0"/>
        </w:rPr>
        <w:t xml:space="preserve"> (IUCN, 2016).</w:t>
      </w:r>
    </w:p>
    <w:p w:rsidR="00000000" w:rsidDel="00000000" w:rsidP="00000000" w:rsidRDefault="00000000" w:rsidRPr="00000000" w14:paraId="0000003A">
      <w:pPr>
        <w:spacing w:after="120" w:lineRule="auto"/>
        <w:rPr/>
      </w:pPr>
      <w:hyperlink r:id="rId13">
        <w:r w:rsidDel="00000000" w:rsidR="00000000" w:rsidRPr="00000000">
          <w:rPr>
            <w:color w:val="0563c1"/>
            <w:u w:val="single"/>
            <w:rtl w:val="0"/>
          </w:rPr>
          <w:t xml:space="preserve">Guiding principles on trophy hunting as a tool for creating conservation incentives</w:t>
        </w:r>
      </w:hyperlink>
      <w:r w:rsidDel="00000000" w:rsidR="00000000" w:rsidRPr="00000000">
        <w:rPr>
          <w:rtl w:val="0"/>
        </w:rPr>
        <w:t xml:space="preserve"> (IUCN, 2012).</w:t>
      </w:r>
    </w:p>
    <w:p w:rsidR="00000000" w:rsidDel="00000000" w:rsidP="00000000" w:rsidRDefault="00000000" w:rsidRPr="00000000" w14:paraId="0000003B">
      <w:pPr>
        <w:spacing w:after="120" w:lineRule="auto"/>
        <w:rPr/>
      </w:pPr>
      <w:hyperlink r:id="rId14">
        <w:r w:rsidDel="00000000" w:rsidR="00000000" w:rsidRPr="00000000">
          <w:rPr>
            <w:color w:val="0563c1"/>
            <w:u w:val="single"/>
            <w:rtl w:val="0"/>
          </w:rPr>
          <w:t xml:space="preserve">Guidelines for population level management plans for large carnivores in Europe</w:t>
        </w:r>
      </w:hyperlink>
      <w:r w:rsidDel="00000000" w:rsidR="00000000" w:rsidRPr="00000000">
        <w:rPr>
          <w:rtl w:val="0"/>
        </w:rPr>
        <w:t xml:space="preserve"> (Report for the European Commission, 2008).</w:t>
      </w:r>
    </w:p>
    <w:p w:rsidR="00000000" w:rsidDel="00000000" w:rsidP="00000000" w:rsidRDefault="00000000" w:rsidRPr="00000000" w14:paraId="0000003C">
      <w:pPr>
        <w:spacing w:after="120" w:lineRule="auto"/>
        <w:rPr/>
      </w:pPr>
      <w:hyperlink r:id="rId15">
        <w:r w:rsidDel="00000000" w:rsidR="00000000" w:rsidRPr="00000000">
          <w:rPr>
            <w:color w:val="0563c1"/>
            <w:u w:val="single"/>
            <w:rtl w:val="0"/>
          </w:rPr>
          <w:t xml:space="preserve">Monitoring of large carnivores</w:t>
        </w:r>
      </w:hyperlink>
      <w:r w:rsidDel="00000000" w:rsidR="00000000" w:rsidRPr="00000000">
        <w:rPr>
          <w:rtl w:val="0"/>
        </w:rPr>
        <w:t xml:space="preserve"> (Policy support statement of the Large Carnivore Initiative for Europe, 2007).</w:t>
      </w:r>
    </w:p>
    <w:p w:rsidR="00000000" w:rsidDel="00000000" w:rsidP="00000000" w:rsidRDefault="00000000" w:rsidRPr="00000000" w14:paraId="0000003D">
      <w:pPr>
        <w:spacing w:after="120" w:lineRule="auto"/>
        <w:rPr/>
      </w:pPr>
      <w:hyperlink r:id="rId16">
        <w:r w:rsidDel="00000000" w:rsidR="00000000" w:rsidRPr="00000000">
          <w:rPr>
            <w:color w:val="0563c1"/>
            <w:u w:val="single"/>
            <w:rtl w:val="0"/>
          </w:rPr>
          <w:t xml:space="preserve">European charter on hunting and biodiversity</w:t>
        </w:r>
      </w:hyperlink>
      <w:r w:rsidDel="00000000" w:rsidR="00000000" w:rsidRPr="00000000">
        <w:rPr>
          <w:rtl w:val="0"/>
        </w:rPr>
        <w:t xml:space="preserve"> (Council of Europe, 2007).</w:t>
      </w:r>
    </w:p>
    <w:p w:rsidR="00000000" w:rsidDel="00000000" w:rsidP="00000000" w:rsidRDefault="00000000" w:rsidRPr="00000000" w14:paraId="0000003E">
      <w:pPr>
        <w:spacing w:after="120" w:lineRule="auto"/>
        <w:rPr/>
      </w:pPr>
      <w:hyperlink r:id="rId17">
        <w:r w:rsidDel="00000000" w:rsidR="00000000" w:rsidRPr="00000000">
          <w:rPr>
            <w:color w:val="0563c1"/>
            <w:u w:val="single"/>
            <w:rtl w:val="0"/>
          </w:rPr>
          <w:t xml:space="preserve">Guidelines on sustainable hunting in Europe</w:t>
        </w:r>
      </w:hyperlink>
      <w:r w:rsidDel="00000000" w:rsidR="00000000" w:rsidRPr="00000000">
        <w:rPr>
          <w:rtl w:val="0"/>
        </w:rPr>
        <w:t xml:space="preserve"> (IUCN, 2006).</w:t>
      </w:r>
    </w:p>
    <w:p w:rsidR="00000000" w:rsidDel="00000000" w:rsidP="00000000" w:rsidRDefault="00000000" w:rsidRPr="00000000" w14:paraId="0000003F">
      <w:pPr>
        <w:rPr/>
      </w:pPr>
      <w:hyperlink r:id="rId18">
        <w:r w:rsidDel="00000000" w:rsidR="00000000" w:rsidRPr="00000000">
          <w:rPr>
            <w:color w:val="0563c1"/>
            <w:u w:val="single"/>
            <w:rtl w:val="0"/>
          </w:rPr>
          <w:t xml:space="preserve">Position statement on the use of hunting, and lethal control, as means of managing large carnivore populations</w:t>
        </w:r>
      </w:hyperlink>
      <w:r w:rsidDel="00000000" w:rsidR="00000000" w:rsidRPr="00000000">
        <w:rPr>
          <w:rtl w:val="0"/>
        </w:rPr>
        <w:t xml:space="preserve"> (Council of Europe/Large Carnivore Initiative for Europe, 2002).</w:t>
      </w:r>
    </w:p>
    <w:p w:rsidR="00000000" w:rsidDel="00000000" w:rsidP="00000000" w:rsidRDefault="00000000" w:rsidRPr="00000000" w14:paraId="00000040">
      <w:pPr>
        <w:pStyle w:val="Heading1"/>
        <w:rPr/>
      </w:pPr>
      <w:r w:rsidDel="00000000" w:rsidR="00000000" w:rsidRPr="00000000">
        <w:rPr>
          <w:rtl w:val="0"/>
        </w:rPr>
        <w:t xml:space="preserve">Open-access papers</w:t>
      </w:r>
    </w:p>
    <w:p w:rsidR="00000000" w:rsidDel="00000000" w:rsidP="00000000" w:rsidRDefault="00000000" w:rsidRPr="00000000" w14:paraId="00000041">
      <w:pPr>
        <w:spacing w:after="120" w:lineRule="auto"/>
        <w:ind w:left="284" w:hanging="284"/>
        <w:rPr/>
      </w:pPr>
      <w:r w:rsidDel="00000000" w:rsidR="00000000" w:rsidRPr="00000000">
        <w:rPr>
          <w:rtl w:val="0"/>
        </w:rPr>
        <w:t xml:space="preserve">Anthony BP (2021). Paying for the past: The importance of fulfilling promises as a key component to resolving human–wildlife conflict. Sustainability 3(13): 7407. </w:t>
      </w:r>
      <w:hyperlink r:id="rId19">
        <w:r w:rsidDel="00000000" w:rsidR="00000000" w:rsidRPr="00000000">
          <w:rPr>
            <w:color w:val="0563c1"/>
            <w:u w:val="single"/>
            <w:rtl w:val="0"/>
          </w:rPr>
          <w:t xml:space="preserve">https://doi.org/10.3390/su13137407</w:t>
        </w:r>
      </w:hyperlink>
      <w:r w:rsidDel="00000000" w:rsidR="00000000" w:rsidRPr="00000000">
        <w:rPr>
          <w:rtl w:val="0"/>
        </w:rPr>
        <w:t xml:space="preserve">.</w:t>
      </w:r>
    </w:p>
    <w:p w:rsidR="00000000" w:rsidDel="00000000" w:rsidP="00000000" w:rsidRDefault="00000000" w:rsidRPr="00000000" w14:paraId="00000042">
      <w:pPr>
        <w:spacing w:after="120" w:lineRule="auto"/>
        <w:ind w:left="284" w:hanging="284"/>
        <w:rPr/>
      </w:pPr>
      <w:r w:rsidDel="00000000" w:rsidR="00000000" w:rsidRPr="00000000">
        <w:rPr>
          <w:rtl w:val="0"/>
        </w:rPr>
        <w:t xml:space="preserve">Arbieu U, et al. (2021). News selection and framing: the media as a stakeholder in human–carnivore coexistence. Environmental Research Letters 16(6): 064075. </w:t>
      </w:r>
      <w:hyperlink r:id="rId20">
        <w:r w:rsidDel="00000000" w:rsidR="00000000" w:rsidRPr="00000000">
          <w:rPr>
            <w:color w:val="0563c1"/>
            <w:u w:val="single"/>
            <w:rtl w:val="0"/>
          </w:rPr>
          <w:t xml:space="preserve">https://doi.org/10.1088/1748-9326/ac05ef</w:t>
        </w:r>
      </w:hyperlink>
      <w:r w:rsidDel="00000000" w:rsidR="00000000" w:rsidRPr="00000000">
        <w:rPr>
          <w:rtl w:val="0"/>
        </w:rPr>
        <w:t xml:space="preserve">.</w:t>
      </w:r>
    </w:p>
    <w:p w:rsidR="00000000" w:rsidDel="00000000" w:rsidP="00000000" w:rsidRDefault="00000000" w:rsidRPr="00000000" w14:paraId="00000043">
      <w:pPr>
        <w:spacing w:after="120" w:lineRule="auto"/>
        <w:ind w:left="284" w:hanging="284"/>
        <w:rPr/>
      </w:pPr>
      <w:r w:rsidDel="00000000" w:rsidR="00000000" w:rsidRPr="00000000">
        <w:rPr>
          <w:rtl w:val="0"/>
        </w:rPr>
        <w:t xml:space="preserve">Barmoen M, et al. (2021). Trust in large carnivore science in Norway. European Journal of Wildlife Research 67: 98. </w:t>
      </w:r>
      <w:hyperlink r:id="rId21">
        <w:r w:rsidDel="00000000" w:rsidR="00000000" w:rsidRPr="00000000">
          <w:rPr>
            <w:color w:val="0563c1"/>
            <w:u w:val="single"/>
            <w:rtl w:val="0"/>
          </w:rPr>
          <w:t xml:space="preserve">https://doi.org/10.1007/s10344-021-01538-7</w:t>
        </w:r>
      </w:hyperlink>
      <w:r w:rsidDel="00000000" w:rsidR="00000000" w:rsidRPr="00000000">
        <w:rPr>
          <w:rtl w:val="0"/>
        </w:rPr>
        <w:t xml:space="preserve">.</w:t>
      </w:r>
    </w:p>
    <w:p w:rsidR="00000000" w:rsidDel="00000000" w:rsidP="00000000" w:rsidRDefault="00000000" w:rsidRPr="00000000" w14:paraId="00000044">
      <w:pPr>
        <w:spacing w:after="120" w:lineRule="auto"/>
        <w:ind w:left="284" w:hanging="284"/>
        <w:rPr/>
      </w:pPr>
      <w:r w:rsidDel="00000000" w:rsidR="00000000" w:rsidRPr="00000000">
        <w:rPr>
          <w:rtl w:val="0"/>
        </w:rPr>
        <w:t xml:space="preserve">Bischof R, et al. (2012). Implementation uncertainty when using recreational hunting to manage carnivores. Journal of Applied Ecology 49(4): 824–832. </w:t>
      </w:r>
      <w:hyperlink r:id="rId22">
        <w:r w:rsidDel="00000000" w:rsidR="00000000" w:rsidRPr="00000000">
          <w:rPr>
            <w:color w:val="0563c1"/>
            <w:u w:val="single"/>
            <w:rtl w:val="0"/>
          </w:rPr>
          <w:t xml:space="preserve">https://doi.org/10.1111/j.1365-2664.2012.02167.x</w:t>
        </w:r>
      </w:hyperlink>
      <w:r w:rsidDel="00000000" w:rsidR="00000000" w:rsidRPr="00000000">
        <w:rPr>
          <w:rtl w:val="0"/>
        </w:rPr>
        <w:t xml:space="preserve">.</w:t>
      </w:r>
    </w:p>
    <w:p w:rsidR="00000000" w:rsidDel="00000000" w:rsidP="00000000" w:rsidRDefault="00000000" w:rsidRPr="00000000" w14:paraId="00000045">
      <w:pPr>
        <w:spacing w:after="120" w:lineRule="auto"/>
        <w:ind w:left="284" w:hanging="284"/>
        <w:rPr/>
      </w:pPr>
      <w:r w:rsidDel="00000000" w:rsidR="00000000" w:rsidRPr="00000000">
        <w:rPr>
          <w:rtl w:val="0"/>
        </w:rPr>
        <w:t xml:space="preserve">Borg BL, et al. (2015). Impacts of breeder loss on social structure, reproduction and population growth in a social canid. Journal of Animal Ecology 84(1): 177–187. </w:t>
      </w:r>
      <w:hyperlink r:id="rId23">
        <w:r w:rsidDel="00000000" w:rsidR="00000000" w:rsidRPr="00000000">
          <w:rPr>
            <w:color w:val="0563c1"/>
            <w:u w:val="single"/>
            <w:rtl w:val="0"/>
          </w:rPr>
          <w:t xml:space="preserve">https://doi.org/10.1111/1365-2656.12256</w:t>
        </w:r>
      </w:hyperlink>
      <w:r w:rsidDel="00000000" w:rsidR="00000000" w:rsidRPr="00000000">
        <w:rPr>
          <w:rtl w:val="0"/>
        </w:rPr>
        <w:t xml:space="preserve">.</w:t>
      </w:r>
    </w:p>
    <w:p w:rsidR="00000000" w:rsidDel="00000000" w:rsidP="00000000" w:rsidRDefault="00000000" w:rsidRPr="00000000" w14:paraId="00000046">
      <w:pPr>
        <w:spacing w:after="120" w:lineRule="auto"/>
        <w:ind w:left="284" w:hanging="284"/>
        <w:rPr/>
      </w:pPr>
      <w:r w:rsidDel="00000000" w:rsidR="00000000" w:rsidRPr="00000000">
        <w:rPr>
          <w:rtl w:val="0"/>
        </w:rPr>
        <w:t xml:space="preserve">Bruskotter JT, et al. (2021). Tragic trade-offs accompany carnivore coexistence in the modern world. Conservation Letters: 00e12839. </w:t>
      </w:r>
      <w:hyperlink r:id="rId24">
        <w:r w:rsidDel="00000000" w:rsidR="00000000" w:rsidRPr="00000000">
          <w:rPr>
            <w:color w:val="0563c1"/>
            <w:u w:val="single"/>
            <w:rtl w:val="0"/>
          </w:rPr>
          <w:t xml:space="preserve">https://doi.org/10.1111/conl.12841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spacing w:after="120" w:lineRule="auto"/>
        <w:ind w:left="284" w:hanging="284"/>
        <w:rPr/>
      </w:pPr>
      <w:r w:rsidDel="00000000" w:rsidR="00000000" w:rsidRPr="00000000">
        <w:rPr>
          <w:rtl w:val="0"/>
        </w:rPr>
        <w:t xml:space="preserve">Cretois B, et al. (2020). Hunters as citizen scientists: Contributions to biodiversity monitoring in Europe. Global Ecology and Conservation 23: e01077. </w:t>
      </w:r>
      <w:hyperlink r:id="rId25">
        <w:r w:rsidDel="00000000" w:rsidR="00000000" w:rsidRPr="00000000">
          <w:rPr>
            <w:color w:val="0563c1"/>
            <w:u w:val="single"/>
            <w:rtl w:val="0"/>
          </w:rPr>
          <w:t xml:space="preserve">https://doi.org/10.1016/j.gecco.2020.e01077</w:t>
        </w:r>
      </w:hyperlink>
      <w:r w:rsidDel="00000000" w:rsidR="00000000" w:rsidRPr="00000000">
        <w:rPr>
          <w:rtl w:val="0"/>
        </w:rPr>
        <w:t xml:space="preserve">.</w:t>
      </w:r>
    </w:p>
    <w:p w:rsidR="00000000" w:rsidDel="00000000" w:rsidP="00000000" w:rsidRDefault="00000000" w:rsidRPr="00000000" w14:paraId="00000048">
      <w:pPr>
        <w:spacing w:after="120" w:lineRule="auto"/>
        <w:ind w:left="284" w:hanging="284"/>
        <w:rPr/>
      </w:pPr>
      <w:r w:rsidDel="00000000" w:rsidR="00000000" w:rsidRPr="00000000">
        <w:rPr>
          <w:rtl w:val="0"/>
        </w:rPr>
        <w:t xml:space="preserve">Grossmann CM, et al. (2020). Human-large carnivores co-existence in Europe – A comparative stakeholder network analysis. Frontiers in Ecology and Evolution 8: 266. </w:t>
      </w:r>
      <w:hyperlink r:id="rId26">
        <w:r w:rsidDel="00000000" w:rsidR="00000000" w:rsidRPr="00000000">
          <w:rPr>
            <w:color w:val="0563c1"/>
            <w:u w:val="single"/>
            <w:rtl w:val="0"/>
          </w:rPr>
          <w:t xml:space="preserve">https://doi.org/10.3389/fevo.2020.00266</w:t>
        </w:r>
      </w:hyperlink>
      <w:r w:rsidDel="00000000" w:rsidR="00000000" w:rsidRPr="00000000">
        <w:rPr>
          <w:rtl w:val="0"/>
        </w:rPr>
        <w:t xml:space="preserve">.</w:t>
      </w:r>
    </w:p>
    <w:p w:rsidR="00000000" w:rsidDel="00000000" w:rsidP="00000000" w:rsidRDefault="00000000" w:rsidRPr="00000000" w14:paraId="00000049">
      <w:pPr>
        <w:spacing w:after="120" w:lineRule="auto"/>
        <w:ind w:left="284" w:hanging="284"/>
        <w:rPr/>
      </w:pPr>
      <w:r w:rsidDel="00000000" w:rsidR="00000000" w:rsidRPr="00000000">
        <w:rPr>
          <w:rtl w:val="0"/>
        </w:rPr>
        <w:t xml:space="preserve">Hovardas T (2020). Social learning approach for stakeholder engagement in large carnivore conservation and management. Frontiers in Ecology and Evolution 8: 525278. </w:t>
      </w:r>
      <w:hyperlink r:id="rId27">
        <w:r w:rsidDel="00000000" w:rsidR="00000000" w:rsidRPr="00000000">
          <w:rPr>
            <w:color w:val="0563c1"/>
            <w:u w:val="single"/>
            <w:rtl w:val="0"/>
          </w:rPr>
          <w:t xml:space="preserve">https://doi.org/10.3389/fevo.2020.525278</w:t>
        </w:r>
      </w:hyperlink>
      <w:r w:rsidDel="00000000" w:rsidR="00000000" w:rsidRPr="00000000">
        <w:rPr>
          <w:rtl w:val="0"/>
        </w:rPr>
        <w:t xml:space="preserve">.</w:t>
      </w:r>
    </w:p>
    <w:p w:rsidR="00000000" w:rsidDel="00000000" w:rsidP="00000000" w:rsidRDefault="00000000" w:rsidRPr="00000000" w14:paraId="0000004A">
      <w:pPr>
        <w:spacing w:after="120" w:lineRule="auto"/>
        <w:ind w:left="284" w:hanging="284"/>
        <w:rPr/>
      </w:pPr>
      <w:r w:rsidDel="00000000" w:rsidR="00000000" w:rsidRPr="00000000">
        <w:rPr>
          <w:rtl w:val="0"/>
        </w:rPr>
        <w:t xml:space="preserve">König HJ, et al. (2021). Integrated framework for stakeholder participation: Methods and tools for identifying and addressing human–wildlife conflicts. Conservation Science and Practice 3(2): e399. </w:t>
      </w:r>
      <w:hyperlink r:id="rId28">
        <w:r w:rsidDel="00000000" w:rsidR="00000000" w:rsidRPr="00000000">
          <w:rPr>
            <w:color w:val="0563c1"/>
            <w:u w:val="single"/>
            <w:rtl w:val="0"/>
          </w:rPr>
          <w:t xml:space="preserve">https://doi.org/10.1111/csp2.399</w:t>
        </w:r>
      </w:hyperlink>
      <w:r w:rsidDel="00000000" w:rsidR="00000000" w:rsidRPr="00000000">
        <w:rPr>
          <w:rtl w:val="0"/>
        </w:rPr>
        <w:t xml:space="preserve">.</w:t>
      </w:r>
    </w:p>
    <w:p w:rsidR="00000000" w:rsidDel="00000000" w:rsidP="00000000" w:rsidRDefault="00000000" w:rsidRPr="00000000" w14:paraId="0000004B">
      <w:pPr>
        <w:spacing w:after="120" w:lineRule="auto"/>
        <w:ind w:left="284" w:hanging="284"/>
        <w:rPr/>
      </w:pPr>
      <w:r w:rsidDel="00000000" w:rsidR="00000000" w:rsidRPr="00000000">
        <w:rPr>
          <w:rtl w:val="0"/>
        </w:rPr>
        <w:t xml:space="preserve">Leclerc M, et al. (2019). Hunters select for </w:t>
      </w:r>
      <w:r w:rsidDel="00000000" w:rsidR="00000000" w:rsidRPr="00000000">
        <w:rPr>
          <w:rtl w:val="0"/>
        </w:rPr>
        <w:t xml:space="preserve">behavioral</w:t>
      </w:r>
      <w:r w:rsidDel="00000000" w:rsidR="00000000" w:rsidRPr="00000000">
        <w:rPr>
          <w:rtl w:val="0"/>
        </w:rPr>
        <w:t xml:space="preserve"> traits in a large carnivore. Scientific Reports 9: 12371. </w:t>
      </w:r>
      <w:hyperlink r:id="rId29">
        <w:r w:rsidDel="00000000" w:rsidR="00000000" w:rsidRPr="00000000">
          <w:rPr>
            <w:color w:val="0563c1"/>
            <w:u w:val="single"/>
            <w:rtl w:val="0"/>
          </w:rPr>
          <w:t xml:space="preserve">https://doi.org/10.1038/s41598-019-48853-3</w:t>
        </w:r>
      </w:hyperlink>
      <w:r w:rsidDel="00000000" w:rsidR="00000000" w:rsidRPr="00000000">
        <w:rPr>
          <w:rtl w:val="0"/>
        </w:rPr>
        <w:t xml:space="preserve">.</w:t>
      </w:r>
    </w:p>
    <w:p w:rsidR="00000000" w:rsidDel="00000000" w:rsidP="00000000" w:rsidRDefault="00000000" w:rsidRPr="00000000" w14:paraId="0000004C">
      <w:pPr>
        <w:spacing w:after="120" w:lineRule="auto"/>
        <w:ind w:left="284" w:hanging="284"/>
        <w:rPr/>
      </w:pPr>
      <w:r w:rsidDel="00000000" w:rsidR="00000000" w:rsidRPr="00000000">
        <w:rPr>
          <w:rtl w:val="0"/>
        </w:rPr>
        <w:t xml:space="preserve">Liberg O, et al. (2012). Shoot, shovel and shut up: cryptic poaching slows restoration of a large carnivore in Europe. Proceedings of the Royal Society B 279(1730): 279910–915. </w:t>
      </w:r>
      <w:hyperlink r:id="rId30">
        <w:r w:rsidDel="00000000" w:rsidR="00000000" w:rsidRPr="00000000">
          <w:rPr>
            <w:color w:val="0563c1"/>
            <w:u w:val="single"/>
            <w:rtl w:val="0"/>
          </w:rPr>
          <w:t xml:space="preserve">http://doi.org/10.1098/rspb.2011.1275</w:t>
        </w:r>
      </w:hyperlink>
      <w:r w:rsidDel="00000000" w:rsidR="00000000" w:rsidRPr="00000000">
        <w:rPr>
          <w:rtl w:val="0"/>
        </w:rPr>
        <w:t xml:space="preserve">.</w:t>
      </w:r>
    </w:p>
    <w:p w:rsidR="00000000" w:rsidDel="00000000" w:rsidP="00000000" w:rsidRDefault="00000000" w:rsidRPr="00000000" w14:paraId="0000004D">
      <w:pPr>
        <w:spacing w:after="120" w:lineRule="auto"/>
        <w:ind w:left="284" w:hanging="284"/>
        <w:rPr/>
      </w:pPr>
      <w:r w:rsidDel="00000000" w:rsidR="00000000" w:rsidRPr="00000000">
        <w:rPr>
          <w:rtl w:val="0"/>
        </w:rPr>
        <w:t xml:space="preserve">Marino A, et al. (2021). Broadening the toolset for stakeholder engagement to explore consensus over wolf management. Journal of Environmental Management 296: 113125. </w:t>
      </w:r>
      <w:hyperlink r:id="rId31">
        <w:r w:rsidDel="00000000" w:rsidR="00000000" w:rsidRPr="00000000">
          <w:rPr>
            <w:color w:val="0563c1"/>
            <w:u w:val="single"/>
            <w:rtl w:val="0"/>
          </w:rPr>
          <w:t xml:space="preserve">https://doi.org/10.1016/j.jenvman.2021.113125</w:t>
        </w:r>
      </w:hyperlink>
      <w:r w:rsidDel="00000000" w:rsidR="00000000" w:rsidRPr="00000000">
        <w:rPr>
          <w:rtl w:val="0"/>
        </w:rPr>
        <w:t xml:space="preserve">.</w:t>
      </w:r>
    </w:p>
    <w:p w:rsidR="00000000" w:rsidDel="00000000" w:rsidP="00000000" w:rsidRDefault="00000000" w:rsidRPr="00000000" w14:paraId="0000004E">
      <w:pPr>
        <w:spacing w:after="120" w:lineRule="auto"/>
        <w:ind w:left="284" w:hanging="284"/>
        <w:rPr/>
      </w:pPr>
      <w:r w:rsidDel="00000000" w:rsidR="00000000" w:rsidRPr="00000000">
        <w:rPr>
          <w:rtl w:val="0"/>
        </w:rPr>
        <w:t xml:space="preserve">Meuret M, et al. (2021). Missing shots: has the possibility of shooting wolves been lacking for 20 years in France’s livestock protection measures? The Rangeland Journal 42(6): 401–413. </w:t>
      </w:r>
      <w:hyperlink r:id="rId32">
        <w:r w:rsidDel="00000000" w:rsidR="00000000" w:rsidRPr="00000000">
          <w:rPr>
            <w:color w:val="0563c1"/>
            <w:u w:val="single"/>
            <w:rtl w:val="0"/>
          </w:rPr>
          <w:t xml:space="preserve">https://doi.org/10.1071/RJ20046</w:t>
        </w:r>
      </w:hyperlink>
      <w:r w:rsidDel="00000000" w:rsidR="00000000" w:rsidRPr="00000000">
        <w:rPr>
          <w:rtl w:val="0"/>
        </w:rPr>
        <w:t xml:space="preserve">.</w:t>
      </w:r>
    </w:p>
    <w:p w:rsidR="00000000" w:rsidDel="00000000" w:rsidP="00000000" w:rsidRDefault="00000000" w:rsidRPr="00000000" w14:paraId="0000004F">
      <w:pPr>
        <w:spacing w:after="120" w:lineRule="auto"/>
        <w:ind w:left="284" w:hanging="284"/>
        <w:rPr/>
      </w:pPr>
      <w:r w:rsidDel="00000000" w:rsidR="00000000" w:rsidRPr="00000000">
        <w:rPr>
          <w:rtl w:val="0"/>
        </w:rPr>
        <w:t xml:space="preserve">Nanni V, et al. (2020). Social media and large carnivores: sharing </w:t>
      </w:r>
      <w:r w:rsidDel="00000000" w:rsidR="00000000" w:rsidRPr="00000000">
        <w:rPr>
          <w:rtl w:val="0"/>
        </w:rPr>
        <w:t xml:space="preserve">biased</w:t>
      </w:r>
      <w:r w:rsidDel="00000000" w:rsidR="00000000" w:rsidRPr="00000000">
        <w:rPr>
          <w:rtl w:val="0"/>
        </w:rPr>
        <w:t xml:space="preserve"> news on attacks on humans. Frontiers in Ecology and Evolution 8: 71. </w:t>
      </w:r>
      <w:hyperlink r:id="rId33">
        <w:r w:rsidDel="00000000" w:rsidR="00000000" w:rsidRPr="00000000">
          <w:rPr>
            <w:color w:val="0563c1"/>
            <w:u w:val="single"/>
            <w:rtl w:val="0"/>
          </w:rPr>
          <w:t xml:space="preserve">https://doi.org/10.3389/fevo.2020.00071</w:t>
        </w:r>
      </w:hyperlink>
      <w:r w:rsidDel="00000000" w:rsidR="00000000" w:rsidRPr="00000000">
        <w:rPr>
          <w:rtl w:val="0"/>
        </w:rPr>
        <w:t xml:space="preserve">.</w:t>
      </w:r>
    </w:p>
    <w:p w:rsidR="00000000" w:rsidDel="00000000" w:rsidP="00000000" w:rsidRDefault="00000000" w:rsidRPr="00000000" w14:paraId="00000050">
      <w:pPr>
        <w:spacing w:after="120" w:lineRule="auto"/>
        <w:ind w:left="284" w:hanging="284"/>
        <w:rPr/>
      </w:pPr>
      <w:r w:rsidDel="00000000" w:rsidR="00000000" w:rsidRPr="00000000">
        <w:rPr>
          <w:rtl w:val="0"/>
        </w:rPr>
        <w:t xml:space="preserve">Niedziałkowski K and Putkowska-Smoter R (2020). What makes a major change of wildlife management policy possible? Institutional analysis of Polish wolf governance. PLoS ONE 15(4): e0231601. </w:t>
      </w:r>
      <w:hyperlink r:id="rId34">
        <w:r w:rsidDel="00000000" w:rsidR="00000000" w:rsidRPr="00000000">
          <w:rPr>
            <w:color w:val="0563c1"/>
            <w:u w:val="single"/>
            <w:rtl w:val="0"/>
          </w:rPr>
          <w:t xml:space="preserve">https://doi.org/10.1371/journal.pone.0231601</w:t>
        </w:r>
      </w:hyperlink>
      <w:r w:rsidDel="00000000" w:rsidR="00000000" w:rsidRPr="00000000">
        <w:rPr>
          <w:rtl w:val="0"/>
        </w:rPr>
        <w:t xml:space="preserve">.</w:t>
      </w:r>
    </w:p>
    <w:p w:rsidR="00000000" w:rsidDel="00000000" w:rsidP="00000000" w:rsidRDefault="00000000" w:rsidRPr="00000000" w14:paraId="00000051">
      <w:pPr>
        <w:spacing w:after="120" w:lineRule="auto"/>
        <w:ind w:left="284" w:hanging="284"/>
        <w:rPr/>
      </w:pPr>
      <w:r w:rsidDel="00000000" w:rsidR="00000000" w:rsidRPr="00000000">
        <w:rPr>
          <w:rtl w:val="0"/>
        </w:rPr>
        <w:t xml:space="preserve">Nilsen EB, et al. (2012). Quota hunting of Eurasian lynx in Norway: patterns of hunter selection, hunter efficiency and monitoring accuracy. European Journal of Wildlife Research 58: 325–333. </w:t>
      </w:r>
      <w:hyperlink r:id="rId35">
        <w:r w:rsidDel="00000000" w:rsidR="00000000" w:rsidRPr="00000000">
          <w:rPr>
            <w:color w:val="0563c1"/>
            <w:u w:val="single"/>
            <w:rtl w:val="0"/>
          </w:rPr>
          <w:t xml:space="preserve">https://doi.org/10.1007/s10344-011-0585-z</w:t>
        </w:r>
      </w:hyperlink>
      <w:r w:rsidDel="00000000" w:rsidR="00000000" w:rsidRPr="00000000">
        <w:rPr>
          <w:rtl w:val="0"/>
        </w:rPr>
        <w:t xml:space="preserve">.</w:t>
      </w:r>
    </w:p>
    <w:p w:rsidR="00000000" w:rsidDel="00000000" w:rsidP="00000000" w:rsidRDefault="00000000" w:rsidRPr="00000000" w14:paraId="00000052">
      <w:pPr>
        <w:spacing w:after="120" w:lineRule="auto"/>
        <w:ind w:left="284" w:hanging="284"/>
        <w:rPr/>
      </w:pPr>
      <w:r w:rsidDel="00000000" w:rsidR="00000000" w:rsidRPr="00000000">
        <w:rPr>
          <w:rtl w:val="0"/>
        </w:rPr>
        <w:t xml:space="preserve">Pais B, et al. (2019). From conflict to collaboration: improving coexistence of people and large carnivores. Carnivore Damage Prevention News 18: 31–33. </w:t>
      </w:r>
      <w:hyperlink r:id="rId36">
        <w:r w:rsidDel="00000000" w:rsidR="00000000" w:rsidRPr="00000000">
          <w:rPr>
            <w:color w:val="0563c1"/>
            <w:u w:val="single"/>
            <w:rtl w:val="0"/>
          </w:rPr>
          <w:t xml:space="preserve">http://www.protectiondestroupeaux.ch/fileadmin/doc/International/CDP_and_General_Infos/CDPNews18_Summer_2019.pdf</w:t>
        </w:r>
      </w:hyperlink>
      <w:r w:rsidDel="00000000" w:rsidR="00000000" w:rsidRPr="00000000">
        <w:rPr>
          <w:rtl w:val="0"/>
        </w:rPr>
      </w:r>
    </w:p>
    <w:p w:rsidR="00000000" w:rsidDel="00000000" w:rsidP="00000000" w:rsidRDefault="00000000" w:rsidRPr="00000000" w14:paraId="00000053">
      <w:pPr>
        <w:spacing w:after="120" w:lineRule="auto"/>
        <w:ind w:left="284" w:hanging="284"/>
        <w:rPr/>
      </w:pPr>
      <w:r w:rsidDel="00000000" w:rsidR="00000000" w:rsidRPr="00000000">
        <w:rPr>
          <w:rtl w:val="0"/>
        </w:rPr>
        <w:t xml:space="preserve">Redpath SM, et al. (2013). Understanding and managing conflicts in biodiversity conservation. Trends in Ecology and Evolution 28(2): 100-109. </w:t>
      </w:r>
      <w:hyperlink r:id="rId37">
        <w:r w:rsidDel="00000000" w:rsidR="00000000" w:rsidRPr="00000000">
          <w:rPr>
            <w:color w:val="0563c1"/>
            <w:u w:val="single"/>
            <w:rtl w:val="0"/>
          </w:rPr>
          <w:t xml:space="preserve">https://doi.org/10.1016/j.tree.2012.08.021</w:t>
        </w:r>
      </w:hyperlink>
      <w:r w:rsidDel="00000000" w:rsidR="00000000" w:rsidRPr="00000000">
        <w:rPr>
          <w:rtl w:val="0"/>
        </w:rPr>
        <w:t xml:space="preserve">.</w:t>
      </w:r>
    </w:p>
    <w:p w:rsidR="00000000" w:rsidDel="00000000" w:rsidP="00000000" w:rsidRDefault="00000000" w:rsidRPr="00000000" w14:paraId="00000054">
      <w:pPr>
        <w:spacing w:after="120" w:lineRule="auto"/>
        <w:ind w:left="284" w:hanging="284"/>
        <w:rPr/>
      </w:pPr>
      <w:r w:rsidDel="00000000" w:rsidR="00000000" w:rsidRPr="00000000">
        <w:rPr>
          <w:rtl w:val="0"/>
        </w:rPr>
        <w:t xml:space="preserve">Rode J, et al. (2021). Why so negative? Exploring the socio-economic impacts of large carnivores from a European perspective. Biological Conservation 255: 108918. </w:t>
      </w:r>
      <w:hyperlink r:id="rId38">
        <w:r w:rsidDel="00000000" w:rsidR="00000000" w:rsidRPr="00000000">
          <w:rPr>
            <w:color w:val="0563c1"/>
            <w:u w:val="single"/>
            <w:rtl w:val="0"/>
          </w:rPr>
          <w:t xml:space="preserve">https://doi.org/10.1016/j.biocon.2020.108918</w:t>
        </w:r>
      </w:hyperlink>
      <w:r w:rsidDel="00000000" w:rsidR="00000000" w:rsidRPr="00000000">
        <w:rPr>
          <w:rtl w:val="0"/>
        </w:rPr>
        <w:t xml:space="preserve">.</w:t>
      </w:r>
    </w:p>
    <w:p w:rsidR="00000000" w:rsidDel="00000000" w:rsidP="00000000" w:rsidRDefault="00000000" w:rsidRPr="00000000" w14:paraId="00000055">
      <w:pPr>
        <w:spacing w:after="120" w:lineRule="auto"/>
        <w:ind w:left="284" w:hanging="284"/>
        <w:rPr/>
      </w:pPr>
      <w:r w:rsidDel="00000000" w:rsidR="00000000" w:rsidRPr="00000000">
        <w:rPr>
          <w:rtl w:val="0"/>
        </w:rPr>
        <w:t xml:space="preserve">Salvatori V, et al. (2020). Applying participatory processes to address conflicts over the conservation of large carnivores: understanding conditions for successful management. Frontiers in Ecology and Evolution 8: 182. </w:t>
      </w:r>
      <w:hyperlink r:id="rId39">
        <w:r w:rsidDel="00000000" w:rsidR="00000000" w:rsidRPr="00000000">
          <w:rPr>
            <w:color w:val="0563c1"/>
            <w:u w:val="single"/>
            <w:rtl w:val="0"/>
          </w:rPr>
          <w:t xml:space="preserve">https://doi.org/10.3389/fevo.2020.00182</w:t>
        </w:r>
      </w:hyperlink>
      <w:r w:rsidDel="00000000" w:rsidR="00000000" w:rsidRPr="00000000">
        <w:rPr>
          <w:rtl w:val="0"/>
        </w:rPr>
        <w:t xml:space="preserve">.</w:t>
      </w:r>
    </w:p>
    <w:p w:rsidR="00000000" w:rsidDel="00000000" w:rsidP="00000000" w:rsidRDefault="00000000" w:rsidRPr="00000000" w14:paraId="00000056">
      <w:pPr>
        <w:spacing w:after="120" w:lineRule="auto"/>
        <w:ind w:left="284" w:hanging="284"/>
        <w:rPr/>
      </w:pPr>
      <w:r w:rsidDel="00000000" w:rsidR="00000000" w:rsidRPr="00000000">
        <w:rPr>
          <w:rtl w:val="0"/>
        </w:rPr>
        <w:t xml:space="preserve">Salvatori V, et al. (2021). Are large carnivores the real issue? Solutions for improving conflict management through stakeholder participation. Sustainability 13: 4482. </w:t>
      </w:r>
      <w:hyperlink r:id="rId40">
        <w:r w:rsidDel="00000000" w:rsidR="00000000" w:rsidRPr="00000000">
          <w:rPr>
            <w:color w:val="0563c1"/>
            <w:u w:val="single"/>
            <w:rtl w:val="0"/>
          </w:rPr>
          <w:t xml:space="preserve">https://doi.org/10.3390/su13084482</w:t>
        </w:r>
      </w:hyperlink>
      <w:r w:rsidDel="00000000" w:rsidR="00000000" w:rsidRPr="00000000">
        <w:rPr>
          <w:rtl w:val="0"/>
        </w:rPr>
        <w:t xml:space="preserve">.</w:t>
      </w:r>
    </w:p>
    <w:p w:rsidR="00000000" w:rsidDel="00000000" w:rsidP="00000000" w:rsidRDefault="00000000" w:rsidRPr="00000000" w14:paraId="00000057">
      <w:pPr>
        <w:spacing w:after="120" w:lineRule="auto"/>
        <w:ind w:left="284" w:hanging="284"/>
        <w:rPr/>
      </w:pPr>
      <w:r w:rsidDel="00000000" w:rsidR="00000000" w:rsidRPr="00000000">
        <w:rPr>
          <w:rtl w:val="0"/>
        </w:rPr>
        <w:t xml:space="preserve">Sjölander-Lindqvist A, et al. (2020). Knowledge claims and struggles in </w:t>
      </w:r>
      <w:r w:rsidDel="00000000" w:rsidR="00000000" w:rsidRPr="00000000">
        <w:rPr>
          <w:rtl w:val="0"/>
        </w:rPr>
        <w:t xml:space="preserve">decentralized</w:t>
      </w:r>
      <w:r w:rsidDel="00000000" w:rsidR="00000000" w:rsidRPr="00000000">
        <w:rPr>
          <w:rtl w:val="0"/>
        </w:rPr>
        <w:t xml:space="preserve"> large carnivore governance: insights from Norway and Sweden. Frontiers in Ecology and Evolution 8: 120. </w:t>
      </w:r>
      <w:hyperlink r:id="rId41">
        <w:r w:rsidDel="00000000" w:rsidR="00000000" w:rsidRPr="00000000">
          <w:rPr>
            <w:color w:val="0563c1"/>
            <w:u w:val="single"/>
            <w:rtl w:val="0"/>
          </w:rPr>
          <w:t xml:space="preserve">https://doi.org/10.3389/fevo.2020.00120</w:t>
        </w:r>
      </w:hyperlink>
      <w:r w:rsidDel="00000000" w:rsidR="00000000" w:rsidRPr="00000000">
        <w:rPr>
          <w:rtl w:val="0"/>
        </w:rPr>
        <w:t xml:space="preserve">.</w:t>
      </w:r>
    </w:p>
    <w:p w:rsidR="00000000" w:rsidDel="00000000" w:rsidP="00000000" w:rsidRDefault="00000000" w:rsidRPr="00000000" w14:paraId="00000058">
      <w:pPr>
        <w:spacing w:after="120" w:lineRule="auto"/>
        <w:ind w:left="284" w:hanging="284"/>
        <w:rPr/>
      </w:pPr>
      <w:r w:rsidDel="00000000" w:rsidR="00000000" w:rsidRPr="00000000">
        <w:rPr>
          <w:rtl w:val="0"/>
        </w:rPr>
        <w:t xml:space="preserve">Šuba J (2021). Closer to carrying capacity: analysis of the internal demographic structure associated with the management and density dependence of a controlled wolf population in Latvia. Sustainability 13(17): 9783. </w:t>
      </w:r>
      <w:hyperlink r:id="rId42">
        <w:r w:rsidDel="00000000" w:rsidR="00000000" w:rsidRPr="00000000">
          <w:rPr>
            <w:color w:val="0563c1"/>
            <w:u w:val="single"/>
            <w:rtl w:val="0"/>
          </w:rPr>
          <w:t xml:space="preserve">https://doi.org/10.3390/su13179783</w:t>
        </w:r>
      </w:hyperlink>
      <w:r w:rsidDel="00000000" w:rsidR="00000000" w:rsidRPr="00000000">
        <w:rPr>
          <w:rtl w:val="0"/>
        </w:rPr>
        <w:t xml:space="preserve">.</w:t>
      </w:r>
    </w:p>
    <w:p w:rsidR="00000000" w:rsidDel="00000000" w:rsidP="00000000" w:rsidRDefault="00000000" w:rsidRPr="00000000" w14:paraId="00000059">
      <w:pPr>
        <w:spacing w:after="120" w:lineRule="auto"/>
        <w:ind w:left="284" w:hanging="284"/>
        <w:rPr/>
      </w:pPr>
      <w:r w:rsidDel="00000000" w:rsidR="00000000" w:rsidRPr="00000000">
        <w:rPr>
          <w:rtl w:val="0"/>
        </w:rPr>
        <w:t xml:space="preserve">Treves A (2009). Hunting for large carnivore conservation. Journal of Applied Ecology 46(6): 1350-1356. </w:t>
      </w:r>
      <w:hyperlink r:id="rId43">
        <w:r w:rsidDel="00000000" w:rsidR="00000000" w:rsidRPr="00000000">
          <w:rPr>
            <w:color w:val="0563c1"/>
            <w:u w:val="single"/>
            <w:rtl w:val="0"/>
          </w:rPr>
          <w:t xml:space="preserve">https://doi.org/10.1111/j.1365-2664.2009.01729.x</w:t>
        </w:r>
      </w:hyperlink>
      <w:r w:rsidDel="00000000" w:rsidR="00000000" w:rsidRPr="00000000">
        <w:rPr>
          <w:rtl w:val="0"/>
        </w:rPr>
        <w:t xml:space="preserve">.</w:t>
      </w:r>
    </w:p>
    <w:p w:rsidR="00000000" w:rsidDel="00000000" w:rsidP="00000000" w:rsidRDefault="00000000" w:rsidRPr="00000000" w14:paraId="0000005A">
      <w:pPr>
        <w:spacing w:after="120" w:lineRule="auto"/>
        <w:ind w:left="284" w:hanging="284"/>
        <w:rPr/>
      </w:pPr>
      <w:r w:rsidDel="00000000" w:rsidR="00000000" w:rsidRPr="00000000">
        <w:rPr>
          <w:rtl w:val="0"/>
        </w:rPr>
        <w:t xml:space="preserve">Treves A, et al. (2016). Predator control should not be a shot in the dark. Frontiers in Ecology and the Environment 14(7): 380-388. </w:t>
      </w:r>
      <w:hyperlink r:id="rId44">
        <w:r w:rsidDel="00000000" w:rsidR="00000000" w:rsidRPr="00000000">
          <w:rPr>
            <w:color w:val="0563c1"/>
            <w:u w:val="single"/>
            <w:rtl w:val="0"/>
          </w:rPr>
          <w:t xml:space="preserve">https://doi.org/10.1002/fee.1312</w:t>
        </w:r>
      </w:hyperlink>
      <w:r w:rsidDel="00000000" w:rsidR="00000000" w:rsidRPr="00000000">
        <w:rPr>
          <w:rtl w:val="0"/>
        </w:rPr>
        <w:t xml:space="preserve">.</w:t>
      </w:r>
    </w:p>
    <w:p w:rsidR="00000000" w:rsidDel="00000000" w:rsidP="00000000" w:rsidRDefault="00000000" w:rsidRPr="00000000" w14:paraId="0000005B">
      <w:pPr>
        <w:spacing w:after="120" w:lineRule="auto"/>
        <w:ind w:left="284" w:hanging="284"/>
        <w:rPr/>
      </w:pPr>
      <w:r w:rsidDel="00000000" w:rsidR="00000000" w:rsidRPr="00000000">
        <w:rPr>
          <w:rtl w:val="0"/>
        </w:rPr>
        <w:t xml:space="preserve">Treves A, et al. (2019a). Differentiating between regulation and hunting as conservation interventions. Conservation Biology 33(2): 472-475. </w:t>
      </w:r>
      <w:hyperlink r:id="rId45">
        <w:r w:rsidDel="00000000" w:rsidR="00000000" w:rsidRPr="00000000">
          <w:rPr>
            <w:color w:val="0563c1"/>
            <w:u w:val="single"/>
            <w:rtl w:val="0"/>
          </w:rPr>
          <w:t xml:space="preserve">https://doi.org/10.1111/cobi.13211</w:t>
        </w:r>
      </w:hyperlink>
      <w:r w:rsidDel="00000000" w:rsidR="00000000" w:rsidRPr="00000000">
        <w:rPr>
          <w:rtl w:val="0"/>
        </w:rPr>
        <w:t xml:space="preserve">.</w:t>
      </w:r>
    </w:p>
    <w:p w:rsidR="00000000" w:rsidDel="00000000" w:rsidP="00000000" w:rsidRDefault="00000000" w:rsidRPr="00000000" w14:paraId="0000005C">
      <w:pPr>
        <w:spacing w:after="120" w:lineRule="auto"/>
        <w:ind w:left="284" w:hanging="284"/>
        <w:rPr/>
      </w:pPr>
      <w:r w:rsidDel="00000000" w:rsidR="00000000" w:rsidRPr="00000000">
        <w:rPr>
          <w:rtl w:val="0"/>
        </w:rPr>
        <w:t xml:space="preserve">Treves A, et al. (2019b). Predator control needs a standard of unbiased </w:t>
      </w:r>
      <w:r w:rsidDel="00000000" w:rsidR="00000000" w:rsidRPr="00000000">
        <w:rPr>
          <w:rtl w:val="0"/>
        </w:rPr>
        <w:t xml:space="preserve">randomized</w:t>
      </w:r>
      <w:r w:rsidDel="00000000" w:rsidR="00000000" w:rsidRPr="00000000">
        <w:rPr>
          <w:rtl w:val="0"/>
        </w:rPr>
        <w:t xml:space="preserve"> experiments with cross-over design. Frontiers in Ecology and. Evolution 7: 462. </w:t>
      </w:r>
      <w:hyperlink r:id="rId46">
        <w:r w:rsidDel="00000000" w:rsidR="00000000" w:rsidRPr="00000000">
          <w:rPr>
            <w:color w:val="0563c1"/>
            <w:u w:val="single"/>
            <w:rtl w:val="0"/>
          </w:rPr>
          <w:t xml:space="preserve">https://doi.org/10.3389/fevo.2019.00462</w:t>
        </w:r>
      </w:hyperlink>
      <w:r w:rsidDel="00000000" w:rsidR="00000000" w:rsidRPr="00000000">
        <w:rPr>
          <w:rtl w:val="0"/>
        </w:rPr>
        <w:t xml:space="preserve">.</w:t>
      </w:r>
    </w:p>
    <w:p w:rsidR="00000000" w:rsidDel="00000000" w:rsidP="00000000" w:rsidRDefault="00000000" w:rsidRPr="00000000" w14:paraId="0000005D">
      <w:pPr>
        <w:spacing w:after="120" w:lineRule="auto"/>
        <w:ind w:left="284" w:hanging="284"/>
        <w:rPr/>
      </w:pPr>
      <w:bookmarkStart w:colFirst="0" w:colLast="0" w:name="_1fob9te" w:id="3"/>
      <w:bookmarkEnd w:id="3"/>
      <w:r w:rsidDel="00000000" w:rsidR="00000000" w:rsidRPr="00000000">
        <w:rPr>
          <w:rtl w:val="0"/>
        </w:rPr>
        <w:t xml:space="preserve">van Eeden LM, et al. (2018). Carnivore conservation needs evidence-based livestock protection. PLoS Biology 16(9): e2005577. </w:t>
      </w:r>
      <w:hyperlink r:id="rId47">
        <w:r w:rsidDel="00000000" w:rsidR="00000000" w:rsidRPr="00000000">
          <w:rPr>
            <w:color w:val="0563c1"/>
            <w:u w:val="single"/>
            <w:rtl w:val="0"/>
          </w:rPr>
          <w:t xml:space="preserve">https://doi.org/10.1371/journal.pbio.2005577</w:t>
        </w:r>
      </w:hyperlink>
      <w:r w:rsidDel="00000000" w:rsidR="00000000" w:rsidRPr="00000000">
        <w:rPr>
          <w:rtl w:val="0"/>
        </w:rPr>
        <w:t xml:space="preserve">.</w:t>
      </w:r>
    </w:p>
    <w:p w:rsidR="00000000" w:rsidDel="00000000" w:rsidP="00000000" w:rsidRDefault="00000000" w:rsidRPr="00000000" w14:paraId="0000005E">
      <w:pPr>
        <w:spacing w:after="120" w:lineRule="auto"/>
        <w:ind w:left="284" w:hanging="284"/>
        <w:rPr/>
      </w:pPr>
      <w:r w:rsidDel="00000000" w:rsidR="00000000" w:rsidRPr="00000000">
        <w:rPr>
          <w:rtl w:val="0"/>
        </w:rPr>
        <w:t xml:space="preserve">Vucetich JA, et al. (2021). Can deliberative democracy </w:t>
      </w:r>
      <w:r w:rsidDel="00000000" w:rsidR="00000000" w:rsidRPr="00000000">
        <w:rPr>
          <w:rtl w:val="0"/>
        </w:rPr>
        <w:t xml:space="preserve">favor</w:t>
      </w:r>
      <w:r w:rsidDel="00000000" w:rsidR="00000000" w:rsidRPr="00000000">
        <w:rPr>
          <w:rtl w:val="0"/>
        </w:rPr>
        <w:t xml:space="preserve"> a flourishing relationship between humans and carnivores? Frontiers in Conservation Science 2: 680925. </w:t>
      </w:r>
      <w:hyperlink r:id="rId48">
        <w:r w:rsidDel="00000000" w:rsidR="00000000" w:rsidRPr="00000000">
          <w:rPr>
            <w:color w:val="0563c1"/>
            <w:u w:val="single"/>
            <w:rtl w:val="0"/>
          </w:rPr>
          <w:t xml:space="preserve">https://doi.org/10.3389/fcosc.2021.680925</w:t>
        </w:r>
      </w:hyperlink>
      <w:r w:rsidDel="00000000" w:rsidR="00000000" w:rsidRPr="00000000">
        <w:rPr>
          <w:rtl w:val="0"/>
        </w:rPr>
        <w:t xml:space="preserve">.</w:t>
      </w:r>
    </w:p>
    <w:p w:rsidR="00000000" w:rsidDel="00000000" w:rsidP="00000000" w:rsidRDefault="00000000" w:rsidRPr="00000000" w14:paraId="0000005F">
      <w:pPr>
        <w:spacing w:after="120" w:lineRule="auto"/>
        <w:ind w:left="284" w:hanging="284"/>
        <w:rPr/>
      </w:pPr>
      <w:r w:rsidDel="00000000" w:rsidR="00000000" w:rsidRPr="00000000">
        <w:rPr>
          <w:rtl w:val="0"/>
        </w:rPr>
        <w:t xml:space="preserve">Young JC, et al. (2016). A conflict management tool for conservation agencies. Journal of Applied Ecology 53(3): 705-711. </w:t>
      </w:r>
      <w:hyperlink r:id="rId49">
        <w:r w:rsidDel="00000000" w:rsidR="00000000" w:rsidRPr="00000000">
          <w:rPr>
            <w:color w:val="0563c1"/>
            <w:u w:val="single"/>
            <w:rtl w:val="0"/>
          </w:rPr>
          <w:t xml:space="preserve">https://doi.org/10.1111/1365-2664.12612</w:t>
        </w:r>
      </w:hyperlink>
      <w:r w:rsidDel="00000000" w:rsidR="00000000" w:rsidRPr="00000000">
        <w:rPr>
          <w:rtl w:val="0"/>
        </w:rPr>
        <w:t xml:space="preserve">.</w:t>
      </w:r>
    </w:p>
    <w:p w:rsidR="00000000" w:rsidDel="00000000" w:rsidP="00000000" w:rsidRDefault="00000000" w:rsidRPr="00000000" w14:paraId="00000060">
      <w:pPr>
        <w:ind w:left="284" w:hanging="284"/>
        <w:rPr/>
      </w:pPr>
      <w:r w:rsidDel="00000000" w:rsidR="00000000" w:rsidRPr="00000000">
        <w:rPr>
          <w:rtl w:val="0"/>
        </w:rPr>
        <w:t xml:space="preserve">Young JC, et al. (2021). Community-based conservation for the sustainable management of conservation conflicts: learning from practitioners. Sustainability 13(14): 7557. </w:t>
      </w:r>
      <w:hyperlink r:id="rId50">
        <w:r w:rsidDel="00000000" w:rsidR="00000000" w:rsidRPr="00000000">
          <w:rPr>
            <w:color w:val="0563c1"/>
            <w:u w:val="single"/>
            <w:rtl w:val="0"/>
          </w:rPr>
          <w:t xml:space="preserve">https://doi.org/10.3390/su13147557</w:t>
        </w:r>
      </w:hyperlink>
      <w:r w:rsidDel="00000000" w:rsidR="00000000" w:rsidRPr="00000000">
        <w:rPr>
          <w:rtl w:val="0"/>
        </w:rPr>
        <w:t xml:space="preserve">.</w:t>
      </w:r>
    </w:p>
    <w:p w:rsidR="00000000" w:rsidDel="00000000" w:rsidP="00000000" w:rsidRDefault="00000000" w:rsidRPr="00000000" w14:paraId="00000061">
      <w:pPr>
        <w:pStyle w:val="Heading1"/>
        <w:spacing w:before="0" w:lineRule="auto"/>
        <w:rPr/>
      </w:pPr>
      <w:r w:rsidDel="00000000" w:rsidR="00000000" w:rsidRPr="00000000">
        <w:rPr>
          <w:rtl w:val="0"/>
        </w:rPr>
        <w:t xml:space="preserve">Websites with additional resources</w:t>
      </w:r>
    </w:p>
    <w:p w:rsidR="00000000" w:rsidDel="00000000" w:rsidP="00000000" w:rsidRDefault="00000000" w:rsidRPr="00000000" w14:paraId="00000062">
      <w:pPr>
        <w:tabs>
          <w:tab w:val="left" w:leader="none" w:pos="4111"/>
        </w:tabs>
        <w:spacing w:after="120" w:lineRule="auto"/>
        <w:rPr/>
      </w:pPr>
      <w:bookmarkStart w:colFirst="0" w:colLast="0" w:name="_3znysh7" w:id="4"/>
      <w:bookmarkEnd w:id="4"/>
      <w:r w:rsidDel="00000000" w:rsidR="00000000" w:rsidRPr="00000000">
        <w:rPr>
          <w:rtl w:val="0"/>
        </w:rPr>
        <w:t xml:space="preserve">EU Large Carnivore Platform Case Study Selection:</w:t>
        <w:br w:type="textWrapping"/>
      </w:r>
      <w:hyperlink r:id="rId51">
        <w:r w:rsidDel="00000000" w:rsidR="00000000" w:rsidRPr="00000000">
          <w:rPr>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63">
      <w:pPr>
        <w:tabs>
          <w:tab w:val="left" w:leader="none" w:pos="4111"/>
        </w:tabs>
        <w:spacing w:after="120" w:lineRule="auto"/>
        <w:rPr>
          <w:color w:val="0563c1"/>
          <w:u w:val="single"/>
        </w:rPr>
      </w:pPr>
      <w:r w:rsidDel="00000000" w:rsidR="00000000" w:rsidRPr="00000000">
        <w:rPr>
          <w:rtl w:val="0"/>
        </w:rPr>
        <w:t xml:space="preserve">IUCN Human–Wildlife Conflict Task Force: </w:t>
      </w:r>
      <w:hyperlink r:id="rId52">
        <w:r w:rsidDel="00000000" w:rsidR="00000000" w:rsidRPr="00000000">
          <w:rPr>
            <w:color w:val="0563c1"/>
            <w:u w:val="single"/>
            <w:rtl w:val="0"/>
          </w:rPr>
          <w:t xml:space="preserve">https://www.hwctf.org/engaging-with-stakeholders</w:t>
        </w:r>
      </w:hyperlink>
      <w:r w:rsidDel="00000000" w:rsidR="00000000" w:rsidRPr="00000000">
        <w:rPr>
          <w:color w:val="0563c1"/>
          <w:u w:val="single"/>
          <w:rtl w:val="0"/>
        </w:rPr>
        <w:br w:type="textWrapping"/>
      </w:r>
      <w:r w:rsidDel="00000000" w:rsidR="00000000" w:rsidRPr="00000000">
        <w:rPr>
          <w:rtl w:val="0"/>
        </w:rPr>
        <w:tab/>
        <w:t xml:space="preserve"> </w:t>
      </w:r>
      <w:hyperlink r:id="rId53">
        <w:r w:rsidDel="00000000" w:rsidR="00000000" w:rsidRPr="00000000">
          <w:rPr>
            <w:color w:val="0563c1"/>
            <w:u w:val="single"/>
            <w:rtl w:val="0"/>
          </w:rPr>
          <w:t xml:space="preserve">https://www.hwctf.org/monitoring-and-evaluation</w:t>
        </w:r>
      </w:hyperlink>
      <w:r w:rsidDel="00000000" w:rsidR="00000000" w:rsidRPr="00000000">
        <w:rPr>
          <w:color w:val="0563c1"/>
          <w:u w:val="single"/>
          <w:rtl w:val="0"/>
        </w:rPr>
        <w:br w:type="textWrapping"/>
      </w:r>
      <w:r w:rsidDel="00000000" w:rsidR="00000000" w:rsidRPr="00000000">
        <w:rPr>
          <w:rtl w:val="0"/>
        </w:rPr>
        <w:tab/>
        <w:t xml:space="preserve"> </w:t>
      </w:r>
      <w:hyperlink r:id="rId54">
        <w:r w:rsidDel="00000000" w:rsidR="00000000" w:rsidRPr="00000000">
          <w:rPr>
            <w:color w:val="0563c1"/>
            <w:u w:val="single"/>
            <w:rtl w:val="0"/>
          </w:rPr>
          <w:t xml:space="preserve">https://www.hwctf.org/political-ecology-of-conflicts</w:t>
        </w:r>
      </w:hyperlink>
      <w:r w:rsidDel="00000000" w:rsidR="00000000" w:rsidRPr="00000000">
        <w:rPr>
          <w:rtl w:val="0"/>
        </w:rPr>
        <w:br w:type="textWrapping"/>
        <w:tab/>
        <w:t xml:space="preserve"> </w:t>
      </w:r>
      <w:hyperlink r:id="rId55">
        <w:r w:rsidDel="00000000" w:rsidR="00000000" w:rsidRPr="00000000">
          <w:rPr>
            <w:color w:val="0563c1"/>
            <w:u w:val="single"/>
            <w:rtl w:val="0"/>
          </w:rPr>
          <w:t xml:space="preserve">https://www.hwctf.org/role-of-the-media</w:t>
        </w:r>
      </w:hyperlink>
      <w:r w:rsidDel="00000000" w:rsidR="00000000" w:rsidRPr="00000000">
        <w:rPr>
          <w:rtl w:val="0"/>
        </w:rPr>
      </w:r>
    </w:p>
    <w:p w:rsidR="00000000" w:rsidDel="00000000" w:rsidP="00000000" w:rsidRDefault="00000000" w:rsidRPr="00000000" w14:paraId="00000064">
      <w:pPr>
        <w:tabs>
          <w:tab w:val="left" w:leader="none" w:pos="4111"/>
        </w:tabs>
        <w:rPr/>
      </w:pPr>
      <w:r w:rsidDel="00000000" w:rsidR="00000000" w:rsidRPr="00000000">
        <w:rPr>
          <w:rtl w:val="0"/>
        </w:rPr>
        <w:t xml:space="preserve">Thematic Webinar – Stakeholder Involvement in Large Carnivore Monitoring: </w:t>
      </w:r>
      <w:hyperlink r:id="rId56">
        <w:r w:rsidDel="00000000" w:rsidR="00000000" w:rsidRPr="00000000">
          <w:rPr>
            <w:color w:val="0563c1"/>
            <w:u w:val="single"/>
            <w:rtl w:val="0"/>
          </w:rPr>
          <w:t xml:space="preserve">https://ec.europa.eu/environment/nature/conservation/species/carnivores/events_sub_thematic_webinar_2020.htm</w:t>
        </w:r>
      </w:hyperlink>
      <w:r w:rsidDel="00000000" w:rsidR="00000000" w:rsidRPr="00000000">
        <w:rPr>
          <w:rtl w:val="0"/>
        </w:rPr>
      </w:r>
    </w:p>
    <w:sectPr>
      <w:footerReference r:id="rId5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Skrbinšek T, et al. (2019). From science to practice: genetic estimate of brown bear population size in Slovenia and how it influenced bear management. European Journal of Wildlife Research 65: 29. https://doi.org/10.1007/s10344-019-1265-7.</w:t>
      </w:r>
    </w:p>
  </w:footnote>
  <w:footnote w:id="1">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Lees CM, et al. (2021). Science-based, stakeholder-inclusive and participatory conservation planning helps reverse the decline of threatened species. Biological Conservation 260: 109194.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https://doi.org/10.1016/j.biocon.2021.109194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http://face.eu/sites/default/files/attachments/framework_for_assessing_the_economics_of_hunting_final_.en_‌.pdf</w:t>
        </w:r>
      </w:hyperlink>
      <w:r w:rsidDel="00000000" w:rsidR="00000000" w:rsidRPr="00000000">
        <w:rPr>
          <w:rtl w:val="0"/>
        </w:rPr>
      </w:r>
    </w:p>
  </w:footnote>
  <w:footnote w:id="3">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Suutarinen J and Kojola I (2017). Poaching regulates the legally hunted wolf population in Finland.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Biological Conservation 215: 11</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https://doi.org/10.1016/j.biocon.2017.08.031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https://lciepub.nina.no/pdf/634991396895768563_COE%20LCIE%20position%20statement%20on%20‌LC%20hunting%202002.pdf</w:t>
        </w:r>
      </w:hyperlink>
      <w:r w:rsidDel="00000000" w:rsidR="00000000" w:rsidRPr="00000000">
        <w:rPr>
          <w:rtl w:val="0"/>
        </w:rPr>
      </w:r>
    </w:p>
  </w:footnote>
  <w:footnote w:id="5">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Young JC, et al. (2016). The role of trust in the resolution of conservation conflicts. Biological Conservation 195: 196</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202.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https://doi.org/10.1016/j.biocon.2015.12.030</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6">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Breyne J, et al. (2021). The wolves are coming: understanding human controversies on the return of the wolf through the use of socio-cultural values. European Journal of Wildlife Research 67: 90.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https://doi.org/10.1007/s10344-021-01527-w</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7">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http://dinalpbear.eu/wp-content/uploads/ENGLISH_Guidebook_Seth_Wilson_WEB2.pdf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Several examples are featured in an open-access, special issue of Conservation Science and Practice: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Methods for integrated assessment of human‐wildlife interactions and coexistence in agricultural landscape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available at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https://conbio.onlinelibrary.wiley.com/toc/25784854/2021/3/3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9">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https://www.theoryofchange.org/what-is-theory-of-change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0">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Linnell JDC, et al. (2010). Sustainably harvesting a large carnivore? Development of Eurasian lynx populations in Norway during 160 years of shifting policy. Environmental Management 45: 1142</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1154.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https://doi.org/10.1007/s00267-010-9455-9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1">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https://ec.europa.eu/environment/nature/conservation/species/carnivores/events_sub_thematic_webinar_‌2020.htm</w:t>
        </w:r>
      </w:hyperlink>
      <w:r w:rsidDel="00000000" w:rsidR="00000000" w:rsidRPr="00000000">
        <w:rPr>
          <w:rtl w:val="0"/>
        </w:rPr>
      </w:r>
    </w:p>
  </w:footnote>
  <w:footnote w:id="12">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example: Chapron G and Treves A (2016). Correction to ‘Blood does not buy goodwill: allowing culling increases poaching of a large carnivore’. Proceedings of the Royal Society B. 2832016257720162577. </w:t>
      </w:r>
      <w:hyperlink r:id="rId1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http://doi.org/10.1098/rspb.2016.2577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example: Olson ER, et al. (2017). Flawed analysis and unconvincing interpretation: a comment on Chapron and Treves 2016. Proceedings of the Royal Society B. 2842017027320170273. </w:t>
      </w:r>
      <w:hyperlink r:id="rId1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http://doi.org/10.1098/rspb.2017.0273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4">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https://www.elsevier.com/reviewers/what-is-peer-review</w:t>
        </w:r>
      </w:hyperlink>
      <w:r w:rsidDel="00000000" w:rsidR="00000000" w:rsidRPr="00000000">
        <w:rPr>
          <w:rtl w:val="0"/>
        </w:rPr>
      </w:r>
    </w:p>
  </w:footnote>
  <w:footnote w:id="15">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https://en.unesco.org/science-sustainable-future/open-science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6">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https://ec.europa.eu/info/research-and-innovation/strategy/strategy-2020-2024/our-digital-future/open-science_en</w:t>
        </w:r>
      </w:hyperlink>
      <w:r w:rsidDel="00000000" w:rsidR="00000000" w:rsidRPr="00000000">
        <w:rPr>
          <w:rtl w:val="0"/>
        </w:rPr>
      </w:r>
    </w:p>
  </w:footnote>
  <w:footnote w:id="17">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Hovardas T (2018). Large carnivore conservation and management: human dimensions. Routledge, London. </w:t>
      </w:r>
      <w:hyperlink r:id="rId1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https://doi.org/10.4324/9781315175454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8">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https://ec.europa.eu/info/law/better-regulation/have-your-say/initiatives/12976-Guidance-document-on-the-strict-protection-of-species-of-Community-interest-under-the-Habitats-Directive_en</w:t>
        </w:r>
      </w:hyperlink>
      <w:r w:rsidDel="00000000" w:rsidR="00000000" w:rsidRPr="00000000">
        <w:rPr>
          <w:rtl w:val="0"/>
        </w:rPr>
      </w:r>
    </w:p>
  </w:footnote>
  <w:footnote w:id="19">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https://lciepub.nina.no/pdf/635379340188248258_LC_action%20plan_Estonia_2012-2021.pdf</w:t>
        </w:r>
      </w:hyperlink>
      <w:r w:rsidDel="00000000" w:rsidR="00000000" w:rsidRPr="00000000">
        <w:rPr>
          <w:rtl w:val="0"/>
        </w:rPr>
      </w:r>
    </w:p>
  </w:footnote>
  <w:footnote w:id="2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https://keskkonnaagentuur.ee/media/1607/download</w:t>
        </w:r>
      </w:hyperlink>
      <w:r w:rsidDel="00000000" w:rsidR="00000000" w:rsidRPr="00000000">
        <w:rPr>
          <w:rtl w:val="0"/>
        </w:rPr>
      </w:r>
    </w:p>
  </w:footnote>
  <w:footnote w:id="21">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https://keskkonnaagentuur.ee/en/estonian-environmental-indicators/estonian-environmental-indicators/wildlife-and-forest#game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su13084482" TargetMode="External"/><Relationship Id="rId42" Type="http://schemas.openxmlformats.org/officeDocument/2006/relationships/hyperlink" Target="https://doi.org/10.3390/su13179783" TargetMode="External"/><Relationship Id="rId41" Type="http://schemas.openxmlformats.org/officeDocument/2006/relationships/hyperlink" Target="https://doi.org/10.3389/fevo.2020.00120" TargetMode="External"/><Relationship Id="rId44" Type="http://schemas.openxmlformats.org/officeDocument/2006/relationships/hyperlink" Target="https://doi.org/10.1002/fee.1312" TargetMode="External"/><Relationship Id="rId43" Type="http://schemas.openxmlformats.org/officeDocument/2006/relationships/hyperlink" Target="https://doi.org/10.1111/j.1365-2664.2009.01729.x" TargetMode="External"/><Relationship Id="rId46" Type="http://schemas.openxmlformats.org/officeDocument/2006/relationships/hyperlink" Target="https://doi.org/10.3389/fevo.2019.00462" TargetMode="External"/><Relationship Id="rId45" Type="http://schemas.openxmlformats.org/officeDocument/2006/relationships/hyperlink" Target="https://doi.org/10.1111/cobi.132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inalpbear.eu/wp-content/uploads/ENGLISH_Guidebook_Seth_Wilson_WEB2.pdf" TargetMode="External"/><Relationship Id="rId48" Type="http://schemas.openxmlformats.org/officeDocument/2006/relationships/hyperlink" Target="https://doi.org/10.3389/fcosc.2021.680925" TargetMode="External"/><Relationship Id="rId47" Type="http://schemas.openxmlformats.org/officeDocument/2006/relationships/hyperlink" Target="https://doi.org/10.1371/journal.pbio.2005577" TargetMode="External"/><Relationship Id="rId49" Type="http://schemas.openxmlformats.org/officeDocument/2006/relationships/hyperlink" Target="https://doi.org/10.1111/1365-2664.1261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Peep.Mannil@Envir.ee" TargetMode="External"/><Relationship Id="rId8" Type="http://schemas.openxmlformats.org/officeDocument/2006/relationships/hyperlink" Target="https://ec.europa.eu/info/law/better-regulation/have-your-say/initiatives/12976-Guidance-document-on-the-strict-protection-of-species-of-Community-interest-under-the-Habitats-Directive_en" TargetMode="External"/><Relationship Id="rId31" Type="http://schemas.openxmlformats.org/officeDocument/2006/relationships/hyperlink" Target="https://doi.org/10.1016/j.jenvman.2021.113125" TargetMode="External"/><Relationship Id="rId30" Type="http://schemas.openxmlformats.org/officeDocument/2006/relationships/hyperlink" Target="http://doi.org/10.1098/rspb.2011.1275" TargetMode="External"/><Relationship Id="rId33" Type="http://schemas.openxmlformats.org/officeDocument/2006/relationships/hyperlink" Target="https://doi.org/10.3389/fevo.2020.00071" TargetMode="External"/><Relationship Id="rId32" Type="http://schemas.openxmlformats.org/officeDocument/2006/relationships/hyperlink" Target="https://doi.org/10.1071/RJ20046" TargetMode="External"/><Relationship Id="rId35" Type="http://schemas.openxmlformats.org/officeDocument/2006/relationships/hyperlink" Target="https://doi.org/10.1007/s10344-011-0585-z" TargetMode="External"/><Relationship Id="rId34" Type="http://schemas.openxmlformats.org/officeDocument/2006/relationships/hyperlink" Target="https://doi.org/10.1371/journal.pone.0231601" TargetMode="External"/><Relationship Id="rId37" Type="http://schemas.openxmlformats.org/officeDocument/2006/relationships/hyperlink" Target="https://doi.org/10.1016/j.tree.2012.08.021" TargetMode="External"/><Relationship Id="rId36" Type="http://schemas.openxmlformats.org/officeDocument/2006/relationships/hyperlink" Target="http://www.protectiondestroupeaux.ch/fileadmin/doc/International/CDP_and_General_Infos/CDPNews18_Summer_2019.pdf" TargetMode="External"/><Relationship Id="rId39" Type="http://schemas.openxmlformats.org/officeDocument/2006/relationships/hyperlink" Target="https://doi.org/10.3389/fevo.2020.00182" TargetMode="External"/><Relationship Id="rId38" Type="http://schemas.openxmlformats.org/officeDocument/2006/relationships/hyperlink" Target="https://doi.org/10.1016/j.biocon.2020.108918" TargetMode="External"/><Relationship Id="rId20" Type="http://schemas.openxmlformats.org/officeDocument/2006/relationships/hyperlink" Target="https://doi.org/10.1088/1748-9326/ac05ef" TargetMode="External"/><Relationship Id="rId22" Type="http://schemas.openxmlformats.org/officeDocument/2006/relationships/hyperlink" Target="https://doi.org/10.1111/j.1365-2664.2012.02167.x" TargetMode="External"/><Relationship Id="rId21" Type="http://schemas.openxmlformats.org/officeDocument/2006/relationships/hyperlink" Target="https://doi.org/10.1007/s10344-021-01538-7" TargetMode="External"/><Relationship Id="rId24" Type="http://schemas.openxmlformats.org/officeDocument/2006/relationships/hyperlink" Target="https://doi.org/10.1111/conl.12841" TargetMode="External"/><Relationship Id="rId23" Type="http://schemas.openxmlformats.org/officeDocument/2006/relationships/hyperlink" Target="https://doi.org/10.1111/1365-2656.12256" TargetMode="External"/><Relationship Id="rId26" Type="http://schemas.openxmlformats.org/officeDocument/2006/relationships/hyperlink" Target="https://doi.org/10.3389/fevo.2020.00266" TargetMode="External"/><Relationship Id="rId25" Type="http://schemas.openxmlformats.org/officeDocument/2006/relationships/hyperlink" Target="https://doi.org/10.1016/j.gecco.2020.e01077" TargetMode="External"/><Relationship Id="rId28" Type="http://schemas.openxmlformats.org/officeDocument/2006/relationships/hyperlink" Target="https://doi.org/10.1111/csp2.399" TargetMode="External"/><Relationship Id="rId27" Type="http://schemas.openxmlformats.org/officeDocument/2006/relationships/hyperlink" Target="https://doi.org/10.3389/fevo.2020.525278" TargetMode="External"/><Relationship Id="rId29" Type="http://schemas.openxmlformats.org/officeDocument/2006/relationships/hyperlink" Target="https://doi.org/10.1038/s41598-019-48853-3" TargetMode="External"/><Relationship Id="rId51" Type="http://schemas.openxmlformats.org/officeDocument/2006/relationships/hyperlink" Target="https://ec.europa.eu/environment/nature/conservation/species/carnivores/case_studies.htm" TargetMode="External"/><Relationship Id="rId50" Type="http://schemas.openxmlformats.org/officeDocument/2006/relationships/hyperlink" Target="https://doi.org/10.3390/su13147557" TargetMode="External"/><Relationship Id="rId53" Type="http://schemas.openxmlformats.org/officeDocument/2006/relationships/hyperlink" Target="https://www.hwctf.org/monitoring-and-evaluation" TargetMode="External"/><Relationship Id="rId52" Type="http://schemas.openxmlformats.org/officeDocument/2006/relationships/hyperlink" Target="https://www.hwctf.org/engaging-with-stakeholders" TargetMode="External"/><Relationship Id="rId11" Type="http://schemas.openxmlformats.org/officeDocument/2006/relationships/hyperlink" Target="https://wwf.panda.org/discover/our_focus/wildlife_practice/species_news/wwf_and_trophy_hunting/" TargetMode="External"/><Relationship Id="rId55" Type="http://schemas.openxmlformats.org/officeDocument/2006/relationships/hyperlink" Target="https://www.hwctf.org/role-of-the-media" TargetMode="External"/><Relationship Id="rId10" Type="http://schemas.openxmlformats.org/officeDocument/2006/relationships/hyperlink" Target="https://ec.europa.eu/environment/nature/conservation/species/carnivores/pdf/key_actions_large_carnivores_2015.pdf" TargetMode="External"/><Relationship Id="rId54" Type="http://schemas.openxmlformats.org/officeDocument/2006/relationships/hyperlink" Target="https://www.hwctf.org/political-ecology-of-conflicts" TargetMode="External"/><Relationship Id="rId13" Type="http://schemas.openxmlformats.org/officeDocument/2006/relationships/hyperlink" Target="https://portals.iucn.org/library/node/29197" TargetMode="External"/><Relationship Id="rId57" Type="http://schemas.openxmlformats.org/officeDocument/2006/relationships/footer" Target="footer1.xml"/><Relationship Id="rId12" Type="http://schemas.openxmlformats.org/officeDocument/2006/relationships/hyperlink" Target="https://www.iucn.org/commissions/commission-environmental-economic-and-social-policy/our-work/sustainable-use-and-livelihoods/resources-and-publications/iucn-briefing-paper-informing-decisions-trophy-hunting" TargetMode="External"/><Relationship Id="rId56" Type="http://schemas.openxmlformats.org/officeDocument/2006/relationships/hyperlink" Target="https://ec.europa.eu/environment/nature/conservation/species/carnivores/events_sub_thematic_webinar_2020.htm" TargetMode="External"/><Relationship Id="rId15" Type="http://schemas.openxmlformats.org/officeDocument/2006/relationships/hyperlink" Target="https://lciepub.nina.no/pdf/634991496991938201_LCIE_PSS_monitoring.pdf" TargetMode="External"/><Relationship Id="rId14" Type="http://schemas.openxmlformats.org/officeDocument/2006/relationships/hyperlink" Target="https://ec.europa.eu/environment/nature/conservation/species/carnivores/pdf/guidelines_for_population_level_management.pdf" TargetMode="External"/><Relationship Id="rId17" Type="http://schemas.openxmlformats.org/officeDocument/2006/relationships/hyperlink" Target="https://www.fundacioncazasostenible.org/app/download/5795770411/Guidelines+on+Sustainable+Hunting+in+Europe.pdf" TargetMode="External"/><Relationship Id="rId16" Type="http://schemas.openxmlformats.org/officeDocument/2006/relationships/hyperlink" Target="https://rm.coe.int/168074649f" TargetMode="External"/><Relationship Id="rId19" Type="http://schemas.openxmlformats.org/officeDocument/2006/relationships/hyperlink" Target="https://doi.org/10.3390/su13137407" TargetMode="External"/><Relationship Id="rId18" Type="http://schemas.openxmlformats.org/officeDocument/2006/relationships/hyperlink" Target="https://lciepub.nina.no/pdf/634991396895768563_COE%20LCIE%20position%20statement%20on%20LC%20hunting%20200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20" Type="http://schemas.openxmlformats.org/officeDocument/2006/relationships/hyperlink" Target="https://keskkonnaagentuur.ee/media/1607/download" TargetMode="External"/><Relationship Id="rId11" Type="http://schemas.openxmlformats.org/officeDocument/2006/relationships/hyperlink" Target="https://ec.europa.eu/environment/nature/conservation/species/carnivores/events_sub_thematic_webinar_2020.htm" TargetMode="External"/><Relationship Id="rId10" Type="http://schemas.openxmlformats.org/officeDocument/2006/relationships/hyperlink" Target="https://doi.org/10.1007/s00267-010-9455-9" TargetMode="External"/><Relationship Id="rId13" Type="http://schemas.openxmlformats.org/officeDocument/2006/relationships/hyperlink" Target="http://doi.org/10.1098/rspb.2017.0273" TargetMode="External"/><Relationship Id="rId12" Type="http://schemas.openxmlformats.org/officeDocument/2006/relationships/hyperlink" Target="http://doi.org/10.1098/rspb.2016.2577" TargetMode="External"/><Relationship Id="rId1" Type="http://schemas.openxmlformats.org/officeDocument/2006/relationships/hyperlink" Target="https://doi.org/10.1016/j.biocon.2021.109194" TargetMode="External"/><Relationship Id="rId2" Type="http://schemas.openxmlformats.org/officeDocument/2006/relationships/hyperlink" Target="http://face.eu/sites/default/files/attachments/framework_for_assessing_the_economics_of_hunting_final_.en_.pdf" TargetMode="External"/><Relationship Id="rId3" Type="http://schemas.openxmlformats.org/officeDocument/2006/relationships/hyperlink" Target="https://doi.org/10.1016/j.biocon.2017.08.031" TargetMode="External"/><Relationship Id="rId4" Type="http://schemas.openxmlformats.org/officeDocument/2006/relationships/hyperlink" Target="https://lciepub.nina.no/pdf/634991396895768563_COE%20LCIE%20position%20statement%20on%20LC%20hunting%202002.pdf" TargetMode="External"/><Relationship Id="rId9" Type="http://schemas.openxmlformats.org/officeDocument/2006/relationships/hyperlink" Target="https://www.theoryofchange.org/what-is-theory-of-change" TargetMode="External"/><Relationship Id="rId15" Type="http://schemas.openxmlformats.org/officeDocument/2006/relationships/hyperlink" Target="https://en.unesco.org/science-sustainable-future/open-science" TargetMode="External"/><Relationship Id="rId14" Type="http://schemas.openxmlformats.org/officeDocument/2006/relationships/hyperlink" Target="https://www.elsevier.com/reviewers/what-is-peer-review" TargetMode="External"/><Relationship Id="rId17" Type="http://schemas.openxmlformats.org/officeDocument/2006/relationships/hyperlink" Target="https://doi.org/10.4324/9781315175454" TargetMode="External"/><Relationship Id="rId16" Type="http://schemas.openxmlformats.org/officeDocument/2006/relationships/hyperlink" Target="https://ec.europa.eu/info/research-and-innovation/strategy/strategy-2020-2024/our-digital-future/open-science_en" TargetMode="External"/><Relationship Id="rId5" Type="http://schemas.openxmlformats.org/officeDocument/2006/relationships/hyperlink" Target="https://doi.org/10.1016/j.biocon.2015.12.030" TargetMode="External"/><Relationship Id="rId19" Type="http://schemas.openxmlformats.org/officeDocument/2006/relationships/hyperlink" Target="https://lciepub.nina.no/pdf/635379340188248258_LC_action%20plan_Estonia_2012-2021.pdf" TargetMode="External"/><Relationship Id="rId6" Type="http://schemas.openxmlformats.org/officeDocument/2006/relationships/hyperlink" Target="https://doi.org/10.1007/s10344-021-01527-w" TargetMode="External"/><Relationship Id="rId18" Type="http://schemas.openxmlformats.org/officeDocument/2006/relationships/hyperlink" Target="https://ec.europa.eu/info/law/better-regulation/have-your-say/initiatives/12976-Guidance-document-on-the-strict-protection-of-species-of-Community-interest-under-the-Habitats-Directive_en" TargetMode="External"/><Relationship Id="rId7" Type="http://schemas.openxmlformats.org/officeDocument/2006/relationships/hyperlink" Target="http://dinalpbear.eu/wp-content/uploads/ENGLISH_Guidebook_Seth_Wilson_WEB2.pdf" TargetMode="External"/><Relationship Id="rId8" Type="http://schemas.openxmlformats.org/officeDocument/2006/relationships/hyperlink" Target="https://conbio.onlinelibrary.wiley.com/toc/25784854/202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