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Engaging stakeholders in monitoring of large carnivores</w:t>
      </w:r>
    </w:p>
    <w:p w:rsidR="00000000" w:rsidDel="00000000" w:rsidP="00000000" w:rsidRDefault="00000000" w:rsidRPr="00000000" w14:paraId="00000002">
      <w:pPr>
        <w:jc w:val="center"/>
        <w:rPr>
          <w:rFonts w:ascii="Times New Roman" w:cs="Times New Roman" w:eastAsia="Times New Roman" w:hAnsi="Times New Roman"/>
          <w:color w:val="999999"/>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modified </w:t>
      </w:r>
      <w:r w:rsidDel="00000000" w:rsidR="00000000" w:rsidRPr="00000000">
        <w:rPr>
          <w:rFonts w:ascii="Times New Roman" w:cs="Times New Roman" w:eastAsia="Times New Roman" w:hAnsi="Times New Roman"/>
          <w:rtl w:val="0"/>
        </w:rPr>
        <w:t xml:space="preserve">Feb 17, 2022</w:t>
      </w:r>
      <w:r w:rsidDel="00000000" w:rsidR="00000000" w:rsidRPr="00000000">
        <w:rPr>
          <w:rFonts w:ascii="Times New Roman" w:cs="Times New Roman" w:eastAsia="Times New Roman" w:hAnsi="Times New Roman"/>
          <w:rtl w:val="0"/>
        </w:rPr>
        <w:t xml:space="preserve"> (see version history)</w:t>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rtl w:val="0"/>
        </w:rPr>
        <w:t xml:space="preserve">Original author: Eva-Maria Cattoen, LechtAlps</w:t>
      </w:r>
      <w:r w:rsidDel="00000000" w:rsidR="00000000" w:rsidRPr="00000000">
        <w:rPr>
          <w:rtl w:val="0"/>
        </w:rPr>
      </w:r>
    </w:p>
    <w:p w:rsidR="00000000" w:rsidDel="00000000" w:rsidP="00000000" w:rsidRDefault="00000000" w:rsidRPr="00000000" w14:paraId="00000006">
      <w:pPr>
        <w:pStyle w:val="Heading2"/>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means measuring a variable over time in order to detect changes. As a consequence, monitoring must be tailored to suit the level of changes that one wishes to detect. A specific kind of wildlife m</w:t>
      </w:r>
      <w:r w:rsidDel="00000000" w:rsidR="00000000" w:rsidRPr="00000000">
        <w:rPr>
          <w:rFonts w:ascii="Times New Roman" w:cs="Times New Roman" w:eastAsia="Times New Roman" w:hAnsi="Times New Roman"/>
          <w:rtl w:val="0"/>
        </w:rPr>
        <w:t xml:space="preserve">onitoring permits the conservation status of species to be evaluated </w:t>
      </w:r>
      <w:r w:rsidDel="00000000" w:rsidR="00000000" w:rsidRPr="00000000">
        <w:rPr>
          <w:rFonts w:ascii="Times New Roman" w:cs="Times New Roman" w:eastAsia="Times New Roman" w:hAnsi="Times New Roman"/>
          <w:rtl w:val="0"/>
        </w:rPr>
        <w:t xml:space="preserve">– and appropriate management decisions taken. European species conservation directives require reliable population size estimates for protected species such as bears, wolves, lynx and wolverine on a national level – Article 11 of the EU Habitats Directive calls for constant monitoring</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and a monitoring framework that allows the measures and decisions for management to be justified to all interest groups involved and affected.</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Estimates of population size, especially of animals that can interfere with human activities such as wolves, easily trigger debates. Lack of transparency might be the cause of disbelief and frustration amongst interest groups and does not foster collaboration among authorities and stakeholders in the management process. Engaging interest groups directly in the data generation phase of the monitoring process monitoring can be a key element for increased mutual understanding – yet the interpretation of this data has to be performed by professionals.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scientific study of Cretois et al. (2020)</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showed that hunter-based monitoring is already widely applied for wildlife across Europe. 32 out of the 36 European countries were found to involve hunters in the monitoring of ungulates or other small game. Also, for monitoring large carnivores, more and more participatory monitoring processes exist in Europe, where stakeholders, such as hunters, are taking active part in the data sampling and observation. </w:t>
      </w:r>
    </w:p>
    <w:p w:rsidR="00000000" w:rsidDel="00000000" w:rsidP="00000000" w:rsidRDefault="00000000" w:rsidRPr="00000000" w14:paraId="0000000C">
      <w:pPr>
        <w:pStyle w:val="Heading2"/>
        <w:rPr>
          <w:rFonts w:ascii="Times New Roman" w:cs="Times New Roman" w:eastAsia="Times New Roman" w:hAnsi="Times New Roman"/>
        </w:rPr>
      </w:pPr>
      <w:bookmarkStart w:colFirst="0" w:colLast="0" w:name="_pts9ggqzsa4r" w:id="2"/>
      <w:bookmarkEnd w:id="2"/>
      <w:r w:rsidDel="00000000" w:rsidR="00000000" w:rsidRPr="00000000">
        <w:rPr>
          <w:rFonts w:ascii="Times New Roman" w:cs="Times New Roman" w:eastAsia="Times New Roman" w:hAnsi="Times New Roman"/>
          <w:rtl w:val="0"/>
        </w:rPr>
        <w:t xml:space="preserve">Steps and outcome</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procedures should fulfil three main characteristics – they should be scientifically robust, practical, affordable and credible (see Topic 2: Implementing a LC population monitoring programme). Elements of a monitoring programme can be combined with a citizen science approach to broaden public support.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conservation and management of large carnivores, monitoring their distribution (permanently inhabited areas with or without reproduction and areas with sporadic presence) and the population size (for example the number of packs and pairs of wolves in a certain area) provides an important basis of knowledge on which management decisions can be built. To realise useful field observation and systematic as well as occasional data sampling, it is important that the quality of samples is high, and can be evaluated (e.g. direct observations confirmed with photo, timestamp and geotag, scat samples collected with timestamp, geotag). This often requires exhaustive training programmes for the people contributing the data.</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carefully designed </w:t>
      </w:r>
      <w:r w:rsidDel="00000000" w:rsidR="00000000" w:rsidRPr="00000000">
        <w:rPr>
          <w:rFonts w:ascii="Times New Roman" w:cs="Times New Roman" w:eastAsia="Times New Roman" w:hAnsi="Times New Roman"/>
          <w:rtl w:val="0"/>
        </w:rPr>
        <w:t xml:space="preserve">monitoring programmes benefit from broad engagement of people on the ground, starting with key stakeholders such as hunters or environmentalists, </w:t>
      </w:r>
      <w:r w:rsidDel="00000000" w:rsidR="00000000" w:rsidRPr="00000000">
        <w:rPr>
          <w:rFonts w:ascii="Times New Roman" w:cs="Times New Roman" w:eastAsia="Times New Roman" w:hAnsi="Times New Roman"/>
          <w:rtl w:val="0"/>
        </w:rPr>
        <w:t xml:space="preserve">going further to bird watchers, farmers (especially shepherds or reindeer herders), state game wardens, foresters, researchers and also the public and everybody spending time outside such as hikers and dog owners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2">
      <w:pPr>
        <w:pStyle w:val="Heading2"/>
        <w:rPr>
          <w:rFonts w:ascii="Times New Roman" w:cs="Times New Roman" w:eastAsia="Times New Roman" w:hAnsi="Times New Roman"/>
        </w:rPr>
      </w:pPr>
      <w:bookmarkStart w:colFirst="0" w:colLast="0" w:name="_1fob9te" w:id="3"/>
      <w:bookmarkEnd w:id="3"/>
      <w:r w:rsidDel="00000000" w:rsidR="00000000" w:rsidRPr="00000000">
        <w:rPr>
          <w:rFonts w:ascii="Times New Roman" w:cs="Times New Roman" w:eastAsia="Times New Roman" w:hAnsi="Times New Roman"/>
          <w:rtl w:val="0"/>
        </w:rPr>
        <w:t xml:space="preserve">Key elements to successful, long-lasting participatory monitoring </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participatory monitoring programmes require a highly structured scientific approach</w:t>
      </w:r>
      <w:r w:rsidDel="00000000" w:rsidR="00000000" w:rsidRPr="00000000">
        <w:rPr>
          <w:rFonts w:ascii="Times New Roman" w:cs="Times New Roman" w:eastAsia="Times New Roman" w:hAnsi="Times New Roman"/>
          <w:rtl w:val="0"/>
        </w:rPr>
        <w:t xml:space="preserve">: observation - validation - data storage - interpretation and analysis</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Networks of professionals and volunteers and reporting platforms must be built up and maintained through coordination and training (e.g. in systematic documentation protocols, the  use of equipment, such as camera traps).</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members of the network should be involved in developing the sampling scheme and get regular feedback (e.g. on how the information they have submitted is used and about the results). To ensure transparency, data should be made available regularly in an updated form to stakeholders, decision-makers and the public (e.g. via an online platform).</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and samples need to be taken in a form which can be verified (e.g. photograph, DNA, GPS locations) and comply with GDPR regulations</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 must be validated (e.g. species identity must be confirmed) by trained staff. It is therefore recommended to classify all observations according to their informative value and verifiability (e.g. SCALP criteria)</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engagement should be organised within national/regional programs and the methods should be adapted to species, regions and situations.</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keep motivation and the commitment high, regular meetings for exchange are precious (e.g. on special issues stakeholders bring in, detailed information about species, etc.).</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Incentives (e.g. acknowledgment of participation of people in the monitoring report, collections of best pictures on DVDs, photo competitions) are important to show the appreciation of the collaboration.</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all participants and to develop long-lasting monitoring systems methods and tools (e.g. special apps) should be as practical as possible. </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increase motivation for the process, it is crucial to clarify from the beginning the objectives of all parties of the monitoring and of the management of species (e.g. German regional wolf management plans, Switzerland lynx concept</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That requires a transparent process, and also means showing how conclusions are reached from the results of the monitoring and which criteria are followed to </w:t>
      </w:r>
      <w:r w:rsidDel="00000000" w:rsidR="00000000" w:rsidRPr="00000000">
        <w:rPr>
          <w:rFonts w:ascii="Times New Roman" w:cs="Times New Roman" w:eastAsia="Times New Roman" w:hAnsi="Times New Roman"/>
          <w:rtl w:val="0"/>
        </w:rPr>
        <w:t xml:space="preserve">take</w:t>
      </w:r>
      <w:r w:rsidDel="00000000" w:rsidR="00000000" w:rsidRPr="00000000">
        <w:rPr>
          <w:rFonts w:ascii="Times New Roman" w:cs="Times New Roman" w:eastAsia="Times New Roman" w:hAnsi="Times New Roman"/>
          <w:rtl w:val="0"/>
        </w:rPr>
        <w:t xml:space="preserve"> decisions for management. A realistic picture should also be drawn about the limitations of monitoring e.g. that there is very often a time lag in the data and hardly ever a full account of individuals.</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helpful to define from the very beginning the mandate of each involved stakeholder/ organisation and to clarify the roles (e.g. who can contribute to or benefit from what). Defining a sustainable role for the engaged partners helps to keep motivation high and allows participation in a broad spectrum (e.g. decision-making in Sweden concerning the bear management).</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three examples for participatory monitoring: </w:t>
      </w:r>
    </w:p>
    <w:p w:rsidR="00000000" w:rsidDel="00000000" w:rsidP="00000000" w:rsidRDefault="00000000" w:rsidRPr="00000000" w14:paraId="00000020">
      <w:pPr>
        <w:pStyle w:val="Heading3"/>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20" w:line="276" w:lineRule="auto"/>
        <w:ind w:left="720" w:right="0" w:hanging="360"/>
        <w:jc w:val="left"/>
        <w:rPr>
          <w:rFonts w:ascii="Times New Roman" w:cs="Times New Roman" w:eastAsia="Times New Roman" w:hAnsi="Times New Roman"/>
        </w:rPr>
      </w:pPr>
      <w:bookmarkStart w:colFirst="0" w:colLast="0" w:name="_44z6rnteyc18" w:id="4"/>
      <w:bookmarkEnd w:id="4"/>
      <w:r w:rsidDel="00000000" w:rsidR="00000000" w:rsidRPr="00000000">
        <w:rPr>
          <w:rFonts w:ascii="Times New Roman" w:cs="Times New Roman" w:eastAsia="Times New Roman" w:hAnsi="Times New Roman"/>
          <w:rtl w:val="0"/>
        </w:rPr>
        <w:t xml:space="preserve">Bear </w:t>
      </w:r>
      <w:r w:rsidDel="00000000" w:rsidR="00000000" w:rsidRPr="00000000">
        <w:rPr>
          <w:rFonts w:ascii="Times New Roman" w:cs="Times New Roman" w:eastAsia="Times New Roman" w:hAnsi="Times New Roman"/>
          <w:color w:val="434343"/>
          <w:sz w:val="28"/>
          <w:szCs w:val="28"/>
          <w:rtl w:val="0"/>
        </w:rPr>
        <w:t xml:space="preserve">monitoring</w:t>
      </w:r>
      <w:r w:rsidDel="00000000" w:rsidR="00000000" w:rsidRPr="00000000">
        <w:rPr>
          <w:rFonts w:ascii="Times New Roman" w:cs="Times New Roman" w:eastAsia="Times New Roman" w:hAnsi="Times New Roman"/>
          <w:rtl w:val="0"/>
        </w:rPr>
        <w:t xml:space="preserve"> in Sweden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1998, population trends of brown bears have been monitored in Sweden by observations from hunters on a voluntary basis. This participatory approach is an add-on to an established moose observation system. During the first seven days of moose hunting season hunters collect sightings of bears – adults and cubs. The effort for bear monitoring is limited for the hunters as they can use the same form and database as for moose. This way, the results of more than 2 million observation hours yearly in the bear area provide data for population trends of brown bears, which are summarised in the Large Carnivore Observation Index (LCOI) and published in a public database. Additionally to the sightings, scientific studies are conducted in the bear populated areas in collaboration with hunters, the central management unit and county boards, where DNA from collected scat is examined every five years. Data gathered by the DNA sampling show good correlation with the yearly observation data.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extrapolated bear population data, a yearly hunting quota is decided upon by managers at the county board. Bear population goals (and proposals on quotas) are set by the wildlife delegation in each county, which have representation of different interest groups including hunters and conservation organisations and are triangulated with data from Norway and Finland. </w:t>
      </w:r>
    </w:p>
    <w:p w:rsidR="00000000" w:rsidDel="00000000" w:rsidP="00000000" w:rsidRDefault="00000000" w:rsidRPr="00000000" w14:paraId="00000024">
      <w:pPr>
        <w:pStyle w:val="Heading3"/>
        <w:numPr>
          <w:ilvl w:val="0"/>
          <w:numId w:val="3"/>
        </w:numPr>
        <w:ind w:left="720" w:hanging="360"/>
        <w:rPr>
          <w:rFonts w:ascii="Times New Roman" w:cs="Times New Roman" w:eastAsia="Times New Roman" w:hAnsi="Times New Roman"/>
        </w:rPr>
      </w:pPr>
      <w:bookmarkStart w:colFirst="0" w:colLast="0" w:name="_2et92p0" w:id="5"/>
      <w:bookmarkEnd w:id="5"/>
      <w:r w:rsidDel="00000000" w:rsidR="00000000" w:rsidRPr="00000000">
        <w:rPr>
          <w:rFonts w:ascii="Times New Roman" w:cs="Times New Roman" w:eastAsia="Times New Roman" w:hAnsi="Times New Roman"/>
          <w:rtl w:val="0"/>
        </w:rPr>
        <w:t xml:space="preserve">Lynx monitoring in Switzerland</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lynx monitoring in Switzerland takes place on two levels. In the regional administrative level below the canton already colonised largely by lynx, abundance, demography and trends of the lynx population are monitored in detail by camera trapping in a study area representative for the entire sub-compartment. At the national level, new lynx occurrences, distribution, population size (upscaled), health and genetic parameters are monitored by means of chance observation (e.g. sightings, with photos, killed wild prey, tracks, vocalisations or scats, dead lynx, livestock killed or opportunistic camera trapping). Over time, changes in these parameters are documented as well. KORA, an in-state foundation, coordinates the national monitoring of large carnivores and analyses monitoring data on behalf of the Federal Office of Environment and the cantons. For this aim, KORA established a network of observers and reporters: game wardens and other volunteers (e.g. hunters and naturalists), the public and wildlife offices are also involved in the monitoring.</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there are two different hunting systems in Switzerland – licence hunting and lease-based hunting grounds – the participatory monitoring approaches differ accordingly in different cantons. Game wardens are especially important in cantons with licence hunting. In rental-based hunting grounds, no or few game wardens are working, so there are more hunters involved (e.g. in Solothurn since 2002). In Solothurn, ten trained hunters, so-called lynx officers, assess livestock damage and wild prey remains, collect chance observations, install camera traps and check them regularly. Every lynx that is detected by camera trapping and clearly identified is added to the lynx pool. Compensation payments for game damages are paid each year based on a distribution key and are distributed from the lynx pool to the hunting parties of the corresponding hunting grounds in which lynx were actually detected. The payment to the hunting grounds is linked to the effective result of their lynx monitoring</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More information about lynx monitoring is provided in Hočevar et al. 2020.</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tl w:val="0"/>
        </w:rPr>
      </w:r>
    </w:p>
    <w:p w:rsidR="00000000" w:rsidDel="00000000" w:rsidP="00000000" w:rsidRDefault="00000000" w:rsidRPr="00000000" w14:paraId="00000028">
      <w:pPr>
        <w:pStyle w:val="Heading3"/>
        <w:numPr>
          <w:ilvl w:val="0"/>
          <w:numId w:val="3"/>
        </w:numPr>
        <w:ind w:left="720" w:hanging="360"/>
        <w:rPr>
          <w:rFonts w:ascii="Times New Roman" w:cs="Times New Roman" w:eastAsia="Times New Roman" w:hAnsi="Times New Roman"/>
        </w:rPr>
      </w:pPr>
      <w:bookmarkStart w:colFirst="0" w:colLast="0" w:name="_tyjcwt" w:id="6"/>
      <w:bookmarkEnd w:id="6"/>
      <w:r w:rsidDel="00000000" w:rsidR="00000000" w:rsidRPr="00000000">
        <w:rPr>
          <w:rFonts w:ascii="Times New Roman" w:cs="Times New Roman" w:eastAsia="Times New Roman" w:hAnsi="Times New Roman"/>
          <w:rtl w:val="0"/>
        </w:rPr>
        <w:t xml:space="preserve">Wolf monitoring in Germany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2007, wolves started to spread over Germany and the need for standardised wolf monitoring data over all federal states arose. In 2009, national monitoring standards were set up to establish data compatibility between the federal states in Germany and revised in 2015. While the data collection is organised by each state individually, the objective is to compile an area assessment of wolf occurrence by monitoring established wolf territories. This is then visualised on a map</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that includes an index of population size defined as a number of packs, pairs and resident individuals of wolves in Germany.</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from camera traps are especially useful when there is an accumulation of wolves permanently living in any one area; the photos help to get proof of reproduction. In addition, genetic analyses are important, e.g. to be able to differentiate between neighbouring packs. For camera trapping, the collaboration with hunters is already quite well established. DNA samples are mostly taken from scat samples as well as from livestock kills. To estimate the number of packs and pairs of wolves, all existing information has to be combined and annual differences need to be considered (e.g. territories change from year to year). All results are made publicly accessible online in a yearly report and on an interactive online map. Figures on mortality of wolves and its reasons (e.g. car accidents, illegal killing) are also provided and updated annually. </w:t>
      </w:r>
    </w:p>
    <w:p w:rsidR="00000000" w:rsidDel="00000000" w:rsidP="00000000" w:rsidRDefault="00000000" w:rsidRPr="00000000" w14:paraId="0000002C">
      <w:pPr>
        <w:pStyle w:val="Heading2"/>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rtl w:val="0"/>
        </w:rPr>
        <w:t xml:space="preserve">Benefits of stakeholder engagement in participatory monitoring </w:t>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dialogue and exchange between stakeholders (e.g. authorities, hunters and conservationists) is being institutionalised. </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and joint engagement increases the trust in the data collected and the understanding about how management decisions are made.</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rPr>
      </w:pPr>
      <w:bookmarkStart w:colFirst="0" w:colLast="0" w:name="_4d34og8" w:id="8"/>
      <w:bookmarkEnd w:id="8"/>
      <w:r w:rsidDel="00000000" w:rsidR="00000000" w:rsidRPr="00000000">
        <w:rPr>
          <w:rFonts w:ascii="Times New Roman" w:cs="Times New Roman" w:eastAsia="Times New Roman" w:hAnsi="Times New Roman"/>
          <w:rtl w:val="0"/>
        </w:rPr>
        <w:t xml:space="preserve">The acceptance of large carnivores can rise and coexistence may be strengthened: e.g. although lynx abundance is high in the canton of Solothurn, no cases of illegal killing have been recorded since the implementation of the monitoring and the compensation payments.</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effort to cover large areas with monitoring may become affordable relying on citizen science volunteers.</w:t>
      </w:r>
      <w:r w:rsidDel="00000000" w:rsidR="00000000" w:rsidRPr="00000000">
        <w:rPr>
          <w:rtl w:val="0"/>
        </w:rPr>
      </w:r>
    </w:p>
    <w:p w:rsidR="00000000" w:rsidDel="00000000" w:rsidP="00000000" w:rsidRDefault="00000000" w:rsidRPr="00000000" w14:paraId="00000031">
      <w:pPr>
        <w:pStyle w:val="Heading2"/>
        <w:rPr>
          <w:rFonts w:ascii="Times New Roman" w:cs="Times New Roman" w:eastAsia="Times New Roman" w:hAnsi="Times New Roman"/>
        </w:rPr>
      </w:pPr>
      <w:bookmarkStart w:colFirst="0" w:colLast="0" w:name="_2s8eyo1" w:id="9"/>
      <w:bookmarkEnd w:id="9"/>
      <w:r w:rsidDel="00000000" w:rsidR="00000000" w:rsidRPr="00000000">
        <w:rPr>
          <w:rFonts w:ascii="Times New Roman" w:cs="Times New Roman" w:eastAsia="Times New Roman" w:hAnsi="Times New Roman"/>
          <w:rtl w:val="0"/>
        </w:rPr>
        <w:t xml:space="preserve">Contacts, literature and links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Sweden case study: bear monitoring</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Jonas Kindberg (Department of WIldlife, Fish and Environmental Studies, Swedish University of Agricultural sciences) - </w:t>
      </w:r>
      <w:hyperlink r:id="rId7">
        <w:r w:rsidDel="00000000" w:rsidR="00000000" w:rsidRPr="00000000">
          <w:rPr>
            <w:rFonts w:ascii="Times New Roman" w:cs="Times New Roman" w:eastAsia="Times New Roman" w:hAnsi="Times New Roman"/>
            <w:color w:val="1155cc"/>
            <w:u w:val="single"/>
            <w:rtl w:val="0"/>
          </w:rPr>
          <w:t xml:space="preserve">Jonas.Kindberg@slu.se</w:t>
        </w:r>
      </w:hyperlink>
      <w:r w:rsidDel="00000000" w:rsidR="00000000" w:rsidRPr="00000000">
        <w:rPr>
          <w:rFonts w:ascii="Times New Roman" w:cs="Times New Roman" w:eastAsia="Times New Roman" w:hAnsi="Times New Roman"/>
          <w:rtl w:val="0"/>
        </w:rPr>
        <w:t xml:space="preserve">, Jens Andersson (Swedish Environmental Protection Agency) - </w:t>
      </w:r>
      <w:hyperlink r:id="rId8">
        <w:r w:rsidDel="00000000" w:rsidR="00000000" w:rsidRPr="00000000">
          <w:rPr>
            <w:rFonts w:ascii="Times New Roman" w:cs="Times New Roman" w:eastAsia="Times New Roman" w:hAnsi="Times New Roman"/>
            <w:color w:val="1155cc"/>
            <w:u w:val="single"/>
            <w:rtl w:val="0"/>
          </w:rPr>
          <w:t xml:space="preserve">jens.andersson@naturvardsverket.se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Swedish public database: </w:t>
      </w:r>
      <w:hyperlink r:id="rId9">
        <w:r w:rsidDel="00000000" w:rsidR="00000000" w:rsidRPr="00000000">
          <w:rPr>
            <w:rFonts w:ascii="Times New Roman" w:cs="Times New Roman" w:eastAsia="Times New Roman" w:hAnsi="Times New Roman"/>
            <w:color w:val="1155cc"/>
            <w:u w:val="single"/>
            <w:rtl w:val="0"/>
          </w:rPr>
          <w:t xml:space="preserve">www.viltdata.se</w:t>
        </w:r>
      </w:hyperlink>
      <w:r w:rsidDel="00000000" w:rsidR="00000000" w:rsidRPr="00000000">
        <w:rPr>
          <w:rFonts w:ascii="Times New Roman" w:cs="Times New Roman" w:eastAsia="Times New Roman" w:hAnsi="Times New Roman"/>
          <w:rtl w:val="0"/>
        </w:rPr>
        <w:t xml:space="preserve">, Scandinavian database: </w:t>
      </w:r>
      <w:hyperlink r:id="rId10">
        <w:r w:rsidDel="00000000" w:rsidR="00000000" w:rsidRPr="00000000">
          <w:rPr>
            <w:rFonts w:ascii="Times New Roman" w:cs="Times New Roman" w:eastAsia="Times New Roman" w:hAnsi="Times New Roman"/>
            <w:color w:val="1155cc"/>
            <w:u w:val="single"/>
            <w:rtl w:val="0"/>
          </w:rPr>
          <w:t xml:space="preserve">www.rovbase.se</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Switzerland case study: lynx monitoring</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person: Fridolin Zimmermann (KORA) - </w:t>
      </w:r>
      <w:hyperlink r:id="rId11">
        <w:r w:rsidDel="00000000" w:rsidR="00000000" w:rsidRPr="00000000">
          <w:rPr>
            <w:rFonts w:ascii="Times New Roman" w:cs="Times New Roman" w:eastAsia="Times New Roman" w:hAnsi="Times New Roman"/>
            <w:color w:val="1155cc"/>
            <w:u w:val="single"/>
            <w:rtl w:val="0"/>
          </w:rPr>
          <w:t xml:space="preserve">f.zimmermann@kora.ch</w:t>
        </w:r>
      </w:hyperlink>
      <w:r w:rsidDel="00000000" w:rsidR="00000000" w:rsidRPr="00000000">
        <w:rPr>
          <w:rFonts w:ascii="Times New Roman" w:cs="Times New Roman" w:eastAsia="Times New Roman" w:hAnsi="Times New Roman"/>
          <w:rtl w:val="0"/>
        </w:rPr>
        <w:t xml:space="preserve">, Martin Baumann (Bundesamt für Umwelt, Schweiz) - </w:t>
      </w:r>
      <w:hyperlink r:id="rId12">
        <w:r w:rsidDel="00000000" w:rsidR="00000000" w:rsidRPr="00000000">
          <w:rPr>
            <w:rFonts w:ascii="Times New Roman" w:cs="Times New Roman" w:eastAsia="Times New Roman" w:hAnsi="Times New Roman"/>
            <w:color w:val="1155cc"/>
            <w:u w:val="single"/>
            <w:rtl w:val="0"/>
          </w:rPr>
          <w:t xml:space="preserve">martin.baumann@bafu.admin.ch</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KORA monitoring </w:t>
      </w:r>
      <w:r w:rsidDel="00000000" w:rsidR="00000000" w:rsidRPr="00000000">
        <w:rPr>
          <w:rFonts w:ascii="Times New Roman" w:cs="Times New Roman" w:eastAsia="Times New Roman" w:hAnsi="Times New Roman"/>
          <w:rtl w:val="0"/>
        </w:rPr>
        <w:t xml:space="preserve">center</w:t>
      </w:r>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1155cc"/>
            <w:u w:val="single"/>
            <w:rtl w:val="0"/>
          </w:rPr>
          <w:t xml:space="preserve">www.koracenter.ch</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Germany case study: wolf monitoring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person: Ilka Reinhardt (LUPUS Institut für Wolfsmonitoring und -forschung in Deutschland) - </w:t>
      </w:r>
      <w:hyperlink r:id="rId14">
        <w:r w:rsidDel="00000000" w:rsidR="00000000" w:rsidRPr="00000000">
          <w:rPr>
            <w:rFonts w:ascii="Times New Roman" w:cs="Times New Roman" w:eastAsia="Times New Roman" w:hAnsi="Times New Roman"/>
            <w:color w:val="1155cc"/>
            <w:u w:val="single"/>
            <w:rtl w:val="0"/>
          </w:rPr>
          <w:t xml:space="preserve">ilka.reinhardt@lupus-institut.de</w:t>
        </w:r>
      </w:hyperlink>
      <w:r w:rsidDel="00000000" w:rsidR="00000000" w:rsidRPr="00000000">
        <w:rPr>
          <w:rFonts w:ascii="Times New Roman" w:cs="Times New Roman" w:eastAsia="Times New Roman" w:hAnsi="Times New Roman"/>
          <w:rtl w:val="0"/>
        </w:rPr>
        <w:t xml:space="preserve">, Katharina Steyr (Federal Agency for Nature Conservation. Germany) - </w:t>
      </w:r>
      <w:hyperlink r:id="rId15">
        <w:r w:rsidDel="00000000" w:rsidR="00000000" w:rsidRPr="00000000">
          <w:rPr>
            <w:rFonts w:ascii="Times New Roman" w:cs="Times New Roman" w:eastAsia="Times New Roman" w:hAnsi="Times New Roman"/>
            <w:color w:val="1155cc"/>
            <w:u w:val="single"/>
            <w:rtl w:val="0"/>
          </w:rPr>
          <w:t xml:space="preserve">Katharina.Steyer@BfN.de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Dokumentations- und Beratungsstelle des Bundes zum Thema Wolf: </w:t>
      </w:r>
      <w:hyperlink r:id="rId16">
        <w:r w:rsidDel="00000000" w:rsidR="00000000" w:rsidRPr="00000000">
          <w:rPr>
            <w:rFonts w:ascii="Times New Roman" w:cs="Times New Roman" w:eastAsia="Times New Roman" w:hAnsi="Times New Roman"/>
            <w:color w:val="1155cc"/>
            <w:u w:val="single"/>
            <w:rtl w:val="0"/>
          </w:rPr>
          <w:t xml:space="preserve">www.dbb-wolf.de</w:t>
        </w:r>
      </w:hyperlink>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Linnell J. et al. (2008): Guidelines for population level management plans for large carnivores in Europe. A Large Carnivore Initiative for Europe report prepared for the European Commission (contract 070501/2005/424162/MAR/B2, </w:t>
      </w:r>
      <w:hyperlink r:id="rId1">
        <w:r w:rsidDel="00000000" w:rsidR="00000000" w:rsidRPr="00000000">
          <w:rPr>
            <w:color w:val="1155cc"/>
            <w:sz w:val="18"/>
            <w:szCs w:val="18"/>
            <w:u w:val="single"/>
            <w:rtl w:val="0"/>
          </w:rPr>
          <w:t xml:space="preserve">https://ec.europa.eu/environment/nature/conservation/species/carnivores/pdf/guidelines_for_population_level_management.pdf</w:t>
        </w:r>
      </w:hyperlink>
      <w:r w:rsidDel="00000000" w:rsidR="00000000" w:rsidRPr="00000000">
        <w:rPr>
          <w:sz w:val="18"/>
          <w:szCs w:val="18"/>
          <w:rtl w:val="0"/>
        </w:rPr>
        <w:t xml:space="preserve">, 28.05.2021</w:t>
      </w:r>
      <w:r w:rsidDel="00000000" w:rsidR="00000000" w:rsidRPr="00000000">
        <w:rPr>
          <w:rtl w:val="0"/>
        </w:rPr>
      </w:r>
    </w:p>
  </w:footnote>
  <w:footnote w:id="1">
    <w:p w:rsidR="00000000" w:rsidDel="00000000" w:rsidP="00000000" w:rsidRDefault="00000000" w:rsidRPr="00000000" w14:paraId="00000040">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Cretois et al. (2020): Hunters as citizen scientists: Contributions to biodiversity monitoring in Europe. Global ecology and conservation, </w:t>
      </w:r>
      <w:hyperlink r:id="rId2">
        <w:r w:rsidDel="00000000" w:rsidR="00000000" w:rsidRPr="00000000">
          <w:rPr>
            <w:sz w:val="18"/>
            <w:szCs w:val="18"/>
            <w:rtl w:val="0"/>
          </w:rPr>
          <w:t xml:space="preserve">Volume 23</w:t>
        </w:r>
      </w:hyperlink>
      <w:r w:rsidDel="00000000" w:rsidR="00000000" w:rsidRPr="00000000">
        <w:rPr>
          <w:sz w:val="18"/>
          <w:szCs w:val="18"/>
          <w:rtl w:val="0"/>
        </w:rPr>
        <w:t xml:space="preserve">, September 2020 (</w:t>
      </w:r>
      <w:hyperlink r:id="rId3">
        <w:r w:rsidDel="00000000" w:rsidR="00000000" w:rsidRPr="00000000">
          <w:rPr>
            <w:sz w:val="18"/>
            <w:szCs w:val="18"/>
            <w:rtl w:val="0"/>
          </w:rPr>
          <w:t xml:space="preserve">https://www.sciencedirect.com/science/article/pii/S2351989420303632</w:t>
        </w:r>
      </w:hyperlink>
      <w:r w:rsidDel="00000000" w:rsidR="00000000" w:rsidRPr="00000000">
        <w:rPr>
          <w:sz w:val="18"/>
          <w:szCs w:val="18"/>
          <w:rtl w:val="0"/>
        </w:rPr>
        <w:t xml:space="preserve">, 28.05.2021)</w:t>
      </w:r>
    </w:p>
  </w:footnote>
  <w:footnote w:id="2">
    <w:p w:rsidR="00000000" w:rsidDel="00000000" w:rsidP="00000000" w:rsidRDefault="00000000" w:rsidRPr="00000000" w14:paraId="0000004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see Grossmann, Carol M., et al. "Human-Large Carnivores Co-existence in Europe–A Comparative Stakeholder Network Analysis." </w:t>
      </w:r>
      <w:r w:rsidDel="00000000" w:rsidR="00000000" w:rsidRPr="00000000">
        <w:rPr>
          <w:i w:val="1"/>
          <w:sz w:val="18"/>
          <w:szCs w:val="18"/>
          <w:rtl w:val="0"/>
        </w:rPr>
        <w:t xml:space="preserve">Frontiers in Ecology and Evolution</w:t>
      </w:r>
      <w:r w:rsidDel="00000000" w:rsidR="00000000" w:rsidRPr="00000000">
        <w:rPr>
          <w:sz w:val="18"/>
          <w:szCs w:val="18"/>
          <w:rtl w:val="0"/>
        </w:rPr>
        <w:t xml:space="preserve"> 8 (2020): 266.</w:t>
      </w:r>
    </w:p>
  </w:footnote>
  <w:footnote w:id="3">
    <w:p w:rsidR="00000000" w:rsidDel="00000000" w:rsidP="00000000" w:rsidRDefault="00000000" w:rsidRPr="00000000" w14:paraId="00000042">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Molinari-Jobin, A (2003): Monitoring of the Alpine lynx population. Environmental encounters 58, 17- 19. 2003. Council of Europe Publishing. 7-5-2003</w:t>
      </w:r>
      <w:r w:rsidDel="00000000" w:rsidR="00000000" w:rsidRPr="00000000">
        <w:rPr>
          <w:sz w:val="20"/>
          <w:szCs w:val="20"/>
          <w:rtl w:val="0"/>
        </w:rPr>
        <w:t xml:space="preserve"> </w:t>
      </w:r>
      <w:r w:rsidDel="00000000" w:rsidR="00000000" w:rsidRPr="00000000">
        <w:rPr>
          <w:sz w:val="18"/>
          <w:szCs w:val="18"/>
          <w:rtl w:val="0"/>
        </w:rPr>
        <w:t xml:space="preserve">(</w:t>
      </w:r>
      <w:hyperlink r:id="rId4">
        <w:r w:rsidDel="00000000" w:rsidR="00000000" w:rsidRPr="00000000">
          <w:rPr>
            <w:color w:val="1155cc"/>
            <w:sz w:val="18"/>
            <w:szCs w:val="18"/>
            <w:u w:val="single"/>
            <w:rtl w:val="0"/>
          </w:rPr>
          <w:t xml:space="preserve">https://www.kora.ch/malme/05_library/5_1_publications/M/Molinari-Jobin_2003_Monitoring_of_Alpine_lynx_population.pdf</w:t>
        </w:r>
      </w:hyperlink>
      <w:r w:rsidDel="00000000" w:rsidR="00000000" w:rsidRPr="00000000">
        <w:rPr>
          <w:sz w:val="18"/>
          <w:szCs w:val="18"/>
          <w:rtl w:val="0"/>
        </w:rPr>
        <w:t xml:space="preserve">, 28/05/2021)</w:t>
      </w:r>
    </w:p>
  </w:footnote>
  <w:footnote w:id="4">
    <w:p w:rsidR="00000000" w:rsidDel="00000000" w:rsidP="00000000" w:rsidRDefault="00000000" w:rsidRPr="00000000" w14:paraId="0000004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Konzept Luchs Schweiz - Vollzugshilfe des BAFU zum Luchsmanagement in der Schweiz,  BAFU 2016 (</w:t>
      </w:r>
      <w:hyperlink r:id="rId5">
        <w:r w:rsidDel="00000000" w:rsidR="00000000" w:rsidRPr="00000000">
          <w:rPr>
            <w:color w:val="1155cc"/>
            <w:sz w:val="18"/>
            <w:szCs w:val="18"/>
            <w:u w:val="single"/>
            <w:rtl w:val="0"/>
          </w:rPr>
          <w:t xml:space="preserve">https://www.kora.ch/uploads/media/D_Konzept_Luchs_Schweiz_2016_Revision_Anhaenge_2019.pdf</w:t>
        </w:r>
      </w:hyperlink>
      <w:r w:rsidDel="00000000" w:rsidR="00000000" w:rsidRPr="00000000">
        <w:rPr>
          <w:sz w:val="18"/>
          <w:szCs w:val="18"/>
          <w:rtl w:val="0"/>
        </w:rPr>
        <w:t xml:space="preserve">, 2/05/2021)</w:t>
      </w:r>
    </w:p>
  </w:footnote>
  <w:footnote w:id="5">
    <w:p w:rsidR="00000000" w:rsidDel="00000000" w:rsidP="00000000" w:rsidRDefault="00000000" w:rsidRPr="00000000" w14:paraId="00000044">
      <w:pPr>
        <w:spacing w:line="240" w:lineRule="auto"/>
        <w:rPr>
          <w:sz w:val="16"/>
          <w:szCs w:val="16"/>
        </w:rPr>
      </w:pPr>
      <w:r w:rsidDel="00000000" w:rsidR="00000000" w:rsidRPr="00000000">
        <w:rPr>
          <w:rStyle w:val="FootnoteReference"/>
          <w:vertAlign w:val="superscript"/>
        </w:rPr>
        <w:footnoteRef/>
      </w:r>
      <w:r w:rsidDel="00000000" w:rsidR="00000000" w:rsidRPr="00000000">
        <w:rPr>
          <w:sz w:val="18"/>
          <w:szCs w:val="18"/>
          <w:rtl w:val="0"/>
        </w:rPr>
        <w:t xml:space="preserve"> Arx, M. (2017): Der Luchs im Jura : unter besonderer Berücksichtigung des Solothurner Juras, Mitteilungen / Naturforschende Gesellschaft des Kantons Solothurn, Band 43 (</w:t>
      </w:r>
      <w:hyperlink r:id="rId6">
        <w:r w:rsidDel="00000000" w:rsidR="00000000" w:rsidRPr="00000000">
          <w:rPr>
            <w:color w:val="1155cc"/>
            <w:sz w:val="18"/>
            <w:szCs w:val="18"/>
            <w:u w:val="single"/>
            <w:rtl w:val="0"/>
          </w:rPr>
          <w:t xml:space="preserve">https://www.kora.ch/fileadmin/file_sharing/5_Bibliothek/52_KORA_Publikationen/523_KORA_PubList/von_Arx_et_al_2017_Der_Luchs_im_Jura.pdf</w:t>
        </w:r>
      </w:hyperlink>
      <w:r w:rsidDel="00000000" w:rsidR="00000000" w:rsidRPr="00000000">
        <w:rPr>
          <w:sz w:val="18"/>
          <w:szCs w:val="18"/>
          <w:rtl w:val="0"/>
        </w:rPr>
        <w:t xml:space="preserve">, 28/05/2021)</w:t>
      </w:r>
      <w:r w:rsidDel="00000000" w:rsidR="00000000" w:rsidRPr="00000000">
        <w:rPr>
          <w:rtl w:val="0"/>
        </w:rPr>
      </w:r>
    </w:p>
  </w:footnote>
  <w:footnote w:id="6">
    <w:p w:rsidR="00000000" w:rsidDel="00000000" w:rsidP="00000000" w:rsidRDefault="00000000" w:rsidRPr="00000000" w14:paraId="0000004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Hočevar, Lan, Urša Fležar, and Miha Krofel (2020) "OVERVIEW OF GOOD PRACTICES IN EURASIAN LYNX MONITORING AND CONSERVATION."</w:t>
      </w:r>
    </w:p>
  </w:footnote>
  <w:footnote w:id="7">
    <w:p w:rsidR="00000000" w:rsidDel="00000000" w:rsidP="00000000" w:rsidRDefault="00000000" w:rsidRPr="00000000" w14:paraId="000000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7">
        <w:r w:rsidDel="00000000" w:rsidR="00000000" w:rsidRPr="00000000">
          <w:rPr>
            <w:color w:val="1155cc"/>
            <w:sz w:val="20"/>
            <w:szCs w:val="20"/>
            <w:u w:val="single"/>
            <w:rtl w:val="0"/>
          </w:rPr>
          <w:t xml:space="preserve">www.dbb-wolf.de</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line="360" w:lineRule="auto"/>
      <w:jc w:val="cente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f.zimmermann@kora.ch" TargetMode="External"/><Relationship Id="rId10" Type="http://schemas.openxmlformats.org/officeDocument/2006/relationships/hyperlink" Target="http://www.rovbase.se" TargetMode="External"/><Relationship Id="rId13" Type="http://schemas.openxmlformats.org/officeDocument/2006/relationships/hyperlink" Target="http://www.koracenter.ch" TargetMode="External"/><Relationship Id="rId12" Type="http://schemas.openxmlformats.org/officeDocument/2006/relationships/hyperlink" Target="mailto:martin.baumann@bafu.admin.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viltdata.se" TargetMode="External"/><Relationship Id="rId15" Type="http://schemas.openxmlformats.org/officeDocument/2006/relationships/hyperlink" Target="mailto:Katharina.Steyer@BfN.de" TargetMode="External"/><Relationship Id="rId14" Type="http://schemas.openxmlformats.org/officeDocument/2006/relationships/hyperlink" Target="mailto:ilka.reinhardt@lupus-institut.de" TargetMode="External"/><Relationship Id="rId17" Type="http://schemas.openxmlformats.org/officeDocument/2006/relationships/header" Target="header1.xml"/><Relationship Id="rId16" Type="http://schemas.openxmlformats.org/officeDocument/2006/relationships/hyperlink" Target="http://www.dbb-wolf.de"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hyperlink" Target="mailto:Jonas.Kindberg@slu.se" TargetMode="External"/><Relationship Id="rId8" Type="http://schemas.openxmlformats.org/officeDocument/2006/relationships/hyperlink" Target="mailto:jens.andersson@naturvardsverket.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ec.europa.eu/environment/nature/conservation/species/carnivores/pdf/guidelines_for_population_level_management.pdf" TargetMode="External"/><Relationship Id="rId2" Type="http://schemas.openxmlformats.org/officeDocument/2006/relationships/hyperlink" Target="https://www.sciencedirect.com/science/journal/23519894/23/supp/C" TargetMode="External"/><Relationship Id="rId3" Type="http://schemas.openxmlformats.org/officeDocument/2006/relationships/hyperlink" Target="https://www.sciencedirect.com/science/article/pii/S2351989420303632" TargetMode="External"/><Relationship Id="rId4" Type="http://schemas.openxmlformats.org/officeDocument/2006/relationships/hyperlink" Target="https://www.kora.ch/malme/05_library/5_1_publications/M/Molinari-Jobin_2003_Monitoring_of_Alpine_lynx_population.pdf" TargetMode="External"/><Relationship Id="rId5" Type="http://schemas.openxmlformats.org/officeDocument/2006/relationships/hyperlink" Target="https://www.kora.ch/uploads/media/D_Konzept_Luchs_Schweiz_2016_Revision_Anhaenge_2019.pdf" TargetMode="External"/><Relationship Id="rId6" Type="http://schemas.openxmlformats.org/officeDocument/2006/relationships/hyperlink" Target="https://www.kora.ch/fileadmin/file_sharing/5_Bibliothek/52_KORA_Publikationen/523_KORA_PubList/von_Arx_et_al_2017_Der_Luchs_im_Jura.pdf" TargetMode="External"/><Relationship Id="rId7" Type="http://schemas.openxmlformats.org/officeDocument/2006/relationships/hyperlink" Target="http://www.dbb-wolf.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