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360" w:before="120" w:line="240" w:lineRule="auto"/>
        <w:ind w:left="23" w:firstLine="0"/>
        <w:jc w:val="center"/>
        <w:rPr/>
      </w:pPr>
      <w:bookmarkStart w:colFirst="0" w:colLast="0" w:name="_t2vnp0603dtz" w:id="0"/>
      <w:bookmarkEnd w:id="0"/>
      <w:r w:rsidDel="00000000" w:rsidR="00000000" w:rsidRPr="00000000">
        <w:rPr>
          <w:rtl w:val="0"/>
        </w:rPr>
        <w:t xml:space="preserve">Surveillance, monitoring and the Habitats Directive</w:t>
      </w:r>
    </w:p>
    <w:p w:rsidR="00000000" w:rsidDel="00000000" w:rsidP="00000000" w:rsidRDefault="00000000" w:rsidRPr="00000000" w14:paraId="00000002">
      <w:pPr>
        <w:jc w:val="center"/>
        <w:rPr/>
      </w:pPr>
      <w:r w:rsidDel="00000000" w:rsidR="00000000" w:rsidRPr="00000000">
        <w:rPr>
          <w:rtl w:val="0"/>
        </w:rPr>
        <w:t xml:space="preserve">Version 1.1</w:t>
      </w:r>
    </w:p>
    <w:p w:rsidR="00000000" w:rsidDel="00000000" w:rsidP="00000000" w:rsidRDefault="00000000" w:rsidRPr="00000000" w14:paraId="00000003">
      <w:pPr>
        <w:jc w:val="center"/>
        <w:rPr/>
      </w:pPr>
      <w:r w:rsidDel="00000000" w:rsidR="00000000" w:rsidRPr="00000000">
        <w:rPr>
          <w:rtl w:val="0"/>
        </w:rPr>
        <w:t xml:space="preserve">Last modified </w:t>
      </w:r>
      <w:r w:rsidDel="00000000" w:rsidR="00000000" w:rsidRPr="00000000">
        <w:rPr>
          <w:rtl w:val="0"/>
        </w:rPr>
        <w:t xml:space="preserve">Feb 17, 2022</w:t>
      </w:r>
      <w:r w:rsidDel="00000000" w:rsidR="00000000" w:rsidRPr="00000000">
        <w:rPr>
          <w:rtl w:val="0"/>
        </w:rPr>
        <w:t xml:space="preserve"> (see version history)</w:t>
      </w:r>
    </w:p>
    <w:p w:rsidR="00000000" w:rsidDel="00000000" w:rsidP="00000000" w:rsidRDefault="00000000" w:rsidRPr="00000000" w14:paraId="00000004">
      <w:pPr>
        <w:jc w:val="center"/>
        <w:rPr/>
      </w:pPr>
      <w:r w:rsidDel="00000000" w:rsidR="00000000" w:rsidRPr="00000000">
        <w:rPr>
          <w:rtl w:val="0"/>
        </w:rPr>
        <w:t xml:space="preserve">Original author: Robin Rigg, Slovak Wildlife Society</w:t>
      </w:r>
    </w:p>
    <w:p w:rsidR="00000000" w:rsidDel="00000000" w:rsidP="00000000" w:rsidRDefault="00000000" w:rsidRPr="00000000" w14:paraId="00000005">
      <w:pPr>
        <w:pStyle w:val="Heading1"/>
        <w:rPr/>
      </w:pPr>
      <w:r w:rsidDel="00000000" w:rsidR="00000000" w:rsidRPr="00000000">
        <w:rPr>
          <w:rtl w:val="0"/>
        </w:rPr>
        <w:t xml:space="preserve">Background</w:t>
      </w:r>
    </w:p>
    <w:p w:rsidR="00000000" w:rsidDel="00000000" w:rsidP="00000000" w:rsidRDefault="00000000" w:rsidRPr="00000000" w14:paraId="00000006">
      <w:pPr>
        <w:rPr/>
      </w:pPr>
      <w:r w:rsidDel="00000000" w:rsidR="00000000" w:rsidRPr="00000000">
        <w:rPr>
          <w:rtl w:val="0"/>
        </w:rPr>
        <w:t xml:space="preserve">Successful wildlife management is predicated on reliable estimation of key population parameters. Monitoring their trend over time is vital for the design and implementation of appropriate interventions and evaluation of their effectiveness.</w:t>
      </w:r>
    </w:p>
    <w:p w:rsidR="00000000" w:rsidDel="00000000" w:rsidP="00000000" w:rsidRDefault="00000000" w:rsidRPr="00000000" w14:paraId="00000007">
      <w:pPr>
        <w:rPr/>
      </w:pPr>
      <w:r w:rsidDel="00000000" w:rsidR="00000000" w:rsidRPr="00000000">
        <w:rPr>
          <w:rtl w:val="0"/>
        </w:rPr>
        <w:t xml:space="preserve">EU Member States are obliged by Article 11 of the Habitats Directive</w:t>
      </w:r>
      <w:r w:rsidDel="00000000" w:rsidR="00000000" w:rsidRPr="00000000">
        <w:rPr>
          <w:vertAlign w:val="superscript"/>
        </w:rPr>
        <w:footnoteReference w:customMarkFollows="0" w:id="0"/>
      </w:r>
      <w:r w:rsidDel="00000000" w:rsidR="00000000" w:rsidRPr="00000000">
        <w:rPr>
          <w:rtl w:val="0"/>
        </w:rPr>
        <w:t xml:space="preserve"> to “undertake surveillance of the conservation status of the … species referred to in Article 2 with particular regard to … priority species”. This obligation applies to all species of Community interest listed in Annex II, IV or V, which include all native large carnivores throughout the EU</w:t>
      </w:r>
      <w:r w:rsidDel="00000000" w:rsidR="00000000" w:rsidRPr="00000000">
        <w:rPr>
          <w:vertAlign w:val="superscript"/>
        </w:rPr>
        <w:footnoteReference w:customMarkFollows="0" w:id="1"/>
      </w:r>
      <w:r w:rsidDel="00000000" w:rsidR="00000000" w:rsidRPr="00000000">
        <w:rPr>
          <w:rtl w:val="0"/>
        </w:rPr>
        <w:t xml:space="preserve">. Furthermore, Member States are required under Article 17 to monitor the conservation status of species covered by the Directive and to report their findings to the Commission every six years</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The term monitoring is often used generically, as in “wolf monitoring”; however, to be meaningful, it must always refer to the specific attribute to be monitored, e.g. monitoring of wolf population size. In the case of Article 11 of the Habitats Directive, the attribute is the status of the population in relation to favourable conservation status (see below). Parameters for the conservation status assessment of species are range area, population size, habitat and their trends over the last 12 years as well as future prospects</w:t>
      </w:r>
      <w:r w:rsidDel="00000000" w:rsidR="00000000" w:rsidRPr="00000000">
        <w:rPr>
          <w:vertAlign w:val="superscript"/>
        </w:rPr>
        <w:footnoteReference w:customMarkFollows="0" w:id="3"/>
      </w:r>
      <w:r w:rsidDel="00000000" w:rsidR="00000000" w:rsidRPr="00000000">
        <w:rPr>
          <w:rtl w:val="0"/>
        </w:rPr>
        <w:t xml:space="preserve">.</w:t>
      </w:r>
    </w:p>
    <w:p w:rsidR="00000000" w:rsidDel="00000000" w:rsidP="00000000" w:rsidRDefault="00000000" w:rsidRPr="00000000" w14:paraId="00000009">
      <w:pPr>
        <w:pStyle w:val="Heading1"/>
        <w:rPr/>
      </w:pPr>
      <w:r w:rsidDel="00000000" w:rsidR="00000000" w:rsidRPr="00000000">
        <w:rPr>
          <w:rtl w:val="0"/>
        </w:rPr>
        <w:t xml:space="preserve">Definitions</w:t>
      </w:r>
    </w:p>
    <w:p w:rsidR="00000000" w:rsidDel="00000000" w:rsidP="00000000" w:rsidRDefault="00000000" w:rsidRPr="00000000" w14:paraId="0000000A">
      <w:pPr>
        <w:rPr/>
      </w:pPr>
      <w:r w:rsidDel="00000000" w:rsidR="00000000" w:rsidRPr="00000000">
        <w:rPr>
          <w:rtl w:val="0"/>
        </w:rPr>
        <w:t xml:space="preserve">A </w:t>
      </w:r>
      <w:r w:rsidDel="00000000" w:rsidR="00000000" w:rsidRPr="00000000">
        <w:rPr>
          <w:b w:val="1"/>
          <w:rtl w:val="0"/>
        </w:rPr>
        <w:t xml:space="preserve">survey</w:t>
      </w:r>
      <w:r w:rsidDel="00000000" w:rsidR="00000000" w:rsidRPr="00000000">
        <w:rPr>
          <w:rtl w:val="0"/>
        </w:rPr>
        <w:t xml:space="preserve"> is an initial observation or one-off “snapshot”. </w:t>
      </w:r>
      <w:r w:rsidDel="00000000" w:rsidR="00000000" w:rsidRPr="00000000">
        <w:rPr>
          <w:b w:val="1"/>
          <w:rtl w:val="0"/>
        </w:rPr>
        <w:t xml:space="preserve">Monitoring</w:t>
      </w:r>
      <w:r w:rsidDel="00000000" w:rsidR="00000000" w:rsidRPr="00000000">
        <w:rPr>
          <w:rtl w:val="0"/>
        </w:rPr>
        <w:t xml:space="preserve"> is composed of a series of surveys, i.e. repeated measurements of a variable over time, designed to detect changes or to assess the fulfilment of a goal such as achieving a certain population size or other management objective. </w:t>
      </w:r>
      <w:r w:rsidDel="00000000" w:rsidR="00000000" w:rsidRPr="00000000">
        <w:rPr>
          <w:b w:val="1"/>
          <w:rtl w:val="0"/>
        </w:rPr>
        <w:t xml:space="preserve">Surveillance</w:t>
      </w:r>
      <w:r w:rsidDel="00000000" w:rsidR="00000000" w:rsidRPr="00000000">
        <w:rPr>
          <w:rtl w:val="0"/>
        </w:rPr>
        <w:t xml:space="preserve"> here refers to the special case of monitoring required to comply with Articles 11 and 17 of the Habitats Directive.</w:t>
      </w:r>
    </w:p>
    <w:p w:rsidR="00000000" w:rsidDel="00000000" w:rsidP="00000000" w:rsidRDefault="00000000" w:rsidRPr="00000000" w14:paraId="0000000B">
      <w:pPr>
        <w:rPr/>
      </w:pPr>
      <w:r w:rsidDel="00000000" w:rsidR="00000000" w:rsidRPr="00000000">
        <w:rPr>
          <w:b w:val="1"/>
          <w:rtl w:val="0"/>
        </w:rPr>
        <w:t xml:space="preserve">Favourable conservation status</w:t>
      </w:r>
      <w:r w:rsidDel="00000000" w:rsidR="00000000" w:rsidRPr="00000000">
        <w:rPr>
          <w:rtl w:val="0"/>
        </w:rPr>
        <w:t xml:space="preserve"> (FCS)</w:t>
      </w:r>
      <w:r w:rsidDel="00000000" w:rsidR="00000000" w:rsidRPr="00000000">
        <w:rPr>
          <w:vertAlign w:val="superscript"/>
        </w:rPr>
        <w:footnoteReference w:customMarkFollows="0" w:id="4"/>
      </w:r>
      <w:r w:rsidDel="00000000" w:rsidR="00000000" w:rsidRPr="00000000">
        <w:rPr>
          <w:rtl w:val="0"/>
        </w:rPr>
        <w:t xml:space="preserve"> is the overall objective to be reached for all species of Community interest. It is a complex concept in terms of both legal and ecological aspects (Epstein et al. 2016, Trouwborst et al. 2017). Article 1(i) of the Directive stipulates that, “conservation status will be taken as ‘favourable’ when: population dynamics data on the species concerned indicate that it is maintaining itself on a long-term basis as a viable component of its natural habitats, and the natural range of the species is neither being reduced nor is likely to be reduced for the foreseeable future, and there is, and will probably continue to be, a sufficiently large habitat to maintain its populations on a long-term basis.” </w:t>
      </w:r>
    </w:p>
    <w:p w:rsidR="00000000" w:rsidDel="00000000" w:rsidP="00000000" w:rsidRDefault="00000000" w:rsidRPr="00000000" w14:paraId="0000000C">
      <w:pPr>
        <w:rPr/>
      </w:pPr>
      <w:r w:rsidDel="00000000" w:rsidR="00000000" w:rsidRPr="00000000">
        <w:rPr>
          <w:rtl w:val="0"/>
        </w:rPr>
        <w:t xml:space="preserve">To be able to evaluate whether FCS has been achieved, two </w:t>
      </w:r>
      <w:r w:rsidDel="00000000" w:rsidR="00000000" w:rsidRPr="00000000">
        <w:rPr>
          <w:b w:val="1"/>
          <w:rtl w:val="0"/>
        </w:rPr>
        <w:t xml:space="preserve">favourable reference values</w:t>
      </w:r>
      <w:r w:rsidDel="00000000" w:rsidR="00000000" w:rsidRPr="00000000">
        <w:rPr>
          <w:rtl w:val="0"/>
        </w:rPr>
        <w:t xml:space="preserve"> (</w:t>
      </w:r>
      <w:r w:rsidDel="00000000" w:rsidR="00000000" w:rsidRPr="00000000">
        <w:rPr>
          <w:rtl w:val="0"/>
        </w:rPr>
        <w:t xml:space="preserve">FRV</w:t>
      </w:r>
      <w:r w:rsidDel="00000000" w:rsidR="00000000" w:rsidRPr="00000000">
        <w:rPr>
          <w:rtl w:val="0"/>
        </w:rPr>
        <w:t xml:space="preserve">) – </w:t>
      </w:r>
      <w:r w:rsidDel="00000000" w:rsidR="00000000" w:rsidRPr="00000000">
        <w:rPr>
          <w:b w:val="1"/>
          <w:rtl w:val="0"/>
        </w:rPr>
        <w:t xml:space="preserve">favourable reference population</w:t>
      </w:r>
      <w:r w:rsidDel="00000000" w:rsidR="00000000" w:rsidRPr="00000000">
        <w:rPr>
          <w:rtl w:val="0"/>
        </w:rPr>
        <w:t xml:space="preserve"> (FRP) and </w:t>
      </w:r>
      <w:r w:rsidDel="00000000" w:rsidR="00000000" w:rsidRPr="00000000">
        <w:rPr>
          <w:b w:val="1"/>
          <w:rtl w:val="0"/>
        </w:rPr>
        <w:t xml:space="preserve">favourable reference range</w:t>
      </w:r>
      <w:r w:rsidDel="00000000" w:rsidR="00000000" w:rsidRPr="00000000">
        <w:rPr>
          <w:rtl w:val="0"/>
        </w:rPr>
        <w:t xml:space="preserve"> (FRR) – must be specified with which the observed and reported status can be compared. Defining FRV, FRP and FRR is far from simple</w:t>
      </w:r>
      <w:r w:rsidDel="00000000" w:rsidR="00000000" w:rsidRPr="00000000">
        <w:rPr>
          <w:vertAlign w:val="superscript"/>
        </w:rPr>
        <w:footnoteReference w:customMarkFollows="0" w:id="5"/>
      </w:r>
      <w:r w:rsidDel="00000000" w:rsidR="00000000" w:rsidRPr="00000000">
        <w:rPr>
          <w:rtl w:val="0"/>
        </w:rPr>
        <w:t xml:space="preserve"> and is beyond the scope of this document. Practicable definitions were proposed in the </w:t>
      </w:r>
      <w:r w:rsidDel="00000000" w:rsidR="00000000" w:rsidRPr="00000000">
        <w:rPr>
          <w:i w:val="1"/>
          <w:rtl w:val="0"/>
        </w:rPr>
        <w:t xml:space="preserve">Guidelines for population level management plans for large carnivores in Europe</w:t>
      </w:r>
      <w:r w:rsidDel="00000000" w:rsidR="00000000" w:rsidRPr="00000000">
        <w:rPr>
          <w:i w:val="1"/>
          <w:vertAlign w:val="superscript"/>
        </w:rPr>
        <w:footnoteReference w:customMarkFollows="0" w:id="6"/>
      </w:r>
      <w:r w:rsidDel="00000000" w:rsidR="00000000" w:rsidRPr="00000000">
        <w:rPr>
          <w:rtl w:val="0"/>
        </w:rPr>
        <w:t xml:space="preserve">. A thorough treatment of FCS would also consider the degree of genetic diversity necessary to avoid detrimental effects such as inbreeding.</w:t>
      </w:r>
    </w:p>
    <w:p w:rsidR="00000000" w:rsidDel="00000000" w:rsidP="00000000" w:rsidRDefault="00000000" w:rsidRPr="00000000" w14:paraId="0000000D">
      <w:pPr>
        <w:pStyle w:val="Heading1"/>
        <w:rPr/>
      </w:pPr>
      <w:r w:rsidDel="00000000" w:rsidR="00000000" w:rsidRPr="00000000">
        <w:rPr>
          <w:rtl w:val="0"/>
        </w:rPr>
        <w:t xml:space="preserve">Principles</w:t>
      </w:r>
    </w:p>
    <w:p w:rsidR="00000000" w:rsidDel="00000000" w:rsidP="00000000" w:rsidRDefault="00000000" w:rsidRPr="00000000" w14:paraId="0000000E">
      <w:pPr>
        <w:rPr/>
      </w:pPr>
      <w:r w:rsidDel="00000000" w:rsidR="00000000" w:rsidRPr="00000000">
        <w:rPr>
          <w:rtl w:val="0"/>
        </w:rPr>
        <w:t xml:space="preserve">In order for it to be both useful and credible, monitoring must be scientifically robust. Reliance on experiential knowledge, opinions or perceptions can result in substantial errors in estimation of abundance</w:t>
      </w:r>
      <w:r w:rsidDel="00000000" w:rsidR="00000000" w:rsidRPr="00000000">
        <w:rPr>
          <w:vertAlign w:val="superscript"/>
        </w:rPr>
        <w:footnoteReference w:customMarkFollows="0" w:id="7"/>
      </w:r>
      <w:r w:rsidDel="00000000" w:rsidR="00000000" w:rsidRPr="00000000">
        <w:rPr>
          <w:rtl w:val="0"/>
        </w:rPr>
        <w:t xml:space="preserve">. There may sometimes be initial reluctance to transition from ‘traditional’ methods to more evidence-based systems</w:t>
      </w:r>
      <w:r w:rsidDel="00000000" w:rsidR="00000000" w:rsidRPr="00000000">
        <w:rPr>
          <w:vertAlign w:val="superscript"/>
        </w:rPr>
        <w:footnoteReference w:customMarkFollows="0" w:id="8"/>
      </w:r>
      <w:r w:rsidDel="00000000" w:rsidR="00000000" w:rsidRPr="00000000">
        <w:rPr>
          <w:rtl w:val="0"/>
        </w:rPr>
        <w:t xml:space="preserve">. This can be overcome by including key stakeholders in collaborative approaches which can also help resolve conflicts among stakeholders concerning wildlife abundance</w:t>
      </w:r>
      <w:r w:rsidDel="00000000" w:rsidR="00000000" w:rsidRPr="00000000">
        <w:rPr>
          <w:vertAlign w:val="superscript"/>
        </w:rPr>
        <w:footnoteReference w:customMarkFollows="0" w:id="9"/>
      </w:r>
      <w:r w:rsidDel="00000000" w:rsidR="00000000" w:rsidRPr="00000000">
        <w:rPr>
          <w:rtl w:val="0"/>
        </w:rPr>
        <w:t xml:space="preserve"> (see </w:t>
      </w:r>
      <w:r w:rsidDel="00000000" w:rsidR="00000000" w:rsidRPr="00000000">
        <w:rPr>
          <w:highlight w:val="yellow"/>
          <w:rtl w:val="0"/>
        </w:rPr>
        <w:t xml:space="preserve">Engaging stakeholders in monitoring of large carnivores</w:t>
      </w:r>
      <w:r w:rsidDel="00000000" w:rsidR="00000000" w:rsidRPr="00000000">
        <w:rPr>
          <w:rtl w:val="0"/>
        </w:rPr>
        <w:t xml:space="preserve">).</w:t>
      </w:r>
    </w:p>
    <w:p w:rsidR="00000000" w:rsidDel="00000000" w:rsidP="00000000" w:rsidRDefault="00000000" w:rsidRPr="00000000" w14:paraId="0000000F">
      <w:pPr>
        <w:spacing w:after="120" w:lineRule="auto"/>
        <w:rPr/>
      </w:pPr>
      <w:r w:rsidDel="00000000" w:rsidR="00000000" w:rsidRPr="00000000">
        <w:rPr>
          <w:rtl w:val="0"/>
        </w:rPr>
        <w:t xml:space="preserve">An intrinsic aspect of monitoring is that it is repeated over time using the same approaches. Careful planning and preparation before launching a new programme are therefore of utmost importance to avoid later changes which would make comparisons difficult. A monitoring programme should have a clear concept, efficient systems of data and sample collection, robust analysis and interpretation and a transparent reporting system (see </w:t>
      </w:r>
      <w:r w:rsidDel="00000000" w:rsidR="00000000" w:rsidRPr="00000000">
        <w:rPr>
          <w:highlight w:val="yellow"/>
          <w:rtl w:val="0"/>
        </w:rPr>
        <w:t xml:space="preserve">Making monitoring data and hunting quotas transparent</w:t>
      </w:r>
      <w:r w:rsidDel="00000000" w:rsidR="00000000" w:rsidRPr="00000000">
        <w:rPr>
          <w:rtl w:val="0"/>
        </w:rPr>
        <w:t xml:space="preserve">).</w:t>
      </w:r>
    </w:p>
    <w:p w:rsidR="00000000" w:rsidDel="00000000" w:rsidP="00000000" w:rsidRDefault="00000000" w:rsidRPr="00000000" w14:paraId="00000010">
      <w:pPr>
        <w:spacing w:after="120" w:lineRule="auto"/>
        <w:rPr/>
      </w:pPr>
      <w:r w:rsidDel="00000000" w:rsidR="00000000" w:rsidRPr="00000000">
        <w:rPr>
          <w:rtl w:val="0"/>
        </w:rPr>
        <w:t xml:space="preserve">Monitoring a species may target one or several attributes of the species: for example, number of individuals, distribution, occupancy, number of packs, territorial occupancy, number of litters, health-related parameters, genetic-related data, frequency of preyed species, etc. Some of the attributes imply the collection of data on the individual animals of a population, others might be monitored through indirect indices.</w:t>
      </w:r>
    </w:p>
    <w:p w:rsidR="00000000" w:rsidDel="00000000" w:rsidP="00000000" w:rsidRDefault="00000000" w:rsidRPr="00000000" w14:paraId="00000011">
      <w:pPr>
        <w:rPr/>
      </w:pPr>
      <w:r w:rsidDel="00000000" w:rsidR="00000000" w:rsidRPr="00000000">
        <w:rPr>
          <w:rtl w:val="0"/>
        </w:rPr>
        <w:t xml:space="preserve">Bears, lynx, wolves and wolverines have large home ranges and their populations extend over huge areas, in most cases spanning regional and international boundaries. While their management generally conforms to political borders, their distribution and movements do not. To avoid substantial bias in results, monitoring must be conducted at ecologically relevant scales (Bischof et al. 2016) which often necessitates coordination of effort and data sharing across political boundaries (Gervasi et al. 2016).</w:t>
      </w:r>
    </w:p>
    <w:p w:rsidR="00000000" w:rsidDel="00000000" w:rsidP="00000000" w:rsidRDefault="00000000" w:rsidRPr="00000000" w14:paraId="00000012">
      <w:pPr>
        <w:tabs>
          <w:tab w:val="left" w:leader="none" w:pos="4111"/>
        </w:tabs>
        <w:rPr/>
      </w:pPr>
      <w:r w:rsidDel="00000000" w:rsidR="00000000" w:rsidRPr="00000000">
        <w:rPr>
          <w:rtl w:val="0"/>
        </w:rPr>
        <w:t xml:space="preserve">There are several different designs of monitoring programmes</w:t>
      </w:r>
      <w:r w:rsidDel="00000000" w:rsidR="00000000" w:rsidRPr="00000000">
        <w:rPr>
          <w:vertAlign w:val="superscript"/>
        </w:rPr>
        <w:footnoteReference w:customMarkFollows="0" w:id="10"/>
      </w:r>
      <w:r w:rsidDel="00000000" w:rsidR="00000000" w:rsidRPr="00000000">
        <w:rPr>
          <w:rtl w:val="0"/>
        </w:rPr>
        <w:t xml:space="preserve">. Status and trend monitoring (aka surveillance) establishes trends by monitoring populations over long time spans. This can be done with multiple robust, costly population estimates repeated at intervals or, more conveniently, through an initial robust estimate followed by regular collection of simple indices to provide a quantification of positive or negative trends. The choice of sampling intensity is made according to the desired probability to detect change, or lack of change, over time on the appropriate spatial scale.</w:t>
      </w:r>
    </w:p>
    <w:p w:rsidR="00000000" w:rsidDel="00000000" w:rsidP="00000000" w:rsidRDefault="00000000" w:rsidRPr="00000000" w14:paraId="00000013">
      <w:pPr>
        <w:rPr/>
      </w:pPr>
      <w:r w:rsidDel="00000000" w:rsidR="00000000" w:rsidRPr="00000000">
        <w:rPr>
          <w:rtl w:val="0"/>
        </w:rPr>
        <w:t xml:space="preserve">Achieving the desired level of quality and reliability at large spatial scales is challenging and usually expensive. LIFE projects, although of limited duration, can help establish monitoring systems, partner networks and needed equipment</w:t>
      </w:r>
      <w:r w:rsidDel="00000000" w:rsidR="00000000" w:rsidRPr="00000000">
        <w:rPr>
          <w:vertAlign w:val="superscript"/>
        </w:rPr>
        <w:footnoteReference w:customMarkFollows="0" w:id="11"/>
      </w:r>
      <w:r w:rsidDel="00000000" w:rsidR="00000000" w:rsidRPr="00000000">
        <w:rPr>
          <w:rtl w:val="0"/>
        </w:rPr>
        <w:t xml:space="preserve">. Citizen science can substantially increase available human resources (Ražen et al. 2020). Nevertheless, monitoring of protected species including large carnivores is a legal obligation of EU Member States and should therefore be financed from State budgets.</w:t>
      </w:r>
    </w:p>
    <w:p w:rsidR="00000000" w:rsidDel="00000000" w:rsidP="00000000" w:rsidRDefault="00000000" w:rsidRPr="00000000" w14:paraId="00000014">
      <w:pPr>
        <w:pStyle w:val="Heading1"/>
        <w:rPr/>
      </w:pPr>
      <w:r w:rsidDel="00000000" w:rsidR="00000000" w:rsidRPr="00000000">
        <w:rPr>
          <w:rtl w:val="0"/>
        </w:rPr>
        <w:t xml:space="preserve">Methods and approaches</w:t>
      </w:r>
    </w:p>
    <w:p w:rsidR="00000000" w:rsidDel="00000000" w:rsidP="00000000" w:rsidRDefault="00000000" w:rsidRPr="00000000" w14:paraId="00000015">
      <w:pPr>
        <w:rPr/>
      </w:pPr>
      <w:r w:rsidDel="00000000" w:rsidR="00000000" w:rsidRPr="00000000">
        <w:rPr>
          <w:rtl w:val="0"/>
        </w:rPr>
        <w:t xml:space="preserve">Many field techniques have been developed to survey wildlife including large carnivores</w:t>
      </w:r>
      <w:r w:rsidDel="00000000" w:rsidR="00000000" w:rsidRPr="00000000">
        <w:rPr>
          <w:vertAlign w:val="superscript"/>
        </w:rPr>
        <w:footnoteReference w:customMarkFollows="0" w:id="12"/>
      </w:r>
      <w:r w:rsidDel="00000000" w:rsidR="00000000" w:rsidRPr="00000000">
        <w:rPr>
          <w:rtl w:val="0"/>
        </w:rPr>
        <w:t xml:space="preserve">. Recently, there has been an emphasis on non-invasive methods</w:t>
      </w:r>
      <w:r w:rsidDel="00000000" w:rsidR="00000000" w:rsidRPr="00000000">
        <w:rPr>
          <w:vertAlign w:val="superscript"/>
        </w:rPr>
        <w:footnoteReference w:customMarkFollows="0" w:id="13"/>
      </w:r>
      <w:r w:rsidDel="00000000" w:rsidR="00000000" w:rsidRPr="00000000">
        <w:rPr>
          <w:rtl w:val="0"/>
        </w:rPr>
        <w:t xml:space="preserve">, particularly appropriate for rare, elusive and protected species. Selection of which methods to use depends on the parameters to be measured, the level of precision required, the time period and geographic extent to be covered, the characteristics of the target area and species (Table 1) and the resources available. Methods should be standardised over the entire area of a population, which often requires coordination across international borders</w:t>
      </w:r>
      <w:r w:rsidDel="00000000" w:rsidR="00000000" w:rsidRPr="00000000">
        <w:rPr>
          <w:vertAlign w:val="superscript"/>
        </w:rPr>
        <w:footnoteReference w:customMarkFollows="0" w:id="14"/>
      </w:r>
      <w:r w:rsidDel="00000000" w:rsidR="00000000" w:rsidRPr="00000000">
        <w:rPr>
          <w:rtl w:val="0"/>
        </w:rPr>
        <w:t xml:space="preserve">.</w:t>
      </w:r>
    </w:p>
    <w:p w:rsidR="00000000" w:rsidDel="00000000" w:rsidP="00000000" w:rsidRDefault="00000000" w:rsidRPr="00000000" w14:paraId="00000016">
      <w:pPr>
        <w:spacing w:after="60" w:lineRule="auto"/>
        <w:rPr/>
      </w:pPr>
      <w:r w:rsidDel="00000000" w:rsidR="00000000" w:rsidRPr="00000000">
        <w:rPr>
          <w:rtl w:val="0"/>
        </w:rPr>
        <w:t xml:space="preserve">A basic, relatively imprecise form of monitoring can be conducted relatively cheaply and easily, at large spatial scales and over long periods of time, by systematically collating and analysing readily available data and samples. This includes collection of all dead animals (e.g. shot by hunters, poached, management removals, killed in vehicle collisions, natural mortality) for age determination, sexing, monitoring of reproductive and health status, genetic sampling, tissue storage etc. Records of damage and/or compensation claims can be used as an indicator of population trend and changes in distribution. Occasional observations (e.g. direct sightings, tracks, kills) made by citizen scientists and others can also be useful if compiled systematically, but it is important that they are properly documented and verifiable (e.g. with photographs). Criteria developed within the Status and Conservation of the Alpine Lynx Population (SCALP) project</w:t>
      </w:r>
      <w:r w:rsidDel="00000000" w:rsidR="00000000" w:rsidRPr="00000000">
        <w:rPr>
          <w:color w:val="000000"/>
          <w:vertAlign w:val="superscript"/>
        </w:rPr>
        <w:footnoteReference w:customMarkFollows="0" w:id="15"/>
      </w:r>
      <w:r w:rsidDel="00000000" w:rsidR="00000000" w:rsidRPr="00000000">
        <w:rPr>
          <w:rtl w:val="0"/>
        </w:rPr>
        <w:t xml:space="preserve"> serve to classify records by their verifiability and hence reliability:</w:t>
      </w:r>
    </w:p>
    <w:p w:rsidR="00000000" w:rsidDel="00000000" w:rsidP="00000000" w:rsidRDefault="00000000" w:rsidRPr="00000000" w14:paraId="00000017">
      <w:pPr>
        <w:spacing w:after="60" w:lineRule="auto"/>
        <w:rPr/>
      </w:pPr>
      <w:r w:rsidDel="00000000" w:rsidR="00000000" w:rsidRPr="00000000">
        <w:rPr>
          <w:u w:val="single"/>
          <w:rtl w:val="0"/>
        </w:rPr>
        <w:t xml:space="preserve">Category 1 (C1)</w:t>
      </w:r>
      <w:r w:rsidDel="00000000" w:rsidR="00000000" w:rsidRPr="00000000">
        <w:rPr>
          <w:rtl w:val="0"/>
        </w:rPr>
        <w:t xml:space="preserve">: "Hard facts" or clear evidence – verified and unchallenged observations that clearly demonstrate presence (live capture, dead animal, genetic sample, photograph);</w:t>
      </w:r>
    </w:p>
    <w:p w:rsidR="00000000" w:rsidDel="00000000" w:rsidP="00000000" w:rsidRDefault="00000000" w:rsidRPr="00000000" w14:paraId="00000018">
      <w:pPr>
        <w:spacing w:after="60" w:lineRule="auto"/>
        <w:rPr/>
      </w:pPr>
      <w:r w:rsidDel="00000000" w:rsidR="00000000" w:rsidRPr="00000000">
        <w:rPr>
          <w:u w:val="single"/>
          <w:rtl w:val="0"/>
        </w:rPr>
        <w:t xml:space="preserve">Category 2 (C2)</w:t>
      </w:r>
      <w:r w:rsidDel="00000000" w:rsidR="00000000" w:rsidRPr="00000000">
        <w:rPr>
          <w:rtl w:val="0"/>
        </w:rPr>
        <w:t xml:space="preserve">: Confirmed indications – observations (e.g. tracks, kill) checked and confirmed by an experienced person, either directly in the field or through photographs;</w:t>
      </w:r>
    </w:p>
    <w:p w:rsidR="00000000" w:rsidDel="00000000" w:rsidP="00000000" w:rsidRDefault="00000000" w:rsidRPr="00000000" w14:paraId="00000019">
      <w:pPr>
        <w:rPr/>
      </w:pPr>
      <w:r w:rsidDel="00000000" w:rsidR="00000000" w:rsidRPr="00000000">
        <w:rPr>
          <w:u w:val="single"/>
          <w:rtl w:val="0"/>
        </w:rPr>
        <w:t xml:space="preserve">Category 3 (C3)</w:t>
      </w:r>
      <w:r w:rsidDel="00000000" w:rsidR="00000000" w:rsidRPr="00000000">
        <w:rPr>
          <w:rtl w:val="0"/>
        </w:rPr>
        <w:t xml:space="preserve">: Unconfirmed indications – all indications that were neither confirmed nor ruled out by an experienced person due to insufficient information (e.g. sightings without photographic evidence, old indications, indications lacking documentation).</w:t>
      </w:r>
    </w:p>
    <w:p w:rsidR="00000000" w:rsidDel="00000000" w:rsidP="00000000" w:rsidRDefault="00000000" w:rsidRPr="00000000" w14:paraId="0000001A">
      <w:pPr>
        <w:rPr/>
      </w:pPr>
      <w:r w:rsidDel="00000000" w:rsidR="00000000" w:rsidRPr="00000000">
        <w:rPr>
          <w:rtl w:val="0"/>
        </w:rPr>
        <w:t xml:space="preserve">More rigorous, resource-demanding approaches are required to answer some questions reliably, such as estimating population size and density. Scientifically robust methods provide the highest level of accuracy with a statistical measure of uncertainty (e.g. López-Bao et al. 2018). In recent decades there have been considerable advances in techniques and technology for data collection and analysis. Mark-recapture techniques using data from noninvasive genetic sampling</w:t>
      </w:r>
      <w:r w:rsidDel="00000000" w:rsidR="00000000" w:rsidRPr="00000000">
        <w:rPr>
          <w:vertAlign w:val="superscript"/>
        </w:rPr>
        <w:footnoteReference w:customMarkFollows="0" w:id="16"/>
      </w:r>
      <w:r w:rsidDel="00000000" w:rsidR="00000000" w:rsidRPr="00000000">
        <w:rPr>
          <w:rtl w:val="0"/>
        </w:rPr>
        <w:t xml:space="preserve"> or camera trapping</w:t>
      </w:r>
      <w:r w:rsidDel="00000000" w:rsidR="00000000" w:rsidRPr="00000000">
        <w:rPr>
          <w:vertAlign w:val="superscript"/>
        </w:rPr>
        <w:footnoteReference w:customMarkFollows="0" w:id="17"/>
      </w:r>
      <w:r w:rsidDel="00000000" w:rsidR="00000000" w:rsidRPr="00000000">
        <w:rPr>
          <w:rtl w:val="0"/>
        </w:rPr>
        <w:t xml:space="preserve"> are amongst the most widely used and highly regarded. If resources are limited, stratification of effort is an efficient solution, combining robust but expensive approaches in model areas with opportunistic, cheaper approaches at larger scales, ideally the population level (Breitenmoser et al. 2015, Molinari</w:t>
      </w:r>
      <w:r w:rsidDel="00000000" w:rsidR="00000000" w:rsidRPr="00000000">
        <w:rPr>
          <w:rtl w:val="0"/>
        </w:rPr>
        <w:t xml:space="preserve">‐Jobin et al. 2018).</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smallCaps w:val="0"/>
          <w:strike w:val="0"/>
          <w:color w:val="44546a"/>
          <w:sz w:val="20"/>
          <w:szCs w:val="20"/>
          <w:u w:val="none"/>
          <w:shd w:fill="auto" w:val="clear"/>
          <w:vertAlign w:val="baseline"/>
        </w:rPr>
      </w:pPr>
      <w:r w:rsidDel="00000000" w:rsidR="00000000" w:rsidRPr="00000000">
        <w:rPr>
          <w:i w:val="1"/>
          <w:smallCaps w:val="0"/>
          <w:strike w:val="0"/>
          <w:color w:val="44546a"/>
          <w:sz w:val="20"/>
          <w:szCs w:val="20"/>
          <w:u w:val="none"/>
          <w:shd w:fill="auto" w:val="clear"/>
          <w:vertAlign w:val="baseline"/>
          <w:rtl w:val="0"/>
        </w:rPr>
        <w:t xml:space="preserve">Table 1 Summary of field methods and their applicability by species to estimate population size and monitor changes over time.</w:t>
      </w:r>
    </w:p>
    <w:tbl>
      <w:tblPr>
        <w:tblStyle w:val="Table1"/>
        <w:tblW w:w="901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1274"/>
        <w:gridCol w:w="1274"/>
        <w:gridCol w:w="1275"/>
        <w:gridCol w:w="1370"/>
        <w:tblGridChange w:id="0">
          <w:tblGrid>
            <w:gridCol w:w="3823"/>
            <w:gridCol w:w="1274"/>
            <w:gridCol w:w="1274"/>
            <w:gridCol w:w="1275"/>
            <w:gridCol w:w="1370"/>
          </w:tblGrid>
        </w:tblGridChange>
      </w:tblGrid>
      <w:tr>
        <w:trPr>
          <w:cantSplit w:val="0"/>
          <w:tblHeader w:val="0"/>
        </w:trPr>
        <w:tc>
          <w:tcPr/>
          <w:p w:rsidR="00000000" w:rsidDel="00000000" w:rsidP="00000000" w:rsidRDefault="00000000" w:rsidRPr="00000000" w14:paraId="0000001C">
            <w:pPr>
              <w:spacing w:after="40" w:before="40" w:lineRule="auto"/>
              <w:ind w:left="108" w:firstLine="0"/>
              <w:rPr>
                <w:b w:val="1"/>
                <w:sz w:val="20"/>
                <w:szCs w:val="20"/>
              </w:rPr>
            </w:pPr>
            <w:r w:rsidDel="00000000" w:rsidR="00000000" w:rsidRPr="00000000">
              <w:rPr>
                <w:b w:val="1"/>
                <w:sz w:val="20"/>
                <w:szCs w:val="20"/>
                <w:rtl w:val="0"/>
              </w:rPr>
              <w:t xml:space="preserve">Method*</w:t>
            </w:r>
          </w:p>
        </w:tc>
        <w:tc>
          <w:tcPr/>
          <w:p w:rsidR="00000000" w:rsidDel="00000000" w:rsidP="00000000" w:rsidRDefault="00000000" w:rsidRPr="00000000" w14:paraId="0000001D">
            <w:pPr>
              <w:spacing w:after="40" w:before="40" w:lineRule="auto"/>
              <w:jc w:val="center"/>
              <w:rPr>
                <w:b w:val="1"/>
                <w:sz w:val="20"/>
                <w:szCs w:val="20"/>
              </w:rPr>
            </w:pPr>
            <w:r w:rsidDel="00000000" w:rsidR="00000000" w:rsidRPr="00000000">
              <w:rPr>
                <w:b w:val="1"/>
                <w:sz w:val="20"/>
                <w:szCs w:val="20"/>
                <w:rtl w:val="0"/>
              </w:rPr>
              <w:t xml:space="preserve">Bear</w:t>
            </w:r>
          </w:p>
        </w:tc>
        <w:tc>
          <w:tcPr/>
          <w:p w:rsidR="00000000" w:rsidDel="00000000" w:rsidP="00000000" w:rsidRDefault="00000000" w:rsidRPr="00000000" w14:paraId="0000001E">
            <w:pPr>
              <w:spacing w:after="40" w:before="40" w:lineRule="auto"/>
              <w:jc w:val="center"/>
              <w:rPr>
                <w:b w:val="1"/>
                <w:sz w:val="20"/>
                <w:szCs w:val="20"/>
              </w:rPr>
            </w:pPr>
            <w:r w:rsidDel="00000000" w:rsidR="00000000" w:rsidRPr="00000000">
              <w:rPr>
                <w:b w:val="1"/>
                <w:sz w:val="20"/>
                <w:szCs w:val="20"/>
                <w:rtl w:val="0"/>
              </w:rPr>
              <w:t xml:space="preserve">Lynx</w:t>
            </w:r>
          </w:p>
        </w:tc>
        <w:tc>
          <w:tcPr/>
          <w:p w:rsidR="00000000" w:rsidDel="00000000" w:rsidP="00000000" w:rsidRDefault="00000000" w:rsidRPr="00000000" w14:paraId="0000001F">
            <w:pPr>
              <w:spacing w:after="40" w:before="40" w:lineRule="auto"/>
              <w:jc w:val="center"/>
              <w:rPr>
                <w:b w:val="1"/>
                <w:sz w:val="20"/>
                <w:szCs w:val="20"/>
              </w:rPr>
            </w:pPr>
            <w:r w:rsidDel="00000000" w:rsidR="00000000" w:rsidRPr="00000000">
              <w:rPr>
                <w:b w:val="1"/>
                <w:sz w:val="20"/>
                <w:szCs w:val="20"/>
                <w:rtl w:val="0"/>
              </w:rPr>
              <w:t xml:space="preserve">Wolf</w:t>
            </w:r>
          </w:p>
        </w:tc>
        <w:tc>
          <w:tcPr/>
          <w:p w:rsidR="00000000" w:rsidDel="00000000" w:rsidP="00000000" w:rsidRDefault="00000000" w:rsidRPr="00000000" w14:paraId="00000020">
            <w:pPr>
              <w:spacing w:after="40" w:before="40" w:lineRule="auto"/>
              <w:jc w:val="center"/>
              <w:rPr>
                <w:b w:val="1"/>
                <w:sz w:val="20"/>
                <w:szCs w:val="20"/>
              </w:rPr>
            </w:pPr>
            <w:r w:rsidDel="00000000" w:rsidR="00000000" w:rsidRPr="00000000">
              <w:rPr>
                <w:b w:val="1"/>
                <w:sz w:val="20"/>
                <w:szCs w:val="20"/>
                <w:rtl w:val="0"/>
              </w:rPr>
              <w:t xml:space="preserve">Wolverine</w:t>
            </w:r>
          </w:p>
        </w:tc>
      </w:tr>
      <w:tr>
        <w:trPr>
          <w:cantSplit w:val="0"/>
          <w:tblHeader w:val="0"/>
        </w:trPr>
        <w:tc>
          <w:tcPr/>
          <w:p w:rsidR="00000000" w:rsidDel="00000000" w:rsidP="00000000" w:rsidRDefault="00000000" w:rsidRPr="00000000" w14:paraId="00000021">
            <w:pPr>
              <w:spacing w:after="40" w:before="40" w:lineRule="auto"/>
              <w:ind w:left="108" w:firstLine="0"/>
              <w:rPr>
                <w:sz w:val="20"/>
                <w:szCs w:val="20"/>
              </w:rPr>
            </w:pPr>
            <w:r w:rsidDel="00000000" w:rsidR="00000000" w:rsidRPr="00000000">
              <w:rPr>
                <w:sz w:val="20"/>
                <w:szCs w:val="20"/>
                <w:rtl w:val="0"/>
              </w:rPr>
              <w:t xml:space="preserve">Mark-recapture with genetic data</w:t>
            </w:r>
          </w:p>
        </w:tc>
        <w:tc>
          <w:tcPr/>
          <w:p w:rsidR="00000000" w:rsidDel="00000000" w:rsidP="00000000" w:rsidRDefault="00000000" w:rsidRPr="00000000" w14:paraId="00000022">
            <w:pPr>
              <w:spacing w:after="40" w:before="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23">
            <w:pPr>
              <w:spacing w:after="40" w:before="40" w:lineRule="auto"/>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24">
            <w:pPr>
              <w:spacing w:after="40" w:before="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25">
            <w:pPr>
              <w:spacing w:after="40" w:before="40" w:lineRule="auto"/>
              <w:jc w:val="center"/>
              <w:rPr>
                <w:sz w:val="20"/>
                <w:szCs w:val="20"/>
              </w:rPr>
            </w:pPr>
            <w:r w:rsidDel="00000000" w:rsidR="00000000" w:rsidRPr="00000000">
              <w:rPr>
                <w:sz w:val="20"/>
                <w:szCs w:val="20"/>
                <w:rtl w:val="0"/>
              </w:rPr>
              <w:t xml:space="preserve">Yes</w:t>
            </w:r>
          </w:p>
        </w:tc>
      </w:tr>
      <w:tr>
        <w:trPr>
          <w:cantSplit w:val="0"/>
          <w:tblHeader w:val="0"/>
        </w:trPr>
        <w:tc>
          <w:tcPr/>
          <w:p w:rsidR="00000000" w:rsidDel="00000000" w:rsidP="00000000" w:rsidRDefault="00000000" w:rsidRPr="00000000" w14:paraId="00000026">
            <w:pPr>
              <w:spacing w:after="40" w:before="40" w:lineRule="auto"/>
              <w:ind w:left="108" w:firstLine="0"/>
              <w:rPr>
                <w:sz w:val="20"/>
                <w:szCs w:val="20"/>
              </w:rPr>
            </w:pPr>
            <w:r w:rsidDel="00000000" w:rsidR="00000000" w:rsidRPr="00000000">
              <w:rPr>
                <w:sz w:val="20"/>
                <w:szCs w:val="20"/>
                <w:rtl w:val="0"/>
              </w:rPr>
              <w:t xml:space="preserve">Mark-recapture with camera trap data</w:t>
            </w:r>
          </w:p>
        </w:tc>
        <w:tc>
          <w:tcPr/>
          <w:p w:rsidR="00000000" w:rsidDel="00000000" w:rsidP="00000000" w:rsidRDefault="00000000" w:rsidRPr="00000000" w14:paraId="00000027">
            <w:pPr>
              <w:spacing w:after="40" w:before="40" w:lineRule="auto"/>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28">
            <w:pPr>
              <w:spacing w:after="40" w:before="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29">
            <w:pPr>
              <w:spacing w:after="40" w:before="40" w:lineRule="auto"/>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2A">
            <w:pPr>
              <w:spacing w:after="40" w:before="40" w:lineRule="auto"/>
              <w:jc w:val="cente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2B">
            <w:pPr>
              <w:spacing w:after="40" w:before="40" w:lineRule="auto"/>
              <w:ind w:left="108" w:firstLine="0"/>
              <w:rPr>
                <w:sz w:val="20"/>
                <w:szCs w:val="20"/>
              </w:rPr>
            </w:pPr>
            <w:r w:rsidDel="00000000" w:rsidR="00000000" w:rsidRPr="00000000">
              <w:rPr>
                <w:sz w:val="20"/>
                <w:szCs w:val="20"/>
                <w:rtl w:val="0"/>
              </w:rPr>
              <w:t xml:space="preserve">Intensive snow-tracking</w:t>
            </w:r>
          </w:p>
        </w:tc>
        <w:tc>
          <w:tcPr/>
          <w:p w:rsidR="00000000" w:rsidDel="00000000" w:rsidP="00000000" w:rsidRDefault="00000000" w:rsidRPr="00000000" w14:paraId="0000002C">
            <w:pPr>
              <w:spacing w:after="40" w:before="40" w:lineRule="auto"/>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02D">
            <w:pPr>
              <w:spacing w:after="40" w:before="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2E">
            <w:pPr>
              <w:spacing w:after="40" w:before="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2F">
            <w:pPr>
              <w:spacing w:after="40" w:before="40" w:lineRule="auto"/>
              <w:jc w:val="center"/>
              <w:rPr>
                <w:sz w:val="20"/>
                <w:szCs w:val="20"/>
              </w:rPr>
            </w:pPr>
            <w:r w:rsidDel="00000000" w:rsidR="00000000" w:rsidRPr="00000000">
              <w:rPr>
                <w:sz w:val="20"/>
                <w:szCs w:val="20"/>
                <w:rtl w:val="0"/>
              </w:rPr>
              <w:t xml:space="preserve">Yes</w:t>
            </w:r>
          </w:p>
        </w:tc>
      </w:tr>
      <w:tr>
        <w:trPr>
          <w:cantSplit w:val="0"/>
          <w:tblHeader w:val="0"/>
        </w:trPr>
        <w:tc>
          <w:tcPr/>
          <w:p w:rsidR="00000000" w:rsidDel="00000000" w:rsidP="00000000" w:rsidRDefault="00000000" w:rsidRPr="00000000" w14:paraId="00000030">
            <w:pPr>
              <w:spacing w:after="40" w:before="40" w:lineRule="auto"/>
              <w:ind w:left="108" w:firstLine="0"/>
              <w:rPr>
                <w:sz w:val="20"/>
                <w:szCs w:val="20"/>
              </w:rPr>
            </w:pPr>
            <w:r w:rsidDel="00000000" w:rsidR="00000000" w:rsidRPr="00000000">
              <w:rPr>
                <w:sz w:val="20"/>
                <w:szCs w:val="20"/>
                <w:rtl w:val="0"/>
              </w:rPr>
              <w:t xml:space="preserve">Observation of family groups</w:t>
            </w:r>
          </w:p>
        </w:tc>
        <w:tc>
          <w:tcPr/>
          <w:p w:rsidR="00000000" w:rsidDel="00000000" w:rsidP="00000000" w:rsidRDefault="00000000" w:rsidRPr="00000000" w14:paraId="00000031">
            <w:pPr>
              <w:spacing w:after="40" w:before="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32">
            <w:pPr>
              <w:spacing w:after="40" w:before="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33">
            <w:pPr>
              <w:spacing w:after="40" w:before="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34">
            <w:pPr>
              <w:spacing w:after="40" w:before="40" w:lineRule="auto"/>
              <w:jc w:val="center"/>
              <w:rPr>
                <w:sz w:val="20"/>
                <w:szCs w:val="20"/>
              </w:rPr>
            </w:pP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035">
            <w:pPr>
              <w:spacing w:after="40" w:before="40" w:lineRule="auto"/>
              <w:ind w:left="108" w:firstLine="0"/>
              <w:rPr>
                <w:sz w:val="20"/>
                <w:szCs w:val="20"/>
              </w:rPr>
            </w:pPr>
            <w:r w:rsidDel="00000000" w:rsidR="00000000" w:rsidRPr="00000000">
              <w:rPr>
                <w:sz w:val="20"/>
                <w:szCs w:val="20"/>
                <w:rtl w:val="0"/>
              </w:rPr>
              <w:t xml:space="preserve">Natal den site survey</w:t>
            </w:r>
          </w:p>
        </w:tc>
        <w:tc>
          <w:tcPr/>
          <w:p w:rsidR="00000000" w:rsidDel="00000000" w:rsidP="00000000" w:rsidRDefault="00000000" w:rsidRPr="00000000" w14:paraId="00000036">
            <w:pPr>
              <w:spacing w:after="40" w:before="40" w:lineRule="auto"/>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037">
            <w:pPr>
              <w:spacing w:after="40" w:before="40" w:lineRule="auto"/>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038">
            <w:pPr>
              <w:spacing w:after="40" w:before="40" w:lineRule="auto"/>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039">
            <w:pPr>
              <w:spacing w:after="40" w:before="40" w:lineRule="auto"/>
              <w:jc w:val="center"/>
              <w:rPr>
                <w:sz w:val="20"/>
                <w:szCs w:val="20"/>
              </w:rPr>
            </w:pPr>
            <w:r w:rsidDel="00000000" w:rsidR="00000000" w:rsidRPr="00000000">
              <w:rPr>
                <w:sz w:val="20"/>
                <w:szCs w:val="20"/>
                <w:rtl w:val="0"/>
              </w:rPr>
              <w:t xml:space="preserve">Yes</w:t>
            </w:r>
          </w:p>
        </w:tc>
      </w:tr>
      <w:tr>
        <w:trPr>
          <w:cantSplit w:val="0"/>
          <w:tblHeader w:val="0"/>
        </w:trPr>
        <w:tc>
          <w:tcPr/>
          <w:p w:rsidR="00000000" w:rsidDel="00000000" w:rsidP="00000000" w:rsidRDefault="00000000" w:rsidRPr="00000000" w14:paraId="0000003A">
            <w:pPr>
              <w:spacing w:after="40" w:before="40" w:lineRule="auto"/>
              <w:ind w:left="108" w:firstLine="0"/>
              <w:rPr>
                <w:sz w:val="20"/>
                <w:szCs w:val="20"/>
              </w:rPr>
            </w:pPr>
            <w:r w:rsidDel="00000000" w:rsidR="00000000" w:rsidRPr="00000000">
              <w:rPr>
                <w:sz w:val="20"/>
                <w:szCs w:val="20"/>
                <w:rtl w:val="0"/>
              </w:rPr>
              <w:t xml:space="preserve">Howling survey</w:t>
            </w:r>
          </w:p>
        </w:tc>
        <w:tc>
          <w:tcPr/>
          <w:p w:rsidR="00000000" w:rsidDel="00000000" w:rsidP="00000000" w:rsidRDefault="00000000" w:rsidRPr="00000000" w14:paraId="0000003B">
            <w:pPr>
              <w:spacing w:after="40" w:before="40" w:lineRule="auto"/>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03C">
            <w:pPr>
              <w:spacing w:after="40" w:before="40" w:lineRule="auto"/>
              <w:jc w:val="center"/>
              <w:rPr>
                <w:sz w:val="20"/>
                <w:szCs w:val="20"/>
              </w:rPr>
            </w:pPr>
            <w:r w:rsidDel="00000000" w:rsidR="00000000" w:rsidRPr="00000000">
              <w:rPr>
                <w:sz w:val="20"/>
                <w:szCs w:val="20"/>
                <w:rtl w:val="0"/>
              </w:rPr>
              <w:t xml:space="preserve">No</w:t>
            </w:r>
          </w:p>
        </w:tc>
        <w:tc>
          <w:tcPr/>
          <w:p w:rsidR="00000000" w:rsidDel="00000000" w:rsidP="00000000" w:rsidRDefault="00000000" w:rsidRPr="00000000" w14:paraId="0000003D">
            <w:pPr>
              <w:spacing w:after="40" w:before="40" w:lineRule="auto"/>
              <w:jc w:val="center"/>
              <w:rPr>
                <w:sz w:val="20"/>
                <w:szCs w:val="20"/>
              </w:rPr>
            </w:pPr>
            <w:r w:rsidDel="00000000" w:rsidR="00000000" w:rsidRPr="00000000">
              <w:rPr>
                <w:sz w:val="20"/>
                <w:szCs w:val="20"/>
                <w:rtl w:val="0"/>
              </w:rPr>
              <w:t xml:space="preserve">Yes</w:t>
            </w:r>
          </w:p>
        </w:tc>
        <w:tc>
          <w:tcPr/>
          <w:p w:rsidR="00000000" w:rsidDel="00000000" w:rsidP="00000000" w:rsidRDefault="00000000" w:rsidRPr="00000000" w14:paraId="0000003E">
            <w:pPr>
              <w:spacing w:after="40" w:before="40" w:lineRule="auto"/>
              <w:jc w:val="center"/>
              <w:rPr>
                <w:sz w:val="20"/>
                <w:szCs w:val="20"/>
              </w:rPr>
            </w:pPr>
            <w:r w:rsidDel="00000000" w:rsidR="00000000" w:rsidRPr="00000000">
              <w:rPr>
                <w:sz w:val="20"/>
                <w:szCs w:val="20"/>
                <w:rtl w:val="0"/>
              </w:rPr>
              <w:t xml:space="preserve">No</w:t>
            </w:r>
          </w:p>
        </w:tc>
      </w:tr>
      <w:tr>
        <w:trPr>
          <w:cantSplit w:val="0"/>
          <w:tblHeader w:val="0"/>
        </w:trPr>
        <w:tc>
          <w:tcPr>
            <w:tcBorders>
              <w:bottom w:color="000000" w:space="0" w:sz="4" w:val="single"/>
            </w:tcBorders>
          </w:tcPr>
          <w:p w:rsidR="00000000" w:rsidDel="00000000" w:rsidP="00000000" w:rsidRDefault="00000000" w:rsidRPr="00000000" w14:paraId="0000003F">
            <w:pPr>
              <w:spacing w:after="40" w:before="40" w:lineRule="auto"/>
              <w:ind w:left="108" w:firstLine="0"/>
              <w:rPr>
                <w:sz w:val="20"/>
                <w:szCs w:val="20"/>
              </w:rPr>
            </w:pPr>
            <w:r w:rsidDel="00000000" w:rsidR="00000000" w:rsidRPr="00000000">
              <w:rPr>
                <w:sz w:val="20"/>
                <w:szCs w:val="20"/>
                <w:rtl w:val="0"/>
              </w:rPr>
              <w:t xml:space="preserve">Passive monitoring</w:t>
            </w:r>
          </w:p>
        </w:tc>
        <w:tc>
          <w:tcPr>
            <w:tcBorders>
              <w:bottom w:color="000000" w:space="0" w:sz="4" w:val="single"/>
            </w:tcBorders>
          </w:tcPr>
          <w:p w:rsidR="00000000" w:rsidDel="00000000" w:rsidP="00000000" w:rsidRDefault="00000000" w:rsidRPr="00000000" w14:paraId="00000040">
            <w:pPr>
              <w:spacing w:after="40" w:before="40" w:lineRule="auto"/>
              <w:jc w:val="center"/>
              <w:rPr>
                <w:sz w:val="20"/>
                <w:szCs w:val="20"/>
              </w:rPr>
            </w:pPr>
            <w:r w:rsidDel="00000000" w:rsidR="00000000" w:rsidRPr="00000000">
              <w:rPr>
                <w:sz w:val="20"/>
                <w:szCs w:val="20"/>
                <w:rtl w:val="0"/>
              </w:rPr>
              <w:t xml:space="preserve">Yes</w:t>
            </w:r>
          </w:p>
        </w:tc>
        <w:tc>
          <w:tcPr>
            <w:tcBorders>
              <w:bottom w:color="000000" w:space="0" w:sz="4" w:val="single"/>
            </w:tcBorders>
          </w:tcPr>
          <w:p w:rsidR="00000000" w:rsidDel="00000000" w:rsidP="00000000" w:rsidRDefault="00000000" w:rsidRPr="00000000" w14:paraId="00000041">
            <w:pPr>
              <w:spacing w:after="40" w:before="40" w:lineRule="auto"/>
              <w:jc w:val="center"/>
              <w:rPr>
                <w:sz w:val="20"/>
                <w:szCs w:val="20"/>
              </w:rPr>
            </w:pPr>
            <w:r w:rsidDel="00000000" w:rsidR="00000000" w:rsidRPr="00000000">
              <w:rPr>
                <w:sz w:val="20"/>
                <w:szCs w:val="20"/>
                <w:rtl w:val="0"/>
              </w:rPr>
              <w:t xml:space="preserve">Yes</w:t>
            </w:r>
          </w:p>
        </w:tc>
        <w:tc>
          <w:tcPr>
            <w:tcBorders>
              <w:bottom w:color="000000" w:space="0" w:sz="4" w:val="single"/>
            </w:tcBorders>
          </w:tcPr>
          <w:p w:rsidR="00000000" w:rsidDel="00000000" w:rsidP="00000000" w:rsidRDefault="00000000" w:rsidRPr="00000000" w14:paraId="00000042">
            <w:pPr>
              <w:spacing w:after="40" w:before="40" w:lineRule="auto"/>
              <w:jc w:val="center"/>
              <w:rPr>
                <w:sz w:val="20"/>
                <w:szCs w:val="20"/>
              </w:rPr>
            </w:pPr>
            <w:r w:rsidDel="00000000" w:rsidR="00000000" w:rsidRPr="00000000">
              <w:rPr>
                <w:sz w:val="20"/>
                <w:szCs w:val="20"/>
                <w:rtl w:val="0"/>
              </w:rPr>
              <w:t xml:space="preserve">Yes</w:t>
            </w:r>
          </w:p>
        </w:tc>
        <w:tc>
          <w:tcPr>
            <w:tcBorders>
              <w:bottom w:color="000000" w:space="0" w:sz="4" w:val="single"/>
            </w:tcBorders>
          </w:tcPr>
          <w:p w:rsidR="00000000" w:rsidDel="00000000" w:rsidP="00000000" w:rsidRDefault="00000000" w:rsidRPr="00000000" w14:paraId="00000043">
            <w:pPr>
              <w:spacing w:after="40" w:before="40" w:lineRule="auto"/>
              <w:jc w:val="center"/>
              <w:rPr>
                <w:sz w:val="20"/>
                <w:szCs w:val="20"/>
              </w:rPr>
            </w:pPr>
            <w:r w:rsidDel="00000000" w:rsidR="00000000" w:rsidRPr="00000000">
              <w:rPr>
                <w:sz w:val="20"/>
                <w:szCs w:val="20"/>
                <w:rtl w:val="0"/>
              </w:rPr>
              <w:t xml:space="preserve">Yes</w:t>
            </w:r>
          </w:p>
        </w:tc>
      </w:tr>
      <w:tr>
        <w:trPr>
          <w:cantSplit w:val="0"/>
          <w:tblHeader w:val="0"/>
        </w:trPr>
        <w:tc>
          <w:tcPr>
            <w:gridSpan w:val="5"/>
            <w:tcBorders>
              <w:left w:color="000000" w:space="0" w:sz="0" w:val="nil"/>
              <w:bottom w:color="000000" w:space="0" w:sz="0" w:val="nil"/>
              <w:right w:color="000000" w:space="0" w:sz="0" w:val="nil"/>
            </w:tcBorders>
          </w:tcPr>
          <w:p w:rsidR="00000000" w:rsidDel="00000000" w:rsidP="00000000" w:rsidRDefault="00000000" w:rsidRPr="00000000" w14:paraId="00000044">
            <w:pPr>
              <w:spacing w:after="40" w:before="40" w:lineRule="auto"/>
              <w:rPr>
                <w:sz w:val="20"/>
                <w:szCs w:val="20"/>
              </w:rPr>
            </w:pPr>
            <w:r w:rsidDel="00000000" w:rsidR="00000000" w:rsidRPr="00000000">
              <w:rPr>
                <w:sz w:val="20"/>
                <w:szCs w:val="20"/>
                <w:rtl w:val="0"/>
              </w:rPr>
              <w:t xml:space="preserve">(* Telemetry by GPS-satellite or radio-tracking, whilst not usually regarded as a monitoring method, can be useful for calibration as well as research.)</w:t>
            </w:r>
          </w:p>
        </w:tc>
      </w:tr>
    </w:tbl>
    <w:p w:rsidR="00000000" w:rsidDel="00000000" w:rsidP="00000000" w:rsidRDefault="00000000" w:rsidRPr="00000000" w14:paraId="00000049">
      <w:pPr>
        <w:pStyle w:val="Heading1"/>
        <w:rPr/>
      </w:pPr>
      <w:r w:rsidDel="00000000" w:rsidR="00000000" w:rsidRPr="00000000">
        <w:rPr>
          <w:rtl w:val="0"/>
        </w:rPr>
        <w:t xml:space="preserve">Steps to implementing an effective monitoring programme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Specify the species and attributes to be monitored.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Design a monitoring plan with explicit objectives, definition of the desired statistical power of detecting changes (e.g. 10% probability to detect a 20% change), field methods, a rigorous sampling scheme, spatial scale, resolution and time intervals of data collection, analytical steps, etc.</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Identify and secure the financial, technological and human resources required.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Establish a coordination system, partner network, communication channels, standards of monitoring and data/sample storage facilities.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Engage and recruit field workers, stakeholders, citizen scientists and other potential observers and train them in the field methods to be used.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Gather data across the area of interest.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Validate observations as appropriate.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Analyse the data and interpret results using standardised, robust methodologies.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Report the findings as transparently as possible.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i w:val="0"/>
          <w:smallCaps w:val="0"/>
          <w:strike w:val="0"/>
          <w:color w:val="000000"/>
          <w:sz w:val="22"/>
          <w:szCs w:val="22"/>
          <w:u w:val="none"/>
          <w:shd w:fill="auto" w:val="clear"/>
          <w:vertAlign w:val="baseline"/>
          <w:rtl w:val="0"/>
        </w:rPr>
        <w:t xml:space="preserve">Evaluate the monitoring programme and adapt as needed.</w:t>
      </w:r>
    </w:p>
    <w:p w:rsidR="00000000" w:rsidDel="00000000" w:rsidP="00000000" w:rsidRDefault="00000000" w:rsidRPr="00000000" w14:paraId="00000054">
      <w:pPr>
        <w:pStyle w:val="Heading1"/>
        <w:rPr/>
      </w:pPr>
      <w:r w:rsidDel="00000000" w:rsidR="00000000" w:rsidRPr="00000000">
        <w:rPr>
          <w:rtl w:val="0"/>
        </w:rPr>
        <w:t xml:space="preserve">Case study: large carnivore monitoring in Slovenia and Croatia</w:t>
      </w:r>
    </w:p>
    <w:p w:rsidR="00000000" w:rsidDel="00000000" w:rsidP="00000000" w:rsidRDefault="00000000" w:rsidRPr="00000000" w14:paraId="00000055">
      <w:pPr>
        <w:rPr/>
      </w:pPr>
      <w:r w:rsidDel="00000000" w:rsidR="00000000" w:rsidRPr="00000000">
        <w:rPr>
          <w:rtl w:val="0"/>
        </w:rPr>
        <w:t xml:space="preserve">The system of large carnivore surveillance and monitoring in Slovenia and Croatia has been identified as exemplary by the LIFE EuroLargeCarnivores project. It is presented here as a model which is recommended to be taken up and adapted to respective framework conditions and different socio-economic contexts in other countries. Implementation of similar programmes in other countries and regions probably requires financial, regulatory and professional support (see </w:t>
      </w:r>
      <w:r w:rsidDel="00000000" w:rsidR="00000000" w:rsidRPr="00000000">
        <w:rPr>
          <w:highlight w:val="yellow"/>
          <w:rtl w:val="0"/>
        </w:rPr>
        <w:t xml:space="preserve">Examples for the use of EU support for damage prevention</w:t>
      </w:r>
      <w:r w:rsidDel="00000000" w:rsidR="00000000" w:rsidRPr="00000000">
        <w:rPr>
          <w:rtl w:val="0"/>
        </w:rPr>
        <w:t xml:space="preserve">).</w:t>
      </w:r>
    </w:p>
    <w:p w:rsidR="00000000" w:rsidDel="00000000" w:rsidP="00000000" w:rsidRDefault="00000000" w:rsidRPr="00000000" w14:paraId="00000056">
      <w:pPr>
        <w:rPr/>
      </w:pPr>
      <w:bookmarkStart w:colFirst="0" w:colLast="0" w:name="_gjdgxs" w:id="1"/>
      <w:bookmarkEnd w:id="1"/>
      <w:r w:rsidDel="00000000" w:rsidR="00000000" w:rsidRPr="00000000">
        <w:rPr>
          <w:rtl w:val="0"/>
        </w:rPr>
        <w:t xml:space="preserve">The Ministry of Environment and Spatial Planning of the Republic of Slovenia supports annual monitoring efforts of all three species while a lot of additional work is done through projects. Telemetry and genetic analyses were conducted within the LIFE SloWolf project and later continued through the LIFE WolfAlps project. Elicited howling, winter tracking and monitoring of damages and mortality are  performed regularly. A genetic survey of bears was conducted within the LIFE DinAlp Bear project. Lynx monitoring has been conducted through the 3lynx Interreg project and LIFE Lynx project. </w:t>
      </w:r>
    </w:p>
    <w:p w:rsidR="00000000" w:rsidDel="00000000" w:rsidP="00000000" w:rsidRDefault="00000000" w:rsidRPr="00000000" w14:paraId="00000057">
      <w:pPr>
        <w:rPr/>
      </w:pPr>
      <w:r w:rsidDel="00000000" w:rsidR="00000000" w:rsidRPr="00000000">
        <w:rPr>
          <w:rtl w:val="0"/>
        </w:rPr>
        <w:t xml:space="preserve">In Croatia, regular bear monitoring is done in cooperation with hunting rights holders, since it is a game species. A genetic survey was conducted within the LIFE DinAlp Bear project. Most lynx monitoring is done on a voluntary basis by the Faculty of Veterinary Medicine in Zagreb (monitoring of mortality, signs of presence) with additional efforts undertaken within the LIFE Lynx project. Cooperation on wolf monitoring was recently re-established with the hunting community resulting in the first estimate of wolf numbers since 2016 using the SCALP methodology. Data were collected by hunters, rangers and other interested parties and combined with previous research on the distribution of wolf packs, damages and mortality.</w:t>
      </w:r>
    </w:p>
    <w:p w:rsidR="00000000" w:rsidDel="00000000" w:rsidP="00000000" w:rsidRDefault="00000000" w:rsidRPr="00000000" w14:paraId="00000058">
      <w:pPr>
        <w:spacing w:after="120" w:lineRule="auto"/>
        <w:rPr/>
      </w:pPr>
      <w:r w:rsidDel="00000000" w:rsidR="00000000" w:rsidRPr="00000000">
        <w:rPr>
          <w:b w:val="1"/>
          <w:rtl w:val="0"/>
        </w:rPr>
        <w:t xml:space="preserve">Contact: </w:t>
      </w:r>
      <w:r w:rsidDel="00000000" w:rsidR="00000000" w:rsidRPr="00000000">
        <w:rPr>
          <w:rtl w:val="0"/>
        </w:rPr>
        <w:t xml:space="preserve">Tomaž Skrbinšek (Biology Department, Biotechnical Faculty, University of Ljubljana, Slovenia) - </w:t>
      </w:r>
      <w:hyperlink r:id="rId7">
        <w:r w:rsidDel="00000000" w:rsidR="00000000" w:rsidRPr="00000000">
          <w:rPr>
            <w:color w:val="0563c1"/>
            <w:u w:val="single"/>
            <w:rtl w:val="0"/>
          </w:rPr>
          <w:t xml:space="preserve">tomaz.skrbinsek@bf.uni-lj.si</w:t>
        </w:r>
      </w:hyperlink>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b w:val="1"/>
          <w:rtl w:val="0"/>
        </w:rPr>
        <w:t xml:space="preserve">Further information: </w:t>
      </w:r>
      <w:r w:rsidDel="00000000" w:rsidR="00000000" w:rsidRPr="00000000">
        <w:rPr>
          <w:rtl w:val="0"/>
        </w:rPr>
        <w:t xml:space="preserve">See </w:t>
      </w:r>
      <w:hyperlink r:id="rId8">
        <w:r w:rsidDel="00000000" w:rsidR="00000000" w:rsidRPr="00000000">
          <w:rPr>
            <w:color w:val="0563c1"/>
            <w:u w:val="single"/>
            <w:rtl w:val="0"/>
          </w:rPr>
          <w:t xml:space="preserve">https://www.gov.si/en/topics/large-carnivores/</w:t>
        </w:r>
      </w:hyperlink>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Guidance, policy documents and links</w:t>
      </w:r>
    </w:p>
    <w:p w:rsidR="00000000" w:rsidDel="00000000" w:rsidP="00000000" w:rsidRDefault="00000000" w:rsidRPr="00000000" w14:paraId="0000005B">
      <w:pPr>
        <w:spacing w:after="120" w:lineRule="auto"/>
        <w:rPr/>
      </w:pPr>
      <w:hyperlink r:id="rId9">
        <w:r w:rsidDel="00000000" w:rsidR="00000000" w:rsidRPr="00000000">
          <w:rPr>
            <w:color w:val="0563c1"/>
            <w:u w:val="single"/>
            <w:rtl w:val="0"/>
          </w:rPr>
          <w:t xml:space="preserve">Overview of good practices in Eurasian lynx monitoring and conservation</w:t>
        </w:r>
      </w:hyperlink>
      <w:r w:rsidDel="00000000" w:rsidR="00000000" w:rsidRPr="00000000">
        <w:rPr>
          <w:rtl w:val="0"/>
        </w:rPr>
        <w:t xml:space="preserve"> (University of Ljubljana, 2020).</w:t>
      </w:r>
    </w:p>
    <w:p w:rsidR="00000000" w:rsidDel="00000000" w:rsidP="00000000" w:rsidRDefault="00000000" w:rsidRPr="00000000" w14:paraId="0000005C">
      <w:pPr>
        <w:spacing w:after="120" w:lineRule="auto"/>
        <w:rPr/>
      </w:pPr>
      <w:hyperlink r:id="rId10">
        <w:r w:rsidDel="00000000" w:rsidR="00000000" w:rsidRPr="00000000">
          <w:rPr>
            <w:color w:val="0563c1"/>
            <w:u w:val="single"/>
            <w:rtl w:val="0"/>
          </w:rPr>
          <w:t xml:space="preserve">Guidelines for transboundary monitoring of brown bears (</w:t>
        </w:r>
      </w:hyperlink>
      <w:hyperlink r:id="rId11">
        <w:r w:rsidDel="00000000" w:rsidR="00000000" w:rsidRPr="00000000">
          <w:rPr>
            <w:i w:val="1"/>
            <w:color w:val="0563c1"/>
            <w:u w:val="single"/>
            <w:rtl w:val="0"/>
          </w:rPr>
          <w:t xml:space="preserve">Ursus arctos</w:t>
        </w:r>
      </w:hyperlink>
      <w:hyperlink r:id="rId12">
        <w:r w:rsidDel="00000000" w:rsidR="00000000" w:rsidRPr="00000000">
          <w:rPr>
            <w:color w:val="0563c1"/>
            <w:u w:val="single"/>
            <w:rtl w:val="0"/>
          </w:rPr>
          <w:t xml:space="preserve">) in NW Dinaric Mountains and the Alps</w:t>
        </w:r>
      </w:hyperlink>
      <w:r w:rsidDel="00000000" w:rsidR="00000000" w:rsidRPr="00000000">
        <w:rPr>
          <w:rtl w:val="0"/>
        </w:rPr>
        <w:t xml:space="preserve"> (University of Ljubljana, 2019).</w:t>
      </w:r>
    </w:p>
    <w:p w:rsidR="00000000" w:rsidDel="00000000" w:rsidP="00000000" w:rsidRDefault="00000000" w:rsidRPr="00000000" w14:paraId="0000005D">
      <w:pPr>
        <w:spacing w:after="120" w:lineRule="auto"/>
        <w:rPr/>
      </w:pPr>
      <w:hyperlink r:id="rId13">
        <w:r w:rsidDel="00000000" w:rsidR="00000000" w:rsidRPr="00000000">
          <w:rPr>
            <w:color w:val="0563c1"/>
            <w:u w:val="single"/>
            <w:rtl w:val="0"/>
          </w:rPr>
          <w:t xml:space="preserve">Defining and applying the concept of Favourable Reference Values for species and habitats under the EU Birds and Habitats Directives</w:t>
        </w:r>
      </w:hyperlink>
      <w:r w:rsidDel="00000000" w:rsidR="00000000" w:rsidRPr="00000000">
        <w:rPr>
          <w:rtl w:val="0"/>
        </w:rPr>
        <w:t xml:space="preserve"> (Technical report for the European Commission, 2018).</w:t>
      </w:r>
    </w:p>
    <w:p w:rsidR="00000000" w:rsidDel="00000000" w:rsidP="00000000" w:rsidRDefault="00000000" w:rsidRPr="00000000" w14:paraId="0000005E">
      <w:pPr>
        <w:spacing w:after="120" w:lineRule="auto"/>
        <w:rPr/>
      </w:pPr>
      <w:hyperlink r:id="rId14">
        <w:r w:rsidDel="00000000" w:rsidR="00000000" w:rsidRPr="00000000">
          <w:rPr>
            <w:color w:val="0563c1"/>
            <w:u w:val="single"/>
            <w:rtl w:val="0"/>
          </w:rPr>
          <w:t xml:space="preserve">Standards for the monitoring of the Central European wolf population in Germany and Poland</w:t>
        </w:r>
      </w:hyperlink>
      <w:r w:rsidDel="00000000" w:rsidR="00000000" w:rsidRPr="00000000">
        <w:rPr>
          <w:rtl w:val="0"/>
        </w:rPr>
        <w:t xml:space="preserve"> (Federal Agency for Nature Conservation, 2015).</w:t>
      </w:r>
    </w:p>
    <w:p w:rsidR="00000000" w:rsidDel="00000000" w:rsidP="00000000" w:rsidRDefault="00000000" w:rsidRPr="00000000" w14:paraId="0000005F">
      <w:pPr>
        <w:spacing w:after="120" w:lineRule="auto"/>
        <w:rPr/>
      </w:pPr>
      <w:hyperlink r:id="rId15">
        <w:r w:rsidDel="00000000" w:rsidR="00000000" w:rsidRPr="00000000">
          <w:rPr>
            <w:color w:val="0563c1"/>
            <w:u w:val="single"/>
            <w:rtl w:val="0"/>
          </w:rPr>
          <w:t xml:space="preserve">Guidelines for population level management plans for large carnivores in Europe</w:t>
        </w:r>
      </w:hyperlink>
      <w:r w:rsidDel="00000000" w:rsidR="00000000" w:rsidRPr="00000000">
        <w:rPr>
          <w:rtl w:val="0"/>
        </w:rPr>
        <w:t xml:space="preserve"> (Report for the European Commission, 2008).</w:t>
      </w:r>
    </w:p>
    <w:p w:rsidR="00000000" w:rsidDel="00000000" w:rsidP="00000000" w:rsidRDefault="00000000" w:rsidRPr="00000000" w14:paraId="00000060">
      <w:pPr>
        <w:spacing w:after="120" w:lineRule="auto"/>
        <w:rPr/>
      </w:pPr>
      <w:hyperlink r:id="rId16">
        <w:r w:rsidDel="00000000" w:rsidR="00000000" w:rsidRPr="00000000">
          <w:rPr>
            <w:color w:val="0563c1"/>
            <w:u w:val="single"/>
            <w:rtl w:val="0"/>
          </w:rPr>
          <w:t xml:space="preserve">Monitoring of large carnivores</w:t>
        </w:r>
      </w:hyperlink>
      <w:r w:rsidDel="00000000" w:rsidR="00000000" w:rsidRPr="00000000">
        <w:rPr>
          <w:rtl w:val="0"/>
        </w:rPr>
        <w:t xml:space="preserve"> (Policy support statement of the Large Carnivore Initiative for Europe, 2007).</w:t>
      </w:r>
    </w:p>
    <w:p w:rsidR="00000000" w:rsidDel="00000000" w:rsidP="00000000" w:rsidRDefault="00000000" w:rsidRPr="00000000" w14:paraId="00000061">
      <w:pPr>
        <w:spacing w:after="120" w:lineRule="auto"/>
        <w:rPr/>
      </w:pPr>
      <w:hyperlink r:id="rId17">
        <w:r w:rsidDel="00000000" w:rsidR="00000000" w:rsidRPr="00000000">
          <w:rPr>
            <w:color w:val="0563c1"/>
            <w:u w:val="single"/>
            <w:rtl w:val="0"/>
          </w:rPr>
          <w:t xml:space="preserve">Guidelines for the monitoring of lynx</w:t>
        </w:r>
      </w:hyperlink>
      <w:r w:rsidDel="00000000" w:rsidR="00000000" w:rsidRPr="00000000">
        <w:rPr>
          <w:rtl w:val="0"/>
        </w:rPr>
        <w:t xml:space="preserve"> (KORA, 2006).</w:t>
      </w:r>
    </w:p>
    <w:p w:rsidR="00000000" w:rsidDel="00000000" w:rsidP="00000000" w:rsidRDefault="00000000" w:rsidRPr="00000000" w14:paraId="00000062">
      <w:pPr>
        <w:pStyle w:val="Heading1"/>
        <w:rPr/>
      </w:pPr>
      <w:r w:rsidDel="00000000" w:rsidR="00000000" w:rsidRPr="00000000">
        <w:rPr>
          <w:rtl w:val="0"/>
        </w:rPr>
        <w:t xml:space="preserve">Open-access papers</w:t>
      </w:r>
    </w:p>
    <w:p w:rsidR="00000000" w:rsidDel="00000000" w:rsidP="00000000" w:rsidRDefault="00000000" w:rsidRPr="00000000" w14:paraId="00000063">
      <w:pPr>
        <w:spacing w:after="120" w:lineRule="auto"/>
        <w:ind w:left="284" w:hanging="284"/>
        <w:rPr/>
      </w:pPr>
      <w:r w:rsidDel="00000000" w:rsidR="00000000" w:rsidRPr="00000000">
        <w:rPr>
          <w:rtl w:val="0"/>
        </w:rPr>
        <w:t xml:space="preserve">Bischof R, et al. (2016). Wildlife in a politically divided world: insularism inflates estimates of brown bear abundance. Conservation Letters 9: 122–130. </w:t>
      </w:r>
      <w:hyperlink r:id="rId18">
        <w:r w:rsidDel="00000000" w:rsidR="00000000" w:rsidRPr="00000000">
          <w:rPr>
            <w:color w:val="0563c1"/>
            <w:u w:val="single"/>
            <w:rtl w:val="0"/>
          </w:rPr>
          <w:t xml:space="preserve">https://doi.org/10.1111/conl.12183</w:t>
        </w:r>
      </w:hyperlink>
      <w:r w:rsidDel="00000000" w:rsidR="00000000" w:rsidRPr="00000000">
        <w:rPr>
          <w:rtl w:val="0"/>
        </w:rPr>
        <w:t xml:space="preserve">.</w:t>
      </w:r>
    </w:p>
    <w:p w:rsidR="00000000" w:rsidDel="00000000" w:rsidP="00000000" w:rsidRDefault="00000000" w:rsidRPr="00000000" w14:paraId="00000064">
      <w:pPr>
        <w:spacing w:after="120" w:lineRule="auto"/>
        <w:ind w:left="284" w:hanging="284"/>
        <w:rPr/>
      </w:pPr>
      <w:r w:rsidDel="00000000" w:rsidR="00000000" w:rsidRPr="00000000">
        <w:rPr>
          <w:rtl w:val="0"/>
        </w:rPr>
        <w:t xml:space="preserve">Breitenmoser U, et al. (2015). Stratified monitoring of lynx in Europe and Switzerland. In: Monitoring the status of Carpathian lynx in Switzerland and Slovakia, Rigg R and Kubala J eds. Slovak Wildlife Society, Liptovský Hrádok: 21–31. </w:t>
      </w:r>
      <w:hyperlink r:id="rId19">
        <w:r w:rsidDel="00000000" w:rsidR="00000000" w:rsidRPr="00000000">
          <w:rPr>
            <w:color w:val="0563c1"/>
            <w:u w:val="single"/>
            <w:rtl w:val="0"/>
          </w:rPr>
          <w:t xml:space="preserve">http://slovakwildlife.org/pdf/Monitoring_Lynx-lynx-carpathicus.pd</w:t>
        </w:r>
      </w:hyperlink>
      <w:r w:rsidDel="00000000" w:rsidR="00000000" w:rsidRPr="00000000">
        <w:rPr>
          <w:rtl w:val="0"/>
        </w:rPr>
        <w:t xml:space="preserve">f</w:t>
      </w:r>
    </w:p>
    <w:p w:rsidR="00000000" w:rsidDel="00000000" w:rsidP="00000000" w:rsidRDefault="00000000" w:rsidRPr="00000000" w14:paraId="00000065">
      <w:pPr>
        <w:spacing w:after="120" w:lineRule="auto"/>
        <w:ind w:left="284" w:hanging="284"/>
        <w:rPr/>
      </w:pPr>
      <w:r w:rsidDel="00000000" w:rsidR="00000000" w:rsidRPr="00000000">
        <w:rPr>
          <w:rtl w:val="0"/>
        </w:rPr>
        <w:t xml:space="preserve">Epstein Y, et al. (2016). A legal-ecological understanding of </w:t>
      </w:r>
      <w:r w:rsidDel="00000000" w:rsidR="00000000" w:rsidRPr="00000000">
        <w:rPr>
          <w:rtl w:val="0"/>
        </w:rPr>
        <w:t xml:space="preserve">favorable</w:t>
      </w:r>
      <w:r w:rsidDel="00000000" w:rsidR="00000000" w:rsidRPr="00000000">
        <w:rPr>
          <w:rtl w:val="0"/>
        </w:rPr>
        <w:t xml:space="preserve"> conservation status for species in Europe. Conservation Letters 9: 81–88. </w:t>
      </w:r>
      <w:hyperlink r:id="rId20">
        <w:r w:rsidDel="00000000" w:rsidR="00000000" w:rsidRPr="00000000">
          <w:rPr>
            <w:color w:val="0563c1"/>
            <w:u w:val="single"/>
            <w:rtl w:val="0"/>
          </w:rPr>
          <w:t xml:space="preserve">https://doi.org/10.1111/conl.12200</w:t>
        </w:r>
      </w:hyperlink>
      <w:r w:rsidDel="00000000" w:rsidR="00000000" w:rsidRPr="00000000">
        <w:rPr>
          <w:rtl w:val="0"/>
        </w:rPr>
        <w:t xml:space="preserve">.</w:t>
      </w:r>
    </w:p>
    <w:p w:rsidR="00000000" w:rsidDel="00000000" w:rsidP="00000000" w:rsidRDefault="00000000" w:rsidRPr="00000000" w14:paraId="00000066">
      <w:pPr>
        <w:spacing w:after="120" w:lineRule="auto"/>
        <w:ind w:left="284" w:hanging="284"/>
        <w:rPr/>
      </w:pPr>
      <w:r w:rsidDel="00000000" w:rsidR="00000000" w:rsidRPr="00000000">
        <w:rPr>
          <w:rtl w:val="0"/>
        </w:rPr>
        <w:t xml:space="preserve">Gervasi V, et al. (2016). Sharing data improves monitoring of trans-boundary populations: the case of wolverines in central Scandinavia. Wildlife Biology 22(3): 95–106. </w:t>
      </w:r>
      <w:hyperlink r:id="rId21">
        <w:r w:rsidDel="00000000" w:rsidR="00000000" w:rsidRPr="00000000">
          <w:rPr>
            <w:color w:val="0563c1"/>
            <w:u w:val="single"/>
            <w:rtl w:val="0"/>
          </w:rPr>
          <w:t xml:space="preserve">https://doi.org/10.2981/wlb.00142</w:t>
        </w:r>
      </w:hyperlink>
      <w:r w:rsidDel="00000000" w:rsidR="00000000" w:rsidRPr="00000000">
        <w:rPr>
          <w:rtl w:val="0"/>
        </w:rPr>
        <w:t xml:space="preserve">.</w:t>
      </w:r>
    </w:p>
    <w:p w:rsidR="00000000" w:rsidDel="00000000" w:rsidP="00000000" w:rsidRDefault="00000000" w:rsidRPr="00000000" w14:paraId="00000067">
      <w:pPr>
        <w:spacing w:after="120" w:lineRule="auto"/>
        <w:ind w:left="284" w:hanging="284"/>
        <w:rPr/>
      </w:pPr>
      <w:r w:rsidDel="00000000" w:rsidR="00000000" w:rsidRPr="00000000">
        <w:rPr>
          <w:rtl w:val="0"/>
        </w:rPr>
        <w:t xml:space="preserve">López-Bao JV, et al. (2018). Toward reliable population estimates of wolves by combining spatial capture-recapture models and non-invasive DNA monitoring. Scientific Reports 8: 2177. </w:t>
      </w:r>
      <w:hyperlink r:id="rId22">
        <w:r w:rsidDel="00000000" w:rsidR="00000000" w:rsidRPr="00000000">
          <w:rPr>
            <w:color w:val="0563c1"/>
            <w:u w:val="single"/>
            <w:rtl w:val="0"/>
          </w:rPr>
          <w:t xml:space="preserve">https://doi.org/10.1038/s41598-018-20675-9</w:t>
        </w:r>
      </w:hyperlink>
      <w:r w:rsidDel="00000000" w:rsidR="00000000" w:rsidRPr="00000000">
        <w:rPr>
          <w:rtl w:val="0"/>
        </w:rPr>
        <w:t xml:space="preserve">.</w:t>
      </w:r>
    </w:p>
    <w:p w:rsidR="00000000" w:rsidDel="00000000" w:rsidP="00000000" w:rsidRDefault="00000000" w:rsidRPr="00000000" w14:paraId="00000068">
      <w:pPr>
        <w:spacing w:after="120" w:lineRule="auto"/>
        <w:ind w:left="284" w:hanging="284"/>
        <w:rPr/>
      </w:pPr>
      <w:r w:rsidDel="00000000" w:rsidR="00000000" w:rsidRPr="00000000">
        <w:rPr>
          <w:rtl w:val="0"/>
        </w:rPr>
        <w:t xml:space="preserve">Molinari</w:t>
      </w:r>
      <w:r w:rsidDel="00000000" w:rsidR="00000000" w:rsidRPr="00000000">
        <w:rPr>
          <w:rtl w:val="0"/>
        </w:rPr>
        <w:t xml:space="preserve">‐Jobin A, et al. (2018). Mapping range dynamics from opportunistic data: spatiotemporal modelling of the lynx distribution in the Alps over 21 years. Animal Conservation 21(2): 168–180. </w:t>
      </w:r>
      <w:hyperlink r:id="rId23">
        <w:r w:rsidDel="00000000" w:rsidR="00000000" w:rsidRPr="00000000">
          <w:rPr>
            <w:color w:val="0563c1"/>
            <w:u w:val="single"/>
            <w:rtl w:val="0"/>
          </w:rPr>
          <w:t xml:space="preserve">https://doi.org/10.1111/acv.12369</w:t>
        </w:r>
      </w:hyperlink>
      <w:r w:rsidDel="00000000" w:rsidR="00000000" w:rsidRPr="00000000">
        <w:rPr>
          <w:rtl w:val="0"/>
        </w:rPr>
        <w:t xml:space="preserve">.</w:t>
      </w:r>
    </w:p>
    <w:p w:rsidR="00000000" w:rsidDel="00000000" w:rsidP="00000000" w:rsidRDefault="00000000" w:rsidRPr="00000000" w14:paraId="00000069">
      <w:pPr>
        <w:spacing w:after="120" w:lineRule="auto"/>
        <w:ind w:left="284" w:hanging="284"/>
        <w:rPr/>
      </w:pPr>
      <w:bookmarkStart w:colFirst="0" w:colLast="0" w:name="_30j0zll" w:id="2"/>
      <w:bookmarkEnd w:id="2"/>
      <w:r w:rsidDel="00000000" w:rsidR="00000000" w:rsidRPr="00000000">
        <w:rPr>
          <w:rtl w:val="0"/>
        </w:rPr>
        <w:t xml:space="preserve">Ražen N, et al. (2020). Citizen science contribution to national wolf population monitoring: what have we learned? European Journal of Wildlife Research 66: 46. </w:t>
      </w:r>
      <w:hyperlink r:id="rId24">
        <w:r w:rsidDel="00000000" w:rsidR="00000000" w:rsidRPr="00000000">
          <w:rPr>
            <w:color w:val="0563c1"/>
            <w:u w:val="single"/>
            <w:rtl w:val="0"/>
          </w:rPr>
          <w:t xml:space="preserve">https://doi.org/10.1007/s10344-020-01383-0</w:t>
        </w:r>
      </w:hyperlink>
      <w:r w:rsidDel="00000000" w:rsidR="00000000" w:rsidRPr="00000000">
        <w:rPr>
          <w:rtl w:val="0"/>
        </w:rPr>
        <w:t xml:space="preserve">.</w:t>
      </w:r>
    </w:p>
    <w:p w:rsidR="00000000" w:rsidDel="00000000" w:rsidP="00000000" w:rsidRDefault="00000000" w:rsidRPr="00000000" w14:paraId="0000006A">
      <w:pPr>
        <w:spacing w:after="120" w:lineRule="auto"/>
        <w:ind w:left="284" w:hanging="284"/>
        <w:rPr/>
      </w:pPr>
      <w:r w:rsidDel="00000000" w:rsidR="00000000" w:rsidRPr="00000000">
        <w:rPr>
          <w:rtl w:val="0"/>
        </w:rPr>
        <w:t xml:space="preserve">Trouwborst A, et al. (2017). Interpreting ‘favourable conservation status’ for large carnivores in Europe: how many are needed and how many are wanted? Biodiversity and Conservation 26: 37-61. </w:t>
      </w:r>
      <w:hyperlink r:id="rId25">
        <w:r w:rsidDel="00000000" w:rsidR="00000000" w:rsidRPr="00000000">
          <w:rPr>
            <w:color w:val="0563c1"/>
            <w:u w:val="single"/>
            <w:rtl w:val="0"/>
          </w:rPr>
          <w:t xml:space="preserve">https://doi.org/10.1007/s10531-016-1238-z</w:t>
        </w:r>
      </w:hyperlink>
      <w:r w:rsidDel="00000000" w:rsidR="00000000" w:rsidRPr="00000000">
        <w:rPr>
          <w:rtl w:val="0"/>
        </w:rPr>
        <w:t xml:space="preserve">.</w:t>
      </w:r>
    </w:p>
    <w:p w:rsidR="00000000" w:rsidDel="00000000" w:rsidP="00000000" w:rsidRDefault="00000000" w:rsidRPr="00000000" w14:paraId="0000006B">
      <w:pPr>
        <w:pStyle w:val="Heading1"/>
        <w:rPr/>
      </w:pPr>
      <w:bookmarkStart w:colFirst="0" w:colLast="0" w:name="_1fob9te" w:id="3"/>
      <w:bookmarkEnd w:id="3"/>
      <w:r w:rsidDel="00000000" w:rsidR="00000000" w:rsidRPr="00000000">
        <w:rPr>
          <w:rtl w:val="0"/>
        </w:rPr>
        <w:t xml:space="preserve">Websites with additional resources</w:t>
      </w:r>
    </w:p>
    <w:p w:rsidR="00000000" w:rsidDel="00000000" w:rsidP="00000000" w:rsidRDefault="00000000" w:rsidRPr="00000000" w14:paraId="0000006C">
      <w:pPr>
        <w:tabs>
          <w:tab w:val="left" w:leader="none" w:pos="4111"/>
        </w:tabs>
        <w:spacing w:after="120" w:lineRule="auto"/>
        <w:rPr/>
      </w:pPr>
      <w:bookmarkStart w:colFirst="0" w:colLast="0" w:name="_3znysh7" w:id="4"/>
      <w:bookmarkEnd w:id="4"/>
      <w:r w:rsidDel="00000000" w:rsidR="00000000" w:rsidRPr="00000000">
        <w:rPr>
          <w:rtl w:val="0"/>
        </w:rPr>
        <w:t xml:space="preserve">Article 17 Web Tool: </w:t>
      </w:r>
      <w:hyperlink r:id="rId26">
        <w:r w:rsidDel="00000000" w:rsidR="00000000" w:rsidRPr="00000000">
          <w:rPr>
            <w:color w:val="0563c1"/>
            <w:u w:val="single"/>
            <w:rtl w:val="0"/>
          </w:rPr>
          <w:t xml:space="preserve">https://nature-art17.eionet.europa.eu/article17/</w:t>
        </w:r>
      </w:hyperlink>
      <w:r w:rsidDel="00000000" w:rsidR="00000000" w:rsidRPr="00000000">
        <w:rPr>
          <w:rtl w:val="0"/>
        </w:rPr>
      </w:r>
    </w:p>
    <w:p w:rsidR="00000000" w:rsidDel="00000000" w:rsidP="00000000" w:rsidRDefault="00000000" w:rsidRPr="00000000" w14:paraId="0000006D">
      <w:pPr>
        <w:tabs>
          <w:tab w:val="left" w:leader="none" w:pos="4111"/>
        </w:tabs>
        <w:spacing w:after="120" w:lineRule="auto"/>
        <w:rPr/>
      </w:pPr>
      <w:r w:rsidDel="00000000" w:rsidR="00000000" w:rsidRPr="00000000">
        <w:rPr>
          <w:rtl w:val="0"/>
        </w:rPr>
        <w:t xml:space="preserve">Eionet Central Data Repository: </w:t>
      </w:r>
      <w:hyperlink r:id="rId27">
        <w:r w:rsidDel="00000000" w:rsidR="00000000" w:rsidRPr="00000000">
          <w:rPr>
            <w:color w:val="0563c1"/>
            <w:u w:val="single"/>
            <w:rtl w:val="0"/>
          </w:rPr>
          <w:t xml:space="preserve">https://cdr.eionet.europa.eu/help/habitats_art17</w:t>
        </w:r>
      </w:hyperlink>
      <w:r w:rsidDel="00000000" w:rsidR="00000000" w:rsidRPr="00000000">
        <w:rPr>
          <w:rtl w:val="0"/>
        </w:rPr>
      </w:r>
    </w:p>
    <w:p w:rsidR="00000000" w:rsidDel="00000000" w:rsidP="00000000" w:rsidRDefault="00000000" w:rsidRPr="00000000" w14:paraId="0000006E">
      <w:pPr>
        <w:tabs>
          <w:tab w:val="left" w:leader="none" w:pos="4111"/>
        </w:tabs>
        <w:spacing w:after="120" w:lineRule="auto"/>
        <w:rPr/>
      </w:pPr>
      <w:r w:rsidDel="00000000" w:rsidR="00000000" w:rsidRPr="00000000">
        <w:rPr>
          <w:rtl w:val="0"/>
        </w:rPr>
        <w:t xml:space="preserve">EU Large Carnivore Platform Case Study Selection: </w:t>
      </w:r>
      <w:hyperlink r:id="rId28">
        <w:r w:rsidDel="00000000" w:rsidR="00000000" w:rsidRPr="00000000">
          <w:rPr>
            <w:color w:val="0563c1"/>
            <w:u w:val="single"/>
            <w:rtl w:val="0"/>
          </w:rPr>
          <w:t xml:space="preserve">https://ec.europa.eu/environment/nature/conservation/species/carnivores/case_studies.htm</w:t>
        </w:r>
      </w:hyperlink>
      <w:r w:rsidDel="00000000" w:rsidR="00000000" w:rsidRPr="00000000">
        <w:rPr>
          <w:rtl w:val="0"/>
        </w:rPr>
      </w:r>
    </w:p>
    <w:p w:rsidR="00000000" w:rsidDel="00000000" w:rsidP="00000000" w:rsidRDefault="00000000" w:rsidRPr="00000000" w14:paraId="0000006F">
      <w:pPr>
        <w:tabs>
          <w:tab w:val="left" w:leader="none" w:pos="4111"/>
        </w:tabs>
        <w:rPr>
          <w:color w:val="0563c1"/>
          <w:u w:val="single"/>
        </w:rPr>
      </w:pPr>
      <w:bookmarkStart w:colFirst="0" w:colLast="0" w:name="_2et92p0" w:id="5"/>
      <w:bookmarkEnd w:id="5"/>
      <w:r w:rsidDel="00000000" w:rsidR="00000000" w:rsidRPr="00000000">
        <w:rPr>
          <w:rtl w:val="0"/>
        </w:rPr>
        <w:t xml:space="preserve">IUCN Human–Wildlife Conflict Task Force: </w:t>
      </w:r>
      <w:hyperlink r:id="rId29">
        <w:r w:rsidDel="00000000" w:rsidR="00000000" w:rsidRPr="00000000">
          <w:rPr>
            <w:color w:val="0563c1"/>
            <w:u w:val="single"/>
            <w:rtl w:val="0"/>
          </w:rPr>
          <w:t xml:space="preserve">https://www.hwctf.org/monitoring-and-evaluation</w:t>
        </w:r>
      </w:hyperlink>
      <w:r w:rsidDel="00000000" w:rsidR="00000000" w:rsidRPr="00000000">
        <w:rPr>
          <w:rtl w:val="0"/>
        </w:rPr>
      </w:r>
    </w:p>
    <w:p w:rsidR="00000000" w:rsidDel="00000000" w:rsidP="00000000" w:rsidRDefault="00000000" w:rsidRPr="00000000" w14:paraId="00000070">
      <w:pPr>
        <w:tabs>
          <w:tab w:val="left" w:leader="none" w:pos="4111"/>
        </w:tabs>
        <w:rPr>
          <w:color w:val="0563c1"/>
          <w:u w:val="single"/>
        </w:rPr>
      </w:pPr>
      <w:r w:rsidDel="00000000" w:rsidR="00000000" w:rsidRPr="00000000">
        <w:rPr>
          <w:rtl w:val="0"/>
        </w:rPr>
        <w:t xml:space="preserve">Thematic Webinar – Stakeholder Involvement in Large Carnivore Monitoring: </w:t>
      </w:r>
      <w:hyperlink r:id="rId30">
        <w:r w:rsidDel="00000000" w:rsidR="00000000" w:rsidRPr="00000000">
          <w:rPr>
            <w:color w:val="0563c1"/>
            <w:u w:val="single"/>
            <w:rtl w:val="0"/>
          </w:rPr>
          <w:t xml:space="preserve">https://ec.europa.eu/environment/nature/conservation/species/carnivores/events_sub_thematic_webinar_2020.htm</w:t>
        </w:r>
      </w:hyperlink>
      <w:r w:rsidDel="00000000" w:rsidR="00000000" w:rsidRPr="00000000">
        <w:rPr>
          <w:rtl w:val="0"/>
        </w:rPr>
      </w:r>
    </w:p>
    <w:p w:rsidR="00000000" w:rsidDel="00000000" w:rsidP="00000000" w:rsidRDefault="00000000" w:rsidRPr="00000000" w14:paraId="00000071">
      <w:pPr>
        <w:tabs>
          <w:tab w:val="left" w:leader="none" w:pos="4111"/>
        </w:tabs>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i w:val="0"/>
          <w:smallCaps w:val="0"/>
          <w:strike w:val="0"/>
          <w:color w:val="000000"/>
          <w:sz w:val="20"/>
          <w:szCs w:val="20"/>
          <w:u w:val="none"/>
          <w:shd w:fill="auto" w:val="clear"/>
          <w:vertAlign w:val="baseline"/>
          <w:rtl w:val="0"/>
        </w:rPr>
        <w:t xml:space="preserve"> </w:t>
      </w:r>
      <w:hyperlink r:id="rId1">
        <w:r w:rsidDel="00000000" w:rsidR="00000000" w:rsidRPr="00000000">
          <w:rPr>
            <w:i w:val="0"/>
            <w:smallCaps w:val="0"/>
            <w:strike w:val="0"/>
            <w:color w:val="0563c1"/>
            <w:sz w:val="20"/>
            <w:szCs w:val="20"/>
            <w:u w:val="single"/>
            <w:shd w:fill="auto" w:val="clear"/>
            <w:vertAlign w:val="baseline"/>
            <w:rtl w:val="0"/>
          </w:rPr>
          <w:t xml:space="preserve">https://ec.europa.eu/environment/nature/legislation/habitatsdirective/index_en.htm</w:t>
        </w:r>
      </w:hyperlink>
      <w:r w:rsidDel="00000000" w:rsidR="00000000" w:rsidRPr="00000000">
        <w:rPr>
          <w:rtl w:val="0"/>
        </w:rPr>
      </w:r>
    </w:p>
  </w:footnote>
  <w:footnote w:id="1">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i w:val="0"/>
          <w:smallCaps w:val="0"/>
          <w:strike w:val="0"/>
          <w:color w:val="000000"/>
          <w:sz w:val="20"/>
          <w:szCs w:val="20"/>
          <w:u w:val="none"/>
          <w:shd w:fill="auto" w:val="clear"/>
          <w:vertAlign w:val="baseline"/>
          <w:rtl w:val="0"/>
        </w:rPr>
        <w:t xml:space="preserve"> </w:t>
      </w:r>
      <w:hyperlink r:id="rId2">
        <w:r w:rsidDel="00000000" w:rsidR="00000000" w:rsidRPr="00000000">
          <w:rPr>
            <w:i w:val="0"/>
            <w:smallCaps w:val="0"/>
            <w:strike w:val="0"/>
            <w:color w:val="0563c1"/>
            <w:sz w:val="20"/>
            <w:szCs w:val="20"/>
            <w:u w:val="single"/>
            <w:shd w:fill="auto" w:val="clear"/>
            <w:vertAlign w:val="baseline"/>
            <w:rtl w:val="0"/>
          </w:rPr>
          <w:t xml:space="preserve">https://ec.europa.eu/environment/nature/conservation/species/carnivores/conservation_status.htm</w:t>
        </w:r>
      </w:hyperlink>
      <w:r w:rsidDel="00000000" w:rsidR="00000000" w:rsidRPr="00000000">
        <w:rPr>
          <w:rtl w:val="0"/>
        </w:rPr>
      </w:r>
    </w:p>
  </w:footnote>
  <w:footnote w:id="2">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i w:val="0"/>
          <w:smallCaps w:val="0"/>
          <w:strike w:val="0"/>
          <w:color w:val="000000"/>
          <w:sz w:val="20"/>
          <w:szCs w:val="20"/>
          <w:u w:val="none"/>
          <w:shd w:fill="auto" w:val="clear"/>
          <w:vertAlign w:val="baseline"/>
          <w:rtl w:val="0"/>
        </w:rPr>
        <w:t xml:space="preserve"> </w:t>
      </w:r>
      <w:hyperlink r:id="rId3">
        <w:r w:rsidDel="00000000" w:rsidR="00000000" w:rsidRPr="00000000">
          <w:rPr>
            <w:i w:val="0"/>
            <w:smallCaps w:val="0"/>
            <w:strike w:val="0"/>
            <w:color w:val="0563c1"/>
            <w:sz w:val="20"/>
            <w:szCs w:val="20"/>
            <w:u w:val="single"/>
            <w:shd w:fill="auto" w:val="clear"/>
            <w:vertAlign w:val="baseline"/>
            <w:rtl w:val="0"/>
          </w:rPr>
          <w:t xml:space="preserve">https://ec.europa.eu/environment/nature/knowledge/rep_habitats/index_en.htm</w:t>
        </w:r>
      </w:hyperlink>
      <w:r w:rsidDel="00000000" w:rsidR="00000000" w:rsidRPr="00000000">
        <w:rPr>
          <w:i w:val="0"/>
          <w:smallCaps w:val="0"/>
          <w:strike w:val="0"/>
          <w:color w:val="000000"/>
          <w:sz w:val="20"/>
          <w:szCs w:val="20"/>
          <w:u w:val="none"/>
          <w:shd w:fill="auto" w:val="clear"/>
          <w:vertAlign w:val="baseline"/>
          <w:rtl w:val="0"/>
        </w:rPr>
        <w:t xml:space="preserve"> </w:t>
      </w:r>
    </w:p>
  </w:footnote>
  <w:footnote w:id="3">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i w:val="0"/>
          <w:smallCaps w:val="0"/>
          <w:strike w:val="0"/>
          <w:color w:val="000000"/>
          <w:sz w:val="20"/>
          <w:szCs w:val="20"/>
          <w:u w:val="none"/>
          <w:shd w:fill="auto" w:val="clear"/>
          <w:vertAlign w:val="baseline"/>
          <w:rtl w:val="0"/>
        </w:rPr>
        <w:t xml:space="preserve"> </w:t>
      </w:r>
      <w:hyperlink r:id="rId4">
        <w:r w:rsidDel="00000000" w:rsidR="00000000" w:rsidRPr="00000000">
          <w:rPr>
            <w:i w:val="0"/>
            <w:smallCaps w:val="0"/>
            <w:strike w:val="0"/>
            <w:color w:val="0563c1"/>
            <w:sz w:val="20"/>
            <w:szCs w:val="20"/>
            <w:u w:val="single"/>
            <w:shd w:fill="auto" w:val="clear"/>
            <w:vertAlign w:val="baseline"/>
            <w:rtl w:val="0"/>
          </w:rPr>
          <w:t xml:space="preserve">https://www.eionet.europa.eu/article17/static/documents/Article%2017%20Assessment%20tool%20‌methodology.pdf</w:t>
        </w:r>
      </w:hyperlink>
      <w:r w:rsidDel="00000000" w:rsidR="00000000" w:rsidRPr="00000000">
        <w:rPr>
          <w:rtl w:val="0"/>
        </w:rPr>
      </w:r>
    </w:p>
  </w:footnote>
  <w:footnote w:id="4">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5">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https://ec.europa.eu/environment/nature/natura2000/platform/documents/TechnicalReportFRVs%20‌October2018.pdf</w:t>
        </w:r>
      </w:hyperlink>
      <w:r w:rsidDel="00000000" w:rsidR="00000000" w:rsidRPr="00000000">
        <w:rPr>
          <w:rtl w:val="0"/>
        </w:rPr>
      </w:r>
    </w:p>
  </w:footnote>
  <w:footnote w:id="6">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https://ec.europa.eu/environment/nature/conservation/species/carnivores/pdf/guidelines_for_population_level‌_management.pdf</w:t>
        </w:r>
      </w:hyperlink>
      <w:r w:rsidDel="00000000" w:rsidR="00000000" w:rsidRPr="00000000">
        <w:rPr>
          <w:rtl w:val="0"/>
        </w:rPr>
      </w:r>
    </w:p>
  </w:footnote>
  <w:footnote w:id="7">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Moqanaki EM, et al. (2018). Counting bears in the Iranian Caucasus: Remarkable mismatch between scientifically-sound population estimates and perceptions. Biological Conservation 220: 182</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191. </w:t>
      </w:r>
      <w:hyperlink r:id="rId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https://doi.org/10.1016/j.biocon.2018.02.016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8">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Skrbinšek T, et al. (2019). From science to practice: genetic estimate of brown bear population size in Slovenia and how it influenced bear management. European Journal of Wildlife Research 65: 29. </w:t>
      </w:r>
      <w:hyperlink r:id="rId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https://doi.org/10.1007/s10344-019-1265-7</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9">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i w:val="0"/>
          <w:smallCaps w:val="0"/>
          <w:strike w:val="0"/>
          <w:color w:val="000000"/>
          <w:sz w:val="20"/>
          <w:szCs w:val="20"/>
          <w:u w:val="none"/>
          <w:shd w:fill="auto" w:val="clear"/>
          <w:vertAlign w:val="baseline"/>
          <w:rtl w:val="0"/>
        </w:rPr>
        <w:t xml:space="preserve"> </w:t>
      </w:r>
      <w:hyperlink r:id="rId9">
        <w:r w:rsidDel="00000000" w:rsidR="00000000" w:rsidRPr="00000000">
          <w:rPr>
            <w:i w:val="0"/>
            <w:smallCaps w:val="0"/>
            <w:strike w:val="0"/>
            <w:color w:val="0563c1"/>
            <w:sz w:val="20"/>
            <w:szCs w:val="20"/>
            <w:u w:val="single"/>
            <w:shd w:fill="auto" w:val="clear"/>
            <w:vertAlign w:val="baseline"/>
            <w:rtl w:val="0"/>
          </w:rPr>
          <w:t xml:space="preserve">https://ec.europa.eu/environment/nature/conservation/species/carnivores/pdf/pa_slovakia_finalreport.pdf</w:t>
        </w:r>
      </w:hyperlink>
      <w:r w:rsidDel="00000000" w:rsidR="00000000" w:rsidRPr="00000000">
        <w:rPr>
          <w:rtl w:val="0"/>
        </w:rPr>
      </w:r>
    </w:p>
  </w:footnote>
  <w:footnote w:id="10">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See Gese et al. (2012). Designing a monitoring plan. Pages 353–361 in Boitani L and Powell RA, eds. Carnivore ecology and conservation: A handbook of techniques. Oxford University Press.</w:t>
      </w:r>
    </w:p>
  </w:footnote>
  <w:footnote w:id="11">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example: </w:t>
      </w:r>
      <w:hyperlink r:id="rId10">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https://www.lifewolfalps.eu/en/axes-of-intervention/monitoraggio/</w:t>
        </w:r>
      </w:hyperlink>
      <w:r w:rsidDel="00000000" w:rsidR="00000000" w:rsidRPr="00000000">
        <w:rPr>
          <w:rtl w:val="0"/>
        </w:rPr>
      </w:r>
    </w:p>
  </w:footnote>
  <w:footnote w:id="12">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Balme G, et al. (2010). Evaluating methods for counting cryptic carnivores. Journal of Wildlife Management 73: 433</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441. </w:t>
      </w:r>
      <w:hyperlink r:id="rId1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https://doi.org/10.2193/2007-368</w:t>
        </w:r>
      </w:hyperlink>
      <w:r w:rsidDel="00000000" w:rsidR="00000000" w:rsidRPr="00000000">
        <w:rPr>
          <w:rtl w:val="0"/>
        </w:rPr>
      </w:r>
    </w:p>
  </w:footnote>
  <w:footnote w:id="13">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Long RA, et al. (2008). Noninvasive survey methods for carnivores. Island Press, Washington DC.</w:t>
      </w:r>
    </w:p>
  </w:footnote>
  <w:footnote w:id="14">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Skrbinšek T, et al. (2019). Guidelines for transboundary monitoring of brown bears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Ursus arctos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 NW Dinaric Mountains and the Alps. Action C.5: Population surveillance. University of Ljubljana. </w:t>
      </w:r>
      <w:hyperlink r:id="rId1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https://dinalpbear.eu/wp-content/uploads/Guidelines-For-Population-Level-Monitoring2019.V3.FINAL_.pdf</w:t>
        </w:r>
      </w:hyperlink>
      <w:r w:rsidDel="00000000" w:rsidR="00000000" w:rsidRPr="00000000">
        <w:rPr>
          <w:rtl w:val="0"/>
        </w:rPr>
      </w:r>
    </w:p>
  </w:footnote>
  <w:footnote w:id="15">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www.kora.ch/index.php?id=117&amp;L=1</w:t>
        </w:r>
      </w:hyperlink>
      <w:r w:rsidDel="00000000" w:rsidR="00000000" w:rsidRPr="00000000">
        <w:rPr>
          <w:rtl w:val="0"/>
        </w:rPr>
      </w:r>
    </w:p>
  </w:footnote>
  <w:footnote w:id="16">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Mumma MA, et al. (2015). Evaluating noninvasive genetic sampling techniques to estimate large carnivore abundance. Molecular Ecology Resources 15: 1133–1144.</w:t>
      </w:r>
    </w:p>
  </w:footnote>
  <w:footnote w:id="17">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https://www.wwf.org.uk/project/conservationtechnology/camera-trap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57.0" w:type="dxa"/>
        <w:left w:w="57.0" w:type="dxa"/>
        <w:bottom w:w="57.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11/conl.12200" TargetMode="External"/><Relationship Id="rId22" Type="http://schemas.openxmlformats.org/officeDocument/2006/relationships/hyperlink" Target="https://doi.org/10.1038/s41598-018-20675-9" TargetMode="External"/><Relationship Id="rId21" Type="http://schemas.openxmlformats.org/officeDocument/2006/relationships/hyperlink" Target="https://doi.org/10.2981/wlb.00142" TargetMode="External"/><Relationship Id="rId24" Type="http://schemas.openxmlformats.org/officeDocument/2006/relationships/hyperlink" Target="https://doi.org/10.1007/s10344-020-01383-0" TargetMode="External"/><Relationship Id="rId23" Type="http://schemas.openxmlformats.org/officeDocument/2006/relationships/hyperlink" Target="https://doi.org/10.1111/acv.123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nterreg-central.eu/Content.Node/Good-practice-of-lynx-monitor-and-conserv.pdf" TargetMode="External"/><Relationship Id="rId26" Type="http://schemas.openxmlformats.org/officeDocument/2006/relationships/hyperlink" Target="https://nature-art17.eionet.europa.eu/article17/" TargetMode="External"/><Relationship Id="rId25" Type="http://schemas.openxmlformats.org/officeDocument/2006/relationships/hyperlink" Target="https://doi.org/10.1007/s10531-016-1238-z" TargetMode="External"/><Relationship Id="rId28" Type="http://schemas.openxmlformats.org/officeDocument/2006/relationships/hyperlink" Target="https://ec.europa.eu/environment/nature/conservation/species/carnivores/case_studies.htm" TargetMode="External"/><Relationship Id="rId27" Type="http://schemas.openxmlformats.org/officeDocument/2006/relationships/hyperlink" Target="https://cdr.eionet.europa.eu/help/habitats_art17"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hwctf.org/monitoring-and-evaluation" TargetMode="External"/><Relationship Id="rId7" Type="http://schemas.openxmlformats.org/officeDocument/2006/relationships/hyperlink" Target="mailto:tomaz.skrbinsek@bf.uni-lj.si" TargetMode="External"/><Relationship Id="rId8" Type="http://schemas.openxmlformats.org/officeDocument/2006/relationships/hyperlink" Target="https://www.gov.si/en/topics/large-carnivores/" TargetMode="External"/><Relationship Id="rId30" Type="http://schemas.openxmlformats.org/officeDocument/2006/relationships/hyperlink" Target="https://ec.europa.eu/environment/nature/conservation/species/carnivores/events_sub_thematic_webinar_2020.htm" TargetMode="External"/><Relationship Id="rId11" Type="http://schemas.openxmlformats.org/officeDocument/2006/relationships/hyperlink" Target="https://dinalpbear.eu/wp-content/uploads/Guidelines-For-Population-Level-Monitoring2019.V3.FINAL_.pdf" TargetMode="External"/><Relationship Id="rId10" Type="http://schemas.openxmlformats.org/officeDocument/2006/relationships/hyperlink" Target="https://dinalpbear.eu/wp-content/uploads/Guidelines-For-Population-Level-Monitoring2019.V3.FINAL_.pdf" TargetMode="External"/><Relationship Id="rId13" Type="http://schemas.openxmlformats.org/officeDocument/2006/relationships/hyperlink" Target="https://ec.europa.eu/environment/nature/natura2000/platform/documents/TechnicalReportFRVs%20October2018.pdf" TargetMode="External"/><Relationship Id="rId12" Type="http://schemas.openxmlformats.org/officeDocument/2006/relationships/hyperlink" Target="https://dinalpbear.eu/wp-content/uploads/Guidelines-For-Population-Level-Monitoring2019.V3.FINAL_.pdf" TargetMode="External"/><Relationship Id="rId15" Type="http://schemas.openxmlformats.org/officeDocument/2006/relationships/hyperlink" Target="https://ec.europa.eu/environment/nature/conservation/species/carnivores/pdf/guidelines_for_population_level_management.pdf" TargetMode="External"/><Relationship Id="rId14" Type="http://schemas.openxmlformats.org/officeDocument/2006/relationships/hyperlink" Target="https://www.bfn.de/fileadmin/BfN/daten_fakten/2015_Standards_for_the_monitoring_of_the_Central_European_wolf_population_in_Germany_and_Poland.pdf" TargetMode="External"/><Relationship Id="rId17" Type="http://schemas.openxmlformats.org/officeDocument/2006/relationships/hyperlink" Target="https://www.kora.ch/malme/05_library/5_1_publications/K/KORA_Bericht_33_e_Monitoring_Guidelines_English.pdf" TargetMode="External"/><Relationship Id="rId16" Type="http://schemas.openxmlformats.org/officeDocument/2006/relationships/hyperlink" Target="https://lciepub.nina.no/pdf/634991496991938201_LCIE_PSS_monitoring.pdf" TargetMode="External"/><Relationship Id="rId19" Type="http://schemas.openxmlformats.org/officeDocument/2006/relationships/hyperlink" Target="http://slovakwildlife.org/pdf/Monitoring_Lynx-lynx-carpathicus.pd" TargetMode="External"/><Relationship Id="rId18" Type="http://schemas.openxmlformats.org/officeDocument/2006/relationships/hyperlink" Target="https://doi.org/10.1111/conl.12183"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i.org/10.2193/2007-368" TargetMode="External"/><Relationship Id="rId10" Type="http://schemas.openxmlformats.org/officeDocument/2006/relationships/hyperlink" Target="https://www.lifewolfalps.eu/en/axes-of-intervention/monitoraggio/" TargetMode="External"/><Relationship Id="rId13" Type="http://schemas.openxmlformats.org/officeDocument/2006/relationships/hyperlink" Target="http://www.kora.ch/index.php?id=117&amp;L=1" TargetMode="External"/><Relationship Id="rId12" Type="http://schemas.openxmlformats.org/officeDocument/2006/relationships/hyperlink" Target="https://dinalpbear.eu/wp-content/uploads/Guidelines-For-Population-Level-Monitoring2019.V3.FINAL_.pdf" TargetMode="External"/><Relationship Id="rId1" Type="http://schemas.openxmlformats.org/officeDocument/2006/relationships/hyperlink" Target="https://ec.europa.eu/environment/nature/legislation/habitatsdirective/index_en.htm" TargetMode="External"/><Relationship Id="rId2" Type="http://schemas.openxmlformats.org/officeDocument/2006/relationships/hyperlink" Target="https://ec.europa.eu/environment/nature/conservation/species/carnivores/conservation_status.htm" TargetMode="External"/><Relationship Id="rId3" Type="http://schemas.openxmlformats.org/officeDocument/2006/relationships/hyperlink" Target="https://ec.europa.eu/environment/nature/knowledge/rep_habitats/index_en.htm" TargetMode="External"/><Relationship Id="rId4" Type="http://schemas.openxmlformats.org/officeDocument/2006/relationships/hyperlink" Target="https://www.eionet.europa.eu/article17/static/documents/Article%2017%20Assessment%20tool%20methodology.pdf" TargetMode="External"/><Relationship Id="rId9" Type="http://schemas.openxmlformats.org/officeDocument/2006/relationships/hyperlink" Target="https://ec.europa.eu/environment/nature/conservation/species/carnivores/pdf/pa_slovakia_finalreport.pdf" TargetMode="External"/><Relationship Id="rId5" Type="http://schemas.openxmlformats.org/officeDocument/2006/relationships/hyperlink" Target="https://ec.europa.eu/environment/nature/natura2000/platform/documents/TechnicalReportFRVs%20October2018.pdf" TargetMode="External"/><Relationship Id="rId6" Type="http://schemas.openxmlformats.org/officeDocument/2006/relationships/hyperlink" Target="https://ec.europa.eu/environment/nature/conservation/species/carnivores/pdf/guidelines_for_population_level_management.pdf" TargetMode="External"/><Relationship Id="rId7" Type="http://schemas.openxmlformats.org/officeDocument/2006/relationships/hyperlink" Target="https://doi.org/10.1016/j.biocon.2018.02.016" TargetMode="External"/><Relationship Id="rId8" Type="http://schemas.openxmlformats.org/officeDocument/2006/relationships/hyperlink" Target="https://doi.org/10.1007/s10344-019-12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