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Examples for the use of EU support for damage prevention</w:t>
      </w:r>
    </w:p>
    <w:p w:rsidR="00000000" w:rsidDel="00000000" w:rsidP="00000000" w:rsidRDefault="00000000" w:rsidRPr="00000000" w14:paraId="00000002">
      <w:pPr>
        <w:jc w:val="center"/>
        <w:rPr>
          <w:rFonts w:ascii="Times New Roman" w:cs="Times New Roman" w:eastAsia="Times New Roman" w:hAnsi="Times New Roman"/>
          <w:color w:val="999999"/>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1.1</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modified </w:t>
      </w:r>
      <w:r w:rsidDel="00000000" w:rsidR="00000000" w:rsidRPr="00000000">
        <w:rPr>
          <w:rFonts w:ascii="Times New Roman" w:cs="Times New Roman" w:eastAsia="Times New Roman" w:hAnsi="Times New Roman"/>
          <w:rtl w:val="0"/>
        </w:rPr>
        <w:t xml:space="preserve">Feb 17, 2022</w:t>
      </w:r>
      <w:r w:rsidDel="00000000" w:rsidR="00000000" w:rsidRPr="00000000">
        <w:rPr>
          <w:rFonts w:ascii="Times New Roman" w:cs="Times New Roman" w:eastAsia="Times New Roman" w:hAnsi="Times New Roman"/>
          <w:rtl w:val="0"/>
        </w:rPr>
        <w:t xml:space="preserve"> (see version history)</w:t>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rtl w:val="0"/>
        </w:rPr>
        <w:t xml:space="preserve">Original author: Eva-Maria Cattoen, LechtAlps</w:t>
      </w:r>
      <w:r w:rsidDel="00000000" w:rsidR="00000000" w:rsidRPr="00000000">
        <w:rPr>
          <w:rtl w:val="0"/>
        </w:rPr>
      </w:r>
    </w:p>
    <w:p w:rsidR="00000000" w:rsidDel="00000000" w:rsidP="00000000" w:rsidRDefault="00000000" w:rsidRPr="00000000" w14:paraId="00000006">
      <w:pPr>
        <w:pStyle w:val="Heading1"/>
        <w:rPr>
          <w:rFonts w:ascii="Times New Roman" w:cs="Times New Roman" w:eastAsia="Times New Roman" w:hAnsi="Times New Roman"/>
        </w:rPr>
      </w:pPr>
      <w:bookmarkStart w:colFirst="0" w:colLast="0" w:name="_30j0zll" w:id="1"/>
      <w:bookmarkEnd w:id="1"/>
      <w:r w:rsidDel="00000000" w:rsidR="00000000" w:rsidRPr="00000000">
        <w:rPr>
          <w:rFonts w:ascii="Times New Roman" w:cs="Times New Roman" w:eastAsia="Times New Roman" w:hAnsi="Times New Roman"/>
          <w:rtl w:val="0"/>
        </w:rPr>
        <w:t xml:space="preserve">Background</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2000, the European Member States can employ EU funding of the Rural Development Programme (RDP) to financially support livestock protection measures (e.g. electric fencing, livestock guarding dogs, shepherding, etc.). The RDP is part of the Common Agriculture Policy (CAP) of the European Union.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Marsden et al. (2020)</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show that so far only some countries in the European Union (e. g. Italy, Spain, Slovenia, Bulgaria, France, Greece, etc.) use the Rural Development Programme for Human–Carnivore coexistence measures, although the number has increased from 7 member states in the period from 2007 to 2013 to 12 Member States in the period from 2014 to 2020.</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regions, including Auvergne/Rhône Alpes (France) since 2004 and Trentino (Italy) since 2016, use EU support for co-financing several damage prevention measures in their regions (see case studies below). Other regions, including all the German states, however, decided to use only national funds for damage prevention measures instead of allocating RDP support.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coming budgetary period of the new CAP (2023–2027) the Member States will continue to have the opportunity to apply for EU support for the main damage prevention measures within their RDPs. An additional element in CAP is the so-called Ecoschemes under the direct payments budget, which could be used to provide additional support for breeders (e.g. for shepherding by funding salaries for nomadic herders or for extensive grazing management by supporting fencing and night-enclosure systems)</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pStyle w:val="Heading3"/>
        <w:rPr>
          <w:rFonts w:ascii="Times New Roman" w:cs="Times New Roman" w:eastAsia="Times New Roman" w:hAnsi="Times New Roman"/>
        </w:rPr>
      </w:pPr>
      <w:bookmarkStart w:colFirst="0" w:colLast="0" w:name="_teww86kdrt1p" w:id="2"/>
      <w:bookmarkEnd w:id="2"/>
      <w:r w:rsidDel="00000000" w:rsidR="00000000" w:rsidRPr="00000000">
        <w:rPr>
          <w:rFonts w:ascii="Times New Roman" w:cs="Times New Roman" w:eastAsia="Times New Roman" w:hAnsi="Times New Roman"/>
          <w:rtl w:val="0"/>
        </w:rPr>
        <w:t xml:space="preserve">Case study 1: supporting damage prevention measures in Trentino region</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Trentino region is an autonomous province in northern Italy, where wolves (about 20 packs) and bears (about 100 in 2020) are present. The provincial administration supports shepherding on Alpine pastures and therefore </w:t>
      </w:r>
      <w:r w:rsidDel="00000000" w:rsidR="00000000" w:rsidRPr="00000000">
        <w:rPr>
          <w:rFonts w:ascii="Times New Roman" w:cs="Times New Roman" w:eastAsia="Times New Roman" w:hAnsi="Times New Roman"/>
          <w:rtl w:val="0"/>
        </w:rPr>
        <w:t xml:space="preserve">helped the farmers and shepherds. They deployed their forestry personnel </w:t>
      </w:r>
      <w:r w:rsidDel="00000000" w:rsidR="00000000" w:rsidRPr="00000000">
        <w:rPr>
          <w:rFonts w:ascii="Times New Roman" w:cs="Times New Roman" w:eastAsia="Times New Roman" w:hAnsi="Times New Roman"/>
          <w:rtl w:val="0"/>
        </w:rPr>
        <w:t xml:space="preserve">(about 20 officers) in the area with the adoption of appropriate damage prevention systems, along with fair compensation measures and constant dialogue. This work is seen as fundamental to guarantee coexistence between large carnivores and Alpine pasture tradition.</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Province has reimbursed up to the 100% of the material value of damages caused by bears since 1976 (and lynx and wolf since 2011). Prevention tools (mostly electric fences or livestock guarding dogs) are supported by the provincial government. In addition to provincial financing, the Rural Development Programme has been used for co-financing other costs since 2016. For example, the RDP </w:t>
      </w:r>
      <w:r w:rsidDel="00000000" w:rsidR="00000000" w:rsidRPr="00000000">
        <w:rPr>
          <w:rFonts w:ascii="Times New Roman" w:cs="Times New Roman" w:eastAsia="Times New Roman" w:hAnsi="Times New Roman"/>
          <w:rtl w:val="0"/>
        </w:rPr>
        <w:t xml:space="preserve">sub-measure 4.4.2</w:t>
      </w:r>
      <w:r w:rsidDel="00000000" w:rsidR="00000000" w:rsidRPr="00000000">
        <w:rPr>
          <w:rFonts w:ascii="Times New Roman" w:cs="Times New Roman" w:eastAsia="Times New Roman" w:hAnsi="Times New Roman"/>
          <w:rtl w:val="0"/>
        </w:rPr>
        <w:t xml:space="preserve"> “Traditional fences in wood, restoration of stone walls and prevention of damage by wolves and bears” is used to fund fixed structures to protect beehives with electrification systems for damage prevention. About 4 million euros have been invested in the Trentino region in the last years in these measures – about 17% came from the region and 83% from the RDP (40% Italian state contribution to the RDP and 43% EU contribution).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Farmers and shepherds get advice and support from the administration to choose and set up the most appropriate protection measures. In case of further questions, </w:t>
      </w: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rtl w:val="0"/>
        </w:rPr>
        <w:t xml:space="preserve">support service responds to requests for help from land managers to ensure that any problems in putting the measures in place are dealt with quickly.</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combination of provincial and national funding with RDP </w:t>
      </w:r>
      <w:r w:rsidDel="00000000" w:rsidR="00000000" w:rsidRPr="00000000">
        <w:rPr>
          <w:rFonts w:ascii="Times New Roman" w:cs="Times New Roman" w:eastAsia="Times New Roman" w:hAnsi="Times New Roman"/>
          <w:rtl w:val="0"/>
        </w:rPr>
        <w:t xml:space="preserve">support has been regarded as effective. It increased the funds</w:t>
      </w:r>
      <w:r w:rsidDel="00000000" w:rsidR="00000000" w:rsidRPr="00000000">
        <w:rPr>
          <w:rFonts w:ascii="Times New Roman" w:cs="Times New Roman" w:eastAsia="Times New Roman" w:hAnsi="Times New Roman"/>
          <w:rtl w:val="0"/>
        </w:rPr>
        <w:t xml:space="preserve"> available to support the high workload. Smaller-scale, shorter-term protection systems such as mobile electric fences (e.g. for single shepherds) and the provision of livestock guarding dogs </w:t>
      </w:r>
      <w:r w:rsidDel="00000000" w:rsidR="00000000" w:rsidRPr="00000000">
        <w:rPr>
          <w:rFonts w:ascii="Times New Roman" w:cs="Times New Roman" w:eastAsia="Times New Roman" w:hAnsi="Times New Roman"/>
          <w:rtl w:val="0"/>
        </w:rPr>
        <w:t xml:space="preserve">are primarily supported </w:t>
      </w:r>
      <w:r w:rsidDel="00000000" w:rsidR="00000000" w:rsidRPr="00000000">
        <w:rPr>
          <w:rFonts w:ascii="Times New Roman" w:cs="Times New Roman" w:eastAsia="Times New Roman" w:hAnsi="Times New Roman"/>
          <w:rtl w:val="0"/>
        </w:rPr>
        <w:t xml:space="preserve">by provincial funding. More expensive, larger-scale and longer-term systems are supported by the RDP, e.g. setting up traditional wood fencing combined with electric fences. In addition to material costs, EU funding can also be used to support the time invested by livestock breeders or external companies to set up the necessary infrastructure.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About 5–7 people in the forest service administer the funds, including filling in the applications and organising the payments, among other things. The application for RDP funding is relatively </w:t>
      </w:r>
      <w:r w:rsidDel="00000000" w:rsidR="00000000" w:rsidRPr="00000000">
        <w:rPr>
          <w:rFonts w:ascii="Times New Roman" w:cs="Times New Roman" w:eastAsia="Times New Roman" w:hAnsi="Times New Roman"/>
          <w:rtl w:val="0"/>
        </w:rPr>
        <w:t xml:space="preserve">easy as applications are processed via the forest service; </w:t>
      </w:r>
      <w:r w:rsidDel="00000000" w:rsidR="00000000" w:rsidRPr="00000000">
        <w:rPr>
          <w:rFonts w:ascii="Times New Roman" w:cs="Times New Roman" w:eastAsia="Times New Roman" w:hAnsi="Times New Roman"/>
          <w:rtl w:val="0"/>
        </w:rPr>
        <w:t xml:space="preserve">the management of the payments is more work, which means it is only time- and cost-efficient for large-scale measures.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Heading3"/>
        <w:rPr>
          <w:rFonts w:ascii="Times New Roman" w:cs="Times New Roman" w:eastAsia="Times New Roman" w:hAnsi="Times New Roman"/>
        </w:rPr>
      </w:pPr>
      <w:bookmarkStart w:colFirst="0" w:colLast="0" w:name="_ictvzd5zaow2" w:id="3"/>
      <w:bookmarkEnd w:id="3"/>
      <w:r w:rsidDel="00000000" w:rsidR="00000000" w:rsidRPr="00000000">
        <w:rPr>
          <w:rFonts w:ascii="Times New Roman" w:cs="Times New Roman" w:eastAsia="Times New Roman" w:hAnsi="Times New Roman"/>
          <w:rtl w:val="0"/>
        </w:rPr>
        <w:t xml:space="preserve">Case study 2: two pillars of financing damage prevention in Slovenia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Slovenia national funds are used to co-finance equipment for electric fences (80% co-financing) for damage </w:t>
      </w:r>
      <w:r w:rsidDel="00000000" w:rsidR="00000000" w:rsidRPr="00000000">
        <w:rPr>
          <w:rFonts w:ascii="Times New Roman" w:cs="Times New Roman" w:eastAsia="Times New Roman" w:hAnsi="Times New Roman"/>
          <w:rtl w:val="0"/>
        </w:rPr>
        <w:t xml:space="preserve">prevention</w:t>
      </w:r>
      <w:r w:rsidDel="00000000" w:rsidR="00000000" w:rsidRPr="00000000">
        <w:rPr>
          <w:rFonts w:ascii="Times New Roman" w:cs="Times New Roman" w:eastAsia="Times New Roman" w:hAnsi="Times New Roman"/>
          <w:rtl w:val="0"/>
        </w:rPr>
        <w:t xml:space="preserve"> on livestock. The Slovenian Forest Service (SFS) also carries out</w:t>
      </w:r>
      <w:r w:rsidDel="00000000" w:rsidR="00000000" w:rsidRPr="00000000">
        <w:rPr>
          <w:rFonts w:ascii="Times New Roman" w:cs="Times New Roman" w:eastAsia="Times New Roman" w:hAnsi="Times New Roman"/>
          <w:rtl w:val="0"/>
        </w:rPr>
        <w:t xml:space="preserve"> the damage evaluation </w:t>
      </w:r>
      <w:r w:rsidDel="00000000" w:rsidR="00000000" w:rsidRPr="00000000">
        <w:rPr>
          <w:rFonts w:ascii="Times New Roman" w:cs="Times New Roman" w:eastAsia="Times New Roman" w:hAnsi="Times New Roman"/>
          <w:rtl w:val="0"/>
        </w:rPr>
        <w:t xml:space="preserve">and is responsible for field controls of implemented measures.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Rural Development Programme (2014–2020) has been used for co-financing the additional workload (e.g. for setting up </w:t>
      </w:r>
      <w:r w:rsidDel="00000000" w:rsidR="00000000" w:rsidRPr="00000000">
        <w:rPr>
          <w:rFonts w:ascii="Times New Roman" w:cs="Times New Roman" w:eastAsia="Times New Roman" w:hAnsi="Times New Roman"/>
          <w:rtl w:val="0"/>
        </w:rPr>
        <w:t xml:space="preserve">night </w:t>
      </w:r>
      <w:r w:rsidDel="00000000" w:rsidR="00000000" w:rsidRPr="00000000">
        <w:rPr>
          <w:rFonts w:ascii="Times New Roman" w:cs="Times New Roman" w:eastAsia="Times New Roman" w:hAnsi="Times New Roman"/>
          <w:rtl w:val="0"/>
        </w:rPr>
        <w:t xml:space="preserve">enclosures, using livestock guarding dogs and paying shepherds). Different financial sources are used, the equipment and work needed can be subsidised, regular monitoring of the implementation of the measures is ensured and it allows the testing of different approaches for damage prevention.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bookmarkStart w:colFirst="0" w:colLast="0" w:name="_1fob9te" w:id="4"/>
      <w:bookmarkEnd w:id="4"/>
      <w:r w:rsidDel="00000000" w:rsidR="00000000" w:rsidRPr="00000000">
        <w:rPr>
          <w:rFonts w:ascii="Times New Roman" w:cs="Times New Roman" w:eastAsia="Times New Roman" w:hAnsi="Times New Roman"/>
          <w:rtl w:val="0"/>
        </w:rPr>
        <w:t xml:space="preserve">To provide all the information about funding opportunities and application regulations for damage prevention measures in a clear and easily understandable way, the Slovenian Forest Service has set up the online portal SAFE GRAZING. On this portal, the farmers can find all the information about human property protection against protected species.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Style w:val="Heading3"/>
        <w:rPr>
          <w:rFonts w:ascii="Times New Roman" w:cs="Times New Roman" w:eastAsia="Times New Roman" w:hAnsi="Times New Roman"/>
        </w:rPr>
      </w:pPr>
      <w:bookmarkStart w:colFirst="0" w:colLast="0" w:name="_j27pl3rywfhp" w:id="5"/>
      <w:bookmarkEnd w:id="5"/>
      <w:r w:rsidDel="00000000" w:rsidR="00000000" w:rsidRPr="00000000">
        <w:rPr>
          <w:rFonts w:ascii="Times New Roman" w:cs="Times New Roman" w:eastAsia="Times New Roman" w:hAnsi="Times New Roman"/>
          <w:rtl w:val="0"/>
        </w:rPr>
        <w:t xml:space="preserve">Case study 3: broad use of the RDP for damage prevention measures in the French Alps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French Alps in the RDP from 2007 to 2014, different sub-measures (7.6 and 10.1) were used to co-finance various prevention measures. About 29.58 million euros (15.5 million euros from the RDP) were invested in a broad spectrum of measures in 2020, e.g. in vulnerability analysis (100% funded; see Topic 12: investigating damages hotspots), shepherding (80% funded), livestock guarding dogs (80% funded), electric fenced sheep parks (80% funded) and technical advice for these and other prevention measures (100% funded).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measures were available for a broad group of stakeholders – farmers, pastoral associations, groups of shepherds, local collectives, unions and associations of livestock breeders. The measures were provided to those who work in core areas of the wolf population, as well as the areas with dispersing wolves.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RDP sub-measure 10.1, special support for agro-pastoral activities (e.g. reinforced shepherding of the herds carried out by the breeder, herder or by an employee; use of herd protection dogs) in the context of predation risks can be financed. This support can only be mobilised in combination with RDP </w:t>
      </w:r>
      <w:r w:rsidDel="00000000" w:rsidR="00000000" w:rsidRPr="00000000">
        <w:rPr>
          <w:rFonts w:ascii="Times New Roman" w:cs="Times New Roman" w:eastAsia="Times New Roman" w:hAnsi="Times New Roman"/>
          <w:rtl w:val="0"/>
        </w:rPr>
        <w:t xml:space="preserve">sub-measure 7.6</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In all cases, the beneficiary agrees to record the movements of the herd in a pasture log. If beneficiaries choose to use livestock guarding dogs, they are responsible for keeping the dogs in good health (identification, vaccination and physiological state) and they need to ensure the presence of the guarding dogs near the flock. In addition, quality monitoring of other measures such as fencing is crucial, because their effectiveness is only assured if they are set up in an appropriate way. Experience shows that providing funds efficiently needs to go hand in hand with the monitoring of their application to ensure functionality. </w:t>
      </w:r>
    </w:p>
    <w:p w:rsidR="00000000" w:rsidDel="00000000" w:rsidP="00000000" w:rsidRDefault="00000000" w:rsidRPr="00000000" w14:paraId="0000001F">
      <w:pPr>
        <w:pStyle w:val="Heading2"/>
        <w:rPr>
          <w:rFonts w:ascii="Times New Roman" w:cs="Times New Roman" w:eastAsia="Times New Roman" w:hAnsi="Times New Roman"/>
        </w:rPr>
      </w:pPr>
      <w:bookmarkStart w:colFirst="0" w:colLast="0" w:name="_5pxizzf6btj4" w:id="6"/>
      <w:bookmarkEnd w:id="6"/>
      <w:r w:rsidDel="00000000" w:rsidR="00000000" w:rsidRPr="00000000">
        <w:rPr>
          <w:rFonts w:ascii="Times New Roman" w:cs="Times New Roman" w:eastAsia="Times New Roman" w:hAnsi="Times New Roman"/>
          <w:rtl w:val="0"/>
        </w:rPr>
        <w:t xml:space="preserve">Contacts </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Provincia autonoma di Trento, Giovanni Giovannini - </w:t>
      </w:r>
      <w:hyperlink r:id="rId7">
        <w:r w:rsidDel="00000000" w:rsidR="00000000" w:rsidRPr="00000000">
          <w:rPr>
            <w:rFonts w:ascii="Times New Roman" w:cs="Times New Roman" w:eastAsia="Times New Roman" w:hAnsi="Times New Roman"/>
            <w:color w:val="1155cc"/>
            <w:u w:val="single"/>
            <w:rtl w:val="0"/>
          </w:rPr>
          <w:t xml:space="preserve">giovanni.giovannini@provincia.tn.it</w:t>
        </w:r>
      </w:hyperlink>
      <w:r w:rsidDel="00000000" w:rsidR="00000000" w:rsidRPr="00000000">
        <w:rPr>
          <w:rFonts w:ascii="Times New Roman" w:cs="Times New Roman" w:eastAsia="Times New Roman" w:hAnsi="Times New Roman"/>
          <w:rtl w:val="0"/>
        </w:rPr>
        <w:t xml:space="preserve">,  Valentino Gottardi - </w:t>
      </w:r>
      <w:hyperlink r:id="rId8">
        <w:r w:rsidDel="00000000" w:rsidR="00000000" w:rsidRPr="00000000">
          <w:rPr>
            <w:rFonts w:ascii="Times New Roman" w:cs="Times New Roman" w:eastAsia="Times New Roman" w:hAnsi="Times New Roman"/>
            <w:color w:val="1155cc"/>
            <w:u w:val="single"/>
            <w:rtl w:val="0"/>
          </w:rPr>
          <w:t xml:space="preserve">valentino.gottardi@provincia.tn.it</w:t>
        </w:r>
      </w:hyperlink>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DRAAF Auvergne Rhône-Alpes, Matthieu Metral - </w:t>
      </w:r>
      <w:hyperlink r:id="rId9">
        <w:r w:rsidDel="00000000" w:rsidR="00000000" w:rsidRPr="00000000">
          <w:rPr>
            <w:rFonts w:ascii="Times New Roman" w:cs="Times New Roman" w:eastAsia="Times New Roman" w:hAnsi="Times New Roman"/>
            <w:color w:val="1155cc"/>
            <w:u w:val="single"/>
            <w:rtl w:val="0"/>
          </w:rPr>
          <w:t xml:space="preserve">mathieu.metral@agriculture.gouv.fr</w:t>
        </w:r>
      </w:hyperlink>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Slovenian Forest Service, Tomaz Berce - </w:t>
      </w:r>
      <w:hyperlink r:id="rId10">
        <w:r w:rsidDel="00000000" w:rsidR="00000000" w:rsidRPr="00000000">
          <w:rPr>
            <w:rFonts w:ascii="Times New Roman" w:cs="Times New Roman" w:eastAsia="Times New Roman" w:hAnsi="Times New Roman"/>
            <w:color w:val="1155cc"/>
            <w:u w:val="single"/>
            <w:rtl w:val="0"/>
          </w:rPr>
          <w:t xml:space="preserve">tomaz.berce@zgs.si</w:t>
        </w:r>
      </w:hyperlink>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 Large Carnivore Platform Secretariat, Katrina Marsden - </w:t>
      </w:r>
      <w:hyperlink r:id="rId11">
        <w:r w:rsidDel="00000000" w:rsidR="00000000" w:rsidRPr="00000000">
          <w:rPr>
            <w:rFonts w:ascii="Times New Roman" w:cs="Times New Roman" w:eastAsia="Times New Roman" w:hAnsi="Times New Roman"/>
            <w:color w:val="1155cc"/>
            <w:u w:val="single"/>
            <w:rtl w:val="0"/>
          </w:rPr>
          <w:t xml:space="preserve">lcplatform@adelphi.de</w:t>
        </w:r>
      </w:hyperlink>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pStyle w:val="Heading2"/>
        <w:rPr>
          <w:rFonts w:ascii="Times New Roman" w:cs="Times New Roman" w:eastAsia="Times New Roman" w:hAnsi="Times New Roman"/>
        </w:rPr>
      </w:pPr>
      <w:bookmarkStart w:colFirst="0" w:colLast="0" w:name="_qyyyymv32wqg" w:id="7"/>
      <w:bookmarkEnd w:id="7"/>
      <w:r w:rsidDel="00000000" w:rsidR="00000000" w:rsidRPr="00000000">
        <w:rPr>
          <w:rFonts w:ascii="Times New Roman" w:cs="Times New Roman" w:eastAsia="Times New Roman" w:hAnsi="Times New Roman"/>
          <w:rtl w:val="0"/>
        </w:rPr>
        <w:t xml:space="preserve">Links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carnivore reports - Trentino region: </w:t>
      </w:r>
    </w:p>
    <w:p w:rsidR="00000000" w:rsidDel="00000000" w:rsidP="00000000" w:rsidRDefault="00000000" w:rsidRPr="00000000" w14:paraId="0000002A">
      <w:pPr>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https://grandicarnivori.provincia.tn.it/Large-Carnivores-Report</w:t>
        </w:r>
      </w:hyperlink>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 Rural Development Policy and the management of conflictual species: The case of large carnivores</w:t>
      </w:r>
    </w:p>
    <w:p w:rsidR="00000000" w:rsidDel="00000000" w:rsidP="00000000" w:rsidRDefault="00000000" w:rsidRPr="00000000" w14:paraId="0000002D">
      <w:pPr>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https://www.researchgate.net/publication/339446765_EU_Rural_Development_Policy_and_the_management_of_conflictual_species_The_case_of_large_carnivores</w:t>
        </w:r>
      </w:hyperlink>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GRAZING platform, Slovenia</w:t>
      </w:r>
    </w:p>
    <w:p w:rsidR="00000000" w:rsidDel="00000000" w:rsidP="00000000" w:rsidRDefault="00000000" w:rsidRPr="00000000" w14:paraId="00000030">
      <w:pPr>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https://www.varna-pasa.si/en/</w:t>
        </w:r>
      </w:hyperlink>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EAFRD subsidies - example</w:t>
      </w:r>
    </w:p>
    <w:p w:rsidR="00000000" w:rsidDel="00000000" w:rsidP="00000000" w:rsidRDefault="00000000" w:rsidRPr="00000000" w14:paraId="00000033">
      <w:pPr>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https://ec.europa.eu/environment/nature/conservation/species/carnivores/pdf/96_LC%20Platform-case%20studies%20and%20RD.pdf</w:t>
        </w:r>
      </w:hyperlink>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Briefing note July 2021: Common Agricultural Policy (CAP) reform and large carnivore coexistence measures</w:t>
      </w:r>
    </w:p>
    <w:p w:rsidR="00000000" w:rsidDel="00000000" w:rsidP="00000000" w:rsidRDefault="00000000" w:rsidRPr="00000000" w14:paraId="00000036">
      <w:pPr>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1155cc"/>
            <w:u w:val="single"/>
            <w:rtl w:val="0"/>
          </w:rPr>
          <w:t xml:space="preserve">https://ec.europa.eu/environment/nature/conservation/species/carnivores/pdf/EU_Platform_CAP_and_large_carnivores_July21.pdf</w:t>
        </w:r>
      </w:hyperlink>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Rural Development Support for Coexistence</w:t>
      </w:r>
    </w:p>
    <w:p w:rsidR="00000000" w:rsidDel="00000000" w:rsidP="00000000" w:rsidRDefault="00000000" w:rsidRPr="00000000" w14:paraId="00000039">
      <w:pPr>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https://ec.europa.eu/environment/nature/conservation/species/carnivores/case_studies_sub_rural_development_programmes.htm</w:t>
        </w:r>
      </w:hyperlink>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 Platform on Coexistence between People and Large Carnivores</w:t>
      </w:r>
    </w:p>
    <w:p w:rsidR="00000000" w:rsidDel="00000000" w:rsidP="00000000" w:rsidRDefault="00000000" w:rsidRPr="00000000" w14:paraId="0000003C">
      <w:pPr>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https://ec.europa.eu/environment/nature/conservation/species/carnivores/coexistence_platform.htm</w:t>
        </w:r>
      </w:hyperlink>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sectPr>
      <w:headerReference r:id="rId19" w:type="default"/>
      <w:foot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Marsden, K. &amp; Hovardas, T. (2020): EU Rural Development Policy and the management of conflictual species: The case of large carnivores. </w:t>
      </w:r>
      <w:hyperlink r:id="rId1">
        <w:r w:rsidDel="00000000" w:rsidR="00000000" w:rsidRPr="00000000">
          <w:rPr>
            <w:sz w:val="20"/>
            <w:szCs w:val="20"/>
            <w:rtl w:val="0"/>
          </w:rPr>
          <w:t xml:space="preserve">Biological Conservation</w:t>
        </w:r>
      </w:hyperlink>
      <w:r w:rsidDel="00000000" w:rsidR="00000000" w:rsidRPr="00000000">
        <w:rPr>
          <w:sz w:val="20"/>
          <w:szCs w:val="20"/>
          <w:rtl w:val="0"/>
        </w:rPr>
        <w:t xml:space="preserve"> 243 </w:t>
      </w:r>
    </w:p>
    <w:p w:rsidR="00000000" w:rsidDel="00000000" w:rsidP="00000000" w:rsidRDefault="00000000" w:rsidRPr="00000000" w14:paraId="0000003F">
      <w:pPr>
        <w:spacing w:line="240" w:lineRule="auto"/>
        <w:rPr>
          <w:sz w:val="20"/>
          <w:szCs w:val="20"/>
        </w:rPr>
      </w:pPr>
      <w:r w:rsidDel="00000000" w:rsidR="00000000" w:rsidRPr="00000000">
        <w:rPr>
          <w:rtl w:val="0"/>
        </w:rPr>
      </w:r>
    </w:p>
  </w:footnote>
  <w:footnote w:id="1">
    <w:p w:rsidR="00000000" w:rsidDel="00000000" w:rsidP="00000000" w:rsidRDefault="00000000" w:rsidRPr="00000000" w14:paraId="0000004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Marsden, K. (2021): Briefing note: Common Agricultural Policy (CAP) reform and large carnivore coexistence measures. EU Large Carnivore Platform Secretariat</w:t>
      </w:r>
    </w:p>
  </w:footnote>
  <w:footnote w:id="2">
    <w:p w:rsidR="00000000" w:rsidDel="00000000" w:rsidP="00000000" w:rsidRDefault="00000000" w:rsidRPr="00000000" w14:paraId="00000041">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see </w:t>
      </w:r>
      <w:hyperlink r:id="rId2">
        <w:r w:rsidDel="00000000" w:rsidR="00000000" w:rsidRPr="00000000">
          <w:rPr>
            <w:color w:val="1155cc"/>
            <w:sz w:val="18"/>
            <w:szCs w:val="18"/>
            <w:u w:val="single"/>
            <w:rtl w:val="0"/>
          </w:rPr>
          <w:t xml:space="preserve">https://ec.europa.eu/environment/nature/conservation/species/carnivores/pdf/EU_Platform_CAP_and_large_carnivores_July21.pdf</w:t>
        </w:r>
      </w:hyperlink>
      <w:r w:rsidDel="00000000" w:rsidR="00000000" w:rsidRPr="00000000">
        <w:rPr>
          <w:sz w:val="18"/>
          <w:szCs w:val="18"/>
          <w:rtl w:val="0"/>
        </w:rPr>
        <w:t xml:space="preserve"> for more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mailto:lcplatform@adelphi.de" TargetMode="External"/><Relationship Id="rId10" Type="http://schemas.openxmlformats.org/officeDocument/2006/relationships/hyperlink" Target="mailto:tomaz.berce@zgs.si" TargetMode="External"/><Relationship Id="rId13" Type="http://schemas.openxmlformats.org/officeDocument/2006/relationships/hyperlink" Target="https://www.researchgate.net/publication/339446765_EU_Rural_Development_Policy_and_the_management_of_conflictual_species_The_case_of_large_carnivores" TargetMode="External"/><Relationship Id="rId12" Type="http://schemas.openxmlformats.org/officeDocument/2006/relationships/hyperlink" Target="https://grandicarnivori.provincia.tn.it/Large-Carnivores-Repo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mathieu.metral@agriculture.gouv.fr" TargetMode="External"/><Relationship Id="rId15" Type="http://schemas.openxmlformats.org/officeDocument/2006/relationships/hyperlink" Target="https://ec.europa.eu/environment/nature/conservation/species/carnivores/pdf/96_LC%20Platform-case%20studies%20and%20RD.pdf" TargetMode="External"/><Relationship Id="rId14" Type="http://schemas.openxmlformats.org/officeDocument/2006/relationships/hyperlink" Target="https://www.varna-pasa.si/en/" TargetMode="External"/><Relationship Id="rId17" Type="http://schemas.openxmlformats.org/officeDocument/2006/relationships/hyperlink" Target="https://ec.europa.eu/environment/nature/conservation/species/carnivores/case_studies_sub_rural_development_programmes.htm" TargetMode="External"/><Relationship Id="rId16" Type="http://schemas.openxmlformats.org/officeDocument/2006/relationships/hyperlink" Target="https://ec.europa.eu/environment/nature/conservation/species/carnivores/pdf/EU_Platform_CAP_and_large_carnivores_July21.pdf" TargetMode="External"/><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hyperlink" Target="https://ec.europa.eu/environment/nature/conservation/species/carnivores/coexistence_platform.htm" TargetMode="External"/><Relationship Id="rId7" Type="http://schemas.openxmlformats.org/officeDocument/2006/relationships/hyperlink" Target="mailto:giovanni.giovannini@provincia.tn.it" TargetMode="External"/><Relationship Id="rId8" Type="http://schemas.openxmlformats.org/officeDocument/2006/relationships/hyperlink" Target="mailto:valentino.gottardi@provincia.tn.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researchgate.net/journal/Biological-Conservation-0006-3207" TargetMode="External"/><Relationship Id="rId2" Type="http://schemas.openxmlformats.org/officeDocument/2006/relationships/hyperlink" Target="https://ec.europa.eu/environment/nature/conservation/species/carnivores/pdf/EU_Platform_CAP_and_large_carnivores_July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