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tabs>
          <w:tab w:pos="5669" w:val="left"/>
        </w:tabs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</w:r>
      <w:r w:rsidRPr="00D10747"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pPr>
        <w:tabs>
          <w:tab w:pos="5669" w:val="left"/>
        </w:tabs>
      </w:pPr>
      <w:r>
        <w:rPr>
          <w:rFonts w:ascii="TH SarabunPSK" w:hAnsi="TH SarabunPSK" w:cs="TH SarabunPSK"/>
        </w:rPr>
        <w:tab/>
      </w:r>
      <w:proofErr w:type="spellStart"/>
      <w:proofErr w:type="gramStart"/>
      <w:r>
        <w:rPr>
          <w:rFonts w:ascii="TH SarabunIT๙" w:eastAsia="TH SarabunIT๙" w:hAnsi="TH SarabunIT๙" w:cs="TH SarabunIT๙"/>
        </w:rPr>
        <w:t>จังหวัด{province}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>
        <w:rPr>
          <w:rFonts w:ascii="TH SarabunIT๙" w:hAnsi="TH SarabunIT๙"/>
        </w:rPr>
        <w:t>{signer_rank}</w:t>
      </w: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 {signer_rank}{signer_name}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