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斯诺德建卡与成长规则确认问卷</w:t>
      </w:r>
    </w:p>
    <w:p>
      <w:pPr>
        <w:snapToGrid w:val="0"/>
      </w:pPr>
      <w:r>
        <w:t>T05筛选版 v10    2026年10月4日</w:t>
      </w:r>
    </w:p>
    <w:p>
      <w:pPr>
        <w:snapToGrid w:val="0"/>
      </w:pPr>
      <w:r>
        <w:t>请集中确认F45至F59共15项建卡与成长细则。已确认的初始一阶、普通武器熟练去重和上一轮战斗算例不重复询问。每题可直接写结论；如有例外，请注明适用条件。一切以DM临场裁定为准。</w:t>
      </w:r>
    </w:p>
    <w:p>
      <w:pPr>
        <w:snapToGrid w:val="0"/>
      </w:pPr>
      <w:r>
        <w:t>主持人：________________    回复日期：________________</w:t>
      </w:r>
    </w:p>
    <w:p>
      <w:pPr>
        <w:snapToGrid w:val="0"/>
      </w:pPr>
      <w:r>
        <w:t>依据以《冒险者基础规则.xlsx》为主。body[n]为DOCX正文XML元素序号（从0计），不是页码。问卷中的算例只用于明确边界，尚未认定为现行结论。</w:t>
      </w:r>
    </w:p>
    <w:p>
      <w:pPr>
        <w:pStyle w:val="Heading1"/>
        <w:snapToGrid w:val="0"/>
      </w:pPr>
      <w:r>
        <w:t>建卡基础与职业首级</w:t>
      </w:r>
    </w:p>
    <w:p>
      <w:pPr>
        <w:pStyle w:val="Heading2"/>
        <w:snapToGrid w:val="0"/>
      </w:pPr>
      <w:r>
        <w:t>F45 建卡属性费用的现行依据</w:t>
      </w:r>
    </w:p>
    <w:p>
      <w:pPr>
        <w:keepNext/>
        <w:snapToGrid w:val="0"/>
      </w:pPr>
      <w:r>
        <w:rPr>
          <w:color w:val="555555"/>
          <w:sz w:val="18"/>
        </w:rPr>
        <w:t>依据：旧版规则书 body[143–145、188]；现行创建流程仅列职业、种族、背景。</w:t>
      </w:r>
    </w:p>
    <w:p>
      <w:pPr>
        <w:keepNext/>
        <w:snapToGrid w:val="0"/>
      </w:pPr>
      <w:r>
        <w:t>现行建卡是否继续采用32点费用、八项属性从8起、每项最多花9点？费用表为8/9/10/11/12/13/14/15对应0/1/2/3/4/5/7/9，最后再加种族加成。如已替换，请给现行表。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2"/>
        <w:snapToGrid w:val="0"/>
      </w:pPr>
      <w:r>
        <w:t>F46 初始熟练加成的重复与上限</w:t>
      </w:r>
    </w:p>
    <w:p>
      <w:pPr>
        <w:keepNext/>
        <w:snapToGrid w:val="0"/>
      </w:pPr>
      <w:r>
        <w:rPr>
          <w:color w:val="555555"/>
          <w:sz w:val="18"/>
        </w:rPr>
        <w:t>依据：创建流程 NO.1!M20；法师 body[61–62]；背景表“法师学徒”!C6；升级规则!I4。</w:t>
      </w:r>
    </w:p>
    <w:p>
      <w:pPr>
        <w:keepNext/>
        <w:snapToGrid w:val="0"/>
      </w:pPr>
      <w:r>
        <w:t>1级法师把技巧、奥法学者和法师学徒背景提供的奥秘都选到“魔法学识”时，能否累计到3，突破1级熟练上限2？背景写“奥秘”时，是选一个奥秘子项，还是给予整个类别？这里问基础技艺熟练，不涉及已确认的普通武器熟练去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2"/>
        <w:snapToGrid w:val="0"/>
      </w:pPr>
      <w:r>
        <w:t>F47 获得子职业1级时的完整收益</w:t>
      </w:r>
    </w:p>
    <w:p>
      <w:pPr>
        <w:keepNext/>
        <w:snapToGrid w:val="0"/>
      </w:pPr>
      <w:r>
        <w:rPr>
          <w:color w:val="555555"/>
          <w:sz w:val="18"/>
        </w:rPr>
        <w:t>依据：升级规则!B31、F33、G33；法师 body[6–11、13–17、57–77]。</w:t>
      </w:r>
    </w:p>
    <w:p>
      <w:pPr>
        <w:keepNext/>
        <w:snapToGrid w:val="0"/>
      </w:pPr>
      <w:r>
        <w:t>已有主职业的角色兼职法师1级，体质调整+2、智力调整+3：生命新增0、4（升级量）还是10（首级量）？疲劳新增0、1还是15？同时是否完整获得法师熟练、初始专长和四项起始选择？若与主职业重复，请注明处理方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1"/>
        <w:pageBreakBefore/>
        <w:snapToGrid w:val="0"/>
      </w:pPr>
      <w:r>
        <w:t>属性成长与学习资源</w:t>
      </w:r>
    </w:p>
    <w:p>
      <w:pPr>
        <w:pStyle w:val="Heading2"/>
        <w:snapToGrid w:val="0"/>
      </w:pPr>
      <w:r>
        <w:t>F48 体质变化是否追溯生命成长</w:t>
      </w:r>
    </w:p>
    <w:p>
      <w:pPr>
        <w:keepNext/>
        <w:snapToGrid w:val="0"/>
      </w:pPr>
      <w:r>
        <w:rPr>
          <w:color w:val="555555"/>
          <w:sz w:val="18"/>
        </w:rPr>
        <w:t>依据：战士 body[7–8]；现有 character_stats.js:11 按当前体质重算。</w:t>
      </w:r>
    </w:p>
    <w:p>
      <w:pPr>
        <w:keepNext/>
        <w:snapToGrid w:val="0"/>
      </w:pPr>
      <w:r>
        <w:t>忽略种族背景与其他加成，7级战士体质14时最大生命为48。体质永久提升到16、暂未升级，最大生命是否立刻变55（7级都重算），还是只变化首级/以后升级的收益？临时体质增加是否同样改变最大生命？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2"/>
        <w:snapToGrid w:val="0"/>
      </w:pPr>
      <w:r>
        <w:t>F49 色彩标识怎样满足学习要求</w:t>
      </w:r>
    </w:p>
    <w:p>
      <w:pPr>
        <w:keepNext/>
        <w:snapToGrid w:val="0"/>
      </w:pPr>
      <w:r>
        <w:rPr>
          <w:color w:val="555555"/>
          <w:sz w:val="18"/>
        </w:rPr>
        <w:t>依据：技能点和色彩标识规则!C3、B8、C22。</w:t>
      </w:r>
    </w:p>
    <w:p>
      <w:pPr>
        <w:keepNext/>
        <w:snapToGrid w:val="0"/>
      </w:pPr>
      <w:r>
        <w:t>具体场景：技能标识要求红、蓝、蓝；本场只有红、蓝两种标识及2个技能点。是否可以花1点学会，且红蓝标识保留给下一次学习？若缺蓝，能否用多余技能点代替，或必须获得自由色彩标识等明确效果？请说明重复颜色是否需要数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2"/>
        <w:snapToGrid w:val="0"/>
      </w:pPr>
      <w:r>
        <w:t>F50 奇械师第三第四风格的额外费用</w:t>
      </w:r>
    </w:p>
    <w:p>
      <w:pPr>
        <w:keepNext/>
        <w:snapToGrid w:val="0"/>
      </w:pPr>
      <w:r>
        <w:rPr>
          <w:color w:val="555555"/>
          <w:sz w:val="18"/>
        </w:rPr>
        <w:t>依据：奇械师 body[54]；特殊专长 body[563–564]；主规则学习每项1技能点。</w:t>
      </w:r>
    </w:p>
    <w:p>
      <w:pPr>
        <w:keepNext/>
        <w:snapToGrid w:val="0"/>
      </w:pPr>
      <w:r>
        <w:t>奇械师学习第三风格的一项能力，满足该能力全部标识，手上有2技能点及该风格颜色。原文要求“额外支付一个对应颜色的技能点”：现行应付2个普通技能点，还是另有颜色资源？这笔额外费用对该风格每项能力都收，还是仅首次进入风格时收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1"/>
        <w:pageBreakBefore/>
        <w:snapToGrid w:val="0"/>
      </w:pPr>
      <w:r>
        <w:t>职业数量与栏位</w:t>
      </w:r>
    </w:p>
    <w:p>
      <w:pPr>
        <w:pStyle w:val="Heading2"/>
        <w:snapToGrid w:val="0"/>
      </w:pPr>
      <w:r>
        <w:t>F51 技能点储存上限的职业和进阶计数</w:t>
      </w:r>
    </w:p>
    <w:p>
      <w:pPr>
        <w:keepNext/>
        <w:snapToGrid w:val="0"/>
      </w:pPr>
      <w:r>
        <w:rPr>
          <w:color w:val="555555"/>
          <w:sz w:val="18"/>
        </w:rPr>
        <w:t>依据：技能点和色彩标识规则!C4–C5；升级规则!I31。</w:t>
      </w:r>
    </w:p>
    <w:p>
      <w:pPr>
        <w:keepNext/>
        <w:snapToGrid w:val="0"/>
      </w:pPr>
      <w:r>
        <w:t>主职业、子职业各一个，另有两个同名附赠职业记录，主副都已进阶：储存上限是4+1=5，还是4+2=6，或其他？多个同名附赠职业记录是否允许？同职业视作不同数量是否包括主副同名的实际职业记录？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2"/>
        <w:snapToGrid w:val="0"/>
      </w:pPr>
      <w:r>
        <w:t>F52 初始及跨来源授予的占栏规则</w:t>
      </w:r>
    </w:p>
    <w:p>
      <w:pPr>
        <w:keepNext/>
        <w:snapToGrid w:val="0"/>
      </w:pPr>
      <w:r>
        <w:rPr>
          <w:color w:val="555555"/>
          <w:sz w:val="18"/>
        </w:rPr>
        <w:t>依据：战士 body[62–85]；法师学徒背景!C15；特殊专长 body[137–144]。</w:t>
      </w:r>
    </w:p>
    <w:p>
      <w:pPr>
        <w:keepNext/>
        <w:snapToGrid w:val="0"/>
      </w:pPr>
      <w:r>
        <w:t>请分别说明是否占栏、占哪类栏：①战士专精中的回气；②建卡起始技能冲锋；③法师起始天赋预知梦；④背景法师学徒的戏法；⑤战技专家/魔法专家免费得到的技能。已确认初始技能与天赋为一阶；这里仅确认“免费获得”和“占栏”的关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2"/>
        <w:snapToGrid w:val="0"/>
      </w:pPr>
      <w:r>
        <w:t>F53 每阶五项天赋的共享范围</w:t>
      </w:r>
    </w:p>
    <w:p>
      <w:pPr>
        <w:keepNext/>
        <w:snapToGrid w:val="0"/>
      </w:pPr>
      <w:r>
        <w:rPr>
          <w:color w:val="555555"/>
          <w:sz w:val="18"/>
        </w:rPr>
        <w:t>依据：关键词规则!C5；牧师 body[106]只明确与领域共享风格上限。</w:t>
      </w:r>
    </w:p>
    <w:p>
      <w:pPr>
        <w:keepNext/>
        <w:snapToGrid w:val="0"/>
      </w:pPr>
      <w:r>
        <w:t>角色已有5项主职业二阶天赋，还能学子职业二阶天赋或通用二阶天赋吗？每阶5栏是全角色共用，还是按职业分别计算？同一牧师的通用职业树与领域树是否共用这5栏？请明确通用天赋放入子职业时占哪个池。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1"/>
        <w:pageBreakBefore/>
        <w:snapToGrid w:val="0"/>
      </w:pPr>
      <w:r>
        <w:t>领域与风格</w:t>
      </w:r>
    </w:p>
    <w:p>
      <w:pPr>
        <w:pStyle w:val="Heading2"/>
        <w:snapToGrid w:val="0"/>
      </w:pPr>
      <w:r>
        <w:t>F54 牧师领域的开启与成长笔误</w:t>
      </w:r>
    </w:p>
    <w:p>
      <w:pPr>
        <w:keepNext/>
        <w:snapToGrid w:val="0"/>
      </w:pPr>
      <w:r>
        <w:rPr>
          <w:color w:val="555555"/>
          <w:sz w:val="18"/>
        </w:rPr>
        <w:t>依据：牧师 body[63]；领域文件各阶开启条款；公正与荣耀之神 body[35、37]。</w:t>
      </w:r>
    </w:p>
    <w:p>
      <w:pPr>
        <w:keepNext/>
        <w:snapToGrid w:val="0"/>
      </w:pPr>
      <w:r>
        <w:t>主职业牧师已付费开启三阶时，其所选领域三阶是否同时开启，还是另付一次费用？子职业牧师是否按自身等级自动开领域对应阶？另请核对公正领域的审判3级、圣光出鞘12级仍写“圣骑士职业等级”：应改为牧师等级吗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2"/>
        <w:snapToGrid w:val="0"/>
      </w:pPr>
      <w:r>
        <w:t>F55 战斗风格顺位的计算方式</w:t>
      </w:r>
    </w:p>
    <w:p>
      <w:pPr>
        <w:keepNext/>
        <w:snapToGrid w:val="0"/>
      </w:pPr>
      <w:r>
        <w:rPr>
          <w:color w:val="555555"/>
          <w:sz w:val="18"/>
        </w:rPr>
        <w:t>依据：各职业风格通则；其他规则!B63、H75；通用树 body[218]。</w:t>
      </w:r>
    </w:p>
    <w:p>
      <w:pPr>
        <w:keepNext/>
        <w:snapToGrid w:val="0"/>
      </w:pPr>
      <w:r>
        <w:t>先学防护1项，后学斗争2项，第一风格是哪一个：最先学习的防护、数量更多的斗争，还是玩家声明？数量相同如何定序？建卡起始、战斗心得授予的起始、跨职业专家授予分别是否计入，并归哪一个职业的顺位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2"/>
        <w:snapToGrid w:val="0"/>
      </w:pPr>
      <w:r>
        <w:t>F56 兼职兼容表的判读与疑似错字</w:t>
      </w:r>
    </w:p>
    <w:p>
      <w:pPr>
        <w:keepNext/>
        <w:snapToGrid w:val="0"/>
      </w:pPr>
      <w:r>
        <w:rPr>
          <w:color w:val="555555"/>
          <w:sz w:val="18"/>
        </w:rPr>
        <w:t>依据：兼职规则!W7、U9、L18；兼职条件.png与较旧谋士版图片。</w:t>
      </w:r>
    </w:p>
    <w:p>
      <w:pPr>
        <w:keepNext/>
        <w:snapToGrid w:val="0"/>
      </w:pPr>
      <w:r>
        <w:t>兼职兼容性应查“目标子职业那一行”，还是必须主副双方互相列出？例如游荡者行的谋士位置U9为空，但谋士行L18列了游荡者，能否游荡者兼职谋士？另，牧师行W7位于战舞者一列却仍写“牧师”，应修正为允许战舞者，还是禁止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1"/>
        <w:pageBreakBefore/>
        <w:snapToGrid w:val="0"/>
      </w:pPr>
      <w:r>
        <w:t>跨职业获取与进阶</w:t>
      </w:r>
    </w:p>
    <w:p>
      <w:pPr>
        <w:pStyle w:val="Heading2"/>
        <w:snapToGrid w:val="0"/>
      </w:pPr>
      <w:r>
        <w:t>F57 镜子大师的成长和学习限制</w:t>
      </w:r>
    </w:p>
    <w:p>
      <w:pPr>
        <w:keepNext/>
        <w:snapToGrid w:val="0"/>
      </w:pPr>
      <w:r>
        <w:rPr>
          <w:color w:val="555555"/>
          <w:sz w:val="18"/>
        </w:rPr>
        <w:t>依据：特殊专长 body[437–440]；法师 body[70]；战技/魔法专家明确改随主职业成长。</w:t>
      </w:r>
    </w:p>
    <w:p>
      <w:pPr>
        <w:keepNext/>
        <w:snapToGrid w:val="0"/>
      </w:pPr>
      <w:r>
        <w:t>主职业游荡者8级、无自己的法师职业，通过镜子大师学队友法师的魔法飞弹。其6/9级成长按自己的主职业、队友法师等级，还是不成长？忽略前置与额外条件是否也免除色彩标识？若本人另有法师且对立该学派，“无法通过任何方式获得”是否仍阻止这种获取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2"/>
        <w:snapToGrid w:val="0"/>
      </w:pPr>
      <w:r>
        <w:t>F58 进阶与原职业等级的关系</w:t>
      </w:r>
    </w:p>
    <w:p>
      <w:pPr>
        <w:keepNext/>
        <w:snapToGrid w:val="0"/>
      </w:pPr>
      <w:r>
        <w:rPr>
          <w:color w:val="555555"/>
          <w:sz w:val="18"/>
        </w:rPr>
        <w:t>依据：升级规则!G9、G16；基础职业进阶途径；已公布进阶职业 body[2–10]。</w:t>
      </w:r>
    </w:p>
    <w:p>
      <w:pPr>
        <w:keepNext/>
        <w:snapToGrid w:val="0"/>
      </w:pPr>
      <w:r>
        <w:t>战士7级完成斗士进阶后，是“战士7级+斗士进阶”，还是职业替换并另起等级？后续升级费用、生命与技能成长按哪个职业/等级？“开启三条进阶途径”是DM提供三条候选还是玩家任选三条，同一个基础职业最终可完成几种进阶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p>
      <w:pPr>
        <w:pStyle w:val="Heading2"/>
        <w:snapToGrid w:val="0"/>
      </w:pPr>
      <w:r>
        <w:t>F59 遗忘的返还及同名能力边界</w:t>
      </w:r>
    </w:p>
    <w:p>
      <w:pPr>
        <w:keepNext/>
        <w:snapToGrid w:val="0"/>
      </w:pPr>
      <w:r>
        <w:rPr>
          <w:color w:val="555555"/>
          <w:sz w:val="18"/>
        </w:rPr>
        <w:t>依据：其他规则!H75；用户F09同名可有不同职业阶位；旧代码取消学习返还技能点。</w:t>
      </w:r>
    </w:p>
    <w:p>
      <w:pPr>
        <w:keepNext/>
        <w:snapToGrid w:val="0"/>
      </w:pPr>
      <w:r>
        <w:t>正式删除一个已学能力时，是否返还技能点？原文“无法再通过任何方式重新习得”的禁令只针对该职业来源的条目，还是连其他职业的同名条目也禁止？另，未遗忘时能否同时学习两种来源的同名能力；如能，升级/效果/占栏分别如何处理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9751"/>
      </w:tblGrid>
      <w:tr>
        <w:trPr>
          <w:cantSplit/>
        </w:trPr>
        <w:tc>
          <w:tcPr>
            <w:tcW w:type="dxa" w:w="9751"/>
            <w:shd w:fill="F7F9FB"/>
          </w:tcPr>
          <w:p>
            <w:pPr>
              <w:keepNext w:val="0"/>
              <w:spacing w:after="40"/>
              <w:snapToGrid w:val="0"/>
            </w:pPr>
            <w:r>
              <w:t>答复：________________________________________________________________</w:t>
            </w:r>
          </w:p>
          <w:p>
            <w:pPr>
              <w:keepNext w:val="0"/>
              <w:spacing w:after="40"/>
              <w:snapToGrid w:val="0"/>
            </w:pPr>
            <w:r>
              <w:t>______________________________________________________________________</w:t>
            </w:r>
          </w:p>
        </w:tc>
      </w:tr>
    </w:tbl>
    <w:p>
      <w:pPr>
        <w:spacing w:after="60" w:line="60" w:lineRule="exact"/>
        <w:snapToGrid w:val="0"/>
      </w:pP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20" w:after="100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斯诺德建卡与成长规则确认问卷 T05筛选版 v10</dc:title>
  <dc:subject>F45至F59集中确认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