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AWS and Azure Cloud Pricing Comparison Report</w:t>
      </w:r>
    </w:p>
    <w:p>
      <w:pPr>
        <w:jc w:val="center"/>
      </w:pPr>
      <w:r>
        <w:rPr>
          <w:b w:val="0"/>
          <w:sz w:val="24"/>
        </w:rPr>
        <w:t>Small Web Application Hosting Cost Evaluation</w:t>
      </w:r>
    </w:p>
    <w:p/>
    <w:p>
      <w:pPr>
        <w:pStyle w:val="Heading1"/>
      </w:pPr>
      <w:r>
        <w:t>1. Introduction</w:t>
      </w:r>
    </w:p>
    <w:p>
      <w:r>
        <w:t>This report compares the estimated monthly cost of hosting a small web application on Amazon Web Services (AWS) and Microsoft Azure. The comparison covers compute, storage, networking costs, cloud discount mechanisms, and cost optimization strategies.</w:t>
      </w:r>
    </w:p>
    <w:p>
      <w:pPr>
        <w:pStyle w:val="Heading1"/>
      </w:pPr>
      <w:r>
        <w:t>2. Application Specifications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Component</w:t>
            </w:r>
          </w:p>
        </w:tc>
        <w:tc>
          <w:tcPr>
            <w:tcW w:type="dxa" w:w="5040"/>
            <w:shd w:fill="D9EAF7"/>
          </w:tcPr>
          <w:p>
            <w:r>
              <w:t>Specification</w:t>
            </w:r>
          </w:p>
        </w:tc>
      </w:tr>
      <w:tr>
        <w:tc>
          <w:tcPr>
            <w:tcW w:type="dxa" w:w="5040"/>
          </w:tcPr>
          <w:p>
            <w:r>
              <w:t>Application type</w:t>
            </w:r>
          </w:p>
        </w:tc>
        <w:tc>
          <w:tcPr>
            <w:tcW w:type="dxa" w:w="5040"/>
          </w:tcPr>
          <w:p>
            <w:r>
              <w:t>Small web application</w:t>
            </w:r>
          </w:p>
        </w:tc>
      </w:tr>
      <w:tr>
        <w:tc>
          <w:tcPr>
            <w:tcW w:type="dxa" w:w="5040"/>
          </w:tcPr>
          <w:p>
            <w:r>
              <w:t>Compute</w:t>
            </w:r>
          </w:p>
        </w:tc>
        <w:tc>
          <w:tcPr>
            <w:tcW w:type="dxa" w:w="5040"/>
          </w:tcPr>
          <w:p>
            <w:r>
              <w:t>1 virtual machine</w:t>
            </w:r>
          </w:p>
        </w:tc>
      </w:tr>
      <w:tr>
        <w:tc>
          <w:tcPr>
            <w:tcW w:type="dxa" w:w="5040"/>
          </w:tcPr>
          <w:p>
            <w:r>
              <w:t>CPU</w:t>
            </w:r>
          </w:p>
        </w:tc>
        <w:tc>
          <w:tcPr>
            <w:tcW w:type="dxa" w:w="5040"/>
          </w:tcPr>
          <w:p>
            <w:r>
              <w:t>2 vCPU</w:t>
            </w:r>
          </w:p>
        </w:tc>
      </w:tr>
      <w:tr>
        <w:tc>
          <w:tcPr>
            <w:tcW w:type="dxa" w:w="5040"/>
          </w:tcPr>
          <w:p>
            <w:r>
              <w:t>Memory</w:t>
            </w:r>
          </w:p>
        </w:tc>
        <w:tc>
          <w:tcPr>
            <w:tcW w:type="dxa" w:w="5040"/>
          </w:tcPr>
          <w:p>
            <w:r>
              <w:t>4 GB RAM</w:t>
            </w:r>
          </w:p>
        </w:tc>
      </w:tr>
      <w:tr>
        <w:tc>
          <w:tcPr>
            <w:tcW w:type="dxa" w:w="5040"/>
          </w:tcPr>
          <w:p>
            <w:r>
              <w:t>VM storage</w:t>
            </w:r>
          </w:p>
        </w:tc>
        <w:tc>
          <w:tcPr>
            <w:tcW w:type="dxa" w:w="5040"/>
          </w:tcPr>
          <w:p>
            <w:r>
              <w:t>50 GB</w:t>
            </w:r>
          </w:p>
        </w:tc>
      </w:tr>
      <w:tr>
        <w:tc>
          <w:tcPr>
            <w:tcW w:type="dxa" w:w="5040"/>
          </w:tcPr>
          <w:p>
            <w:r>
              <w:t>Object storage</w:t>
            </w:r>
          </w:p>
        </w:tc>
        <w:tc>
          <w:tcPr>
            <w:tcW w:type="dxa" w:w="5040"/>
          </w:tcPr>
          <w:p>
            <w:r>
              <w:t>100 GB</w:t>
            </w:r>
          </w:p>
        </w:tc>
      </w:tr>
      <w:tr>
        <w:tc>
          <w:tcPr>
            <w:tcW w:type="dxa" w:w="5040"/>
          </w:tcPr>
          <w:p>
            <w:r>
              <w:t>Monthly data transfer</w:t>
            </w:r>
          </w:p>
        </w:tc>
        <w:tc>
          <w:tcPr>
            <w:tcW w:type="dxa" w:w="5040"/>
          </w:tcPr>
          <w:p>
            <w:r>
              <w:t>100 GB outbound</w:t>
            </w:r>
          </w:p>
        </w:tc>
      </w:tr>
      <w:tr>
        <w:tc>
          <w:tcPr>
            <w:tcW w:type="dxa" w:w="5040"/>
          </w:tcPr>
          <w:p>
            <w:r>
              <w:t>Deployment</w:t>
            </w:r>
          </w:p>
        </w:tc>
        <w:tc>
          <w:tcPr>
            <w:tcW w:type="dxa" w:w="5040"/>
          </w:tcPr>
          <w:p>
            <w:r>
              <w:t>Single availability zone</w:t>
            </w:r>
          </w:p>
        </w:tc>
      </w:tr>
    </w:tbl>
    <w:p>
      <w:pPr>
        <w:pStyle w:val="Heading1"/>
      </w:pPr>
      <w:r>
        <w:t>3. AWS Monthly Cost Estimate</w:t>
      </w:r>
    </w:p>
    <w:p>
      <w:r>
        <w:t>The AWS Pricing Calculator estimate includes Amazon EC2 for compute and Amazon S3 Standard for object storage.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AWS Service</w:t>
            </w:r>
          </w:p>
        </w:tc>
        <w:tc>
          <w:tcPr>
            <w:tcW w:type="dxa" w:w="3360"/>
            <w:shd w:fill="D9EAF7"/>
          </w:tcPr>
          <w:p>
            <w:r>
              <w:t>Description</w:t>
            </w:r>
          </w:p>
        </w:tc>
        <w:tc>
          <w:tcPr>
            <w:tcW w:type="dxa" w:w="3360"/>
            <w:shd w:fill="D9EAF7"/>
          </w:tcPr>
          <w:p>
            <w:r>
              <w:t>Monthly Cost</w:t>
            </w:r>
          </w:p>
        </w:tc>
      </w:tr>
      <w:tr>
        <w:tc>
          <w:tcPr>
            <w:tcW w:type="dxa" w:w="3360"/>
          </w:tcPr>
          <w:p>
            <w:r>
              <w:t>Amazon EC2</w:t>
            </w:r>
          </w:p>
        </w:tc>
        <w:tc>
          <w:tcPr>
            <w:tcW w:type="dxa" w:w="3360"/>
          </w:tcPr>
          <w:p>
            <w:r>
              <w:t>Linux t3.medium compute estimate</w:t>
            </w:r>
          </w:p>
        </w:tc>
        <w:tc>
          <w:tcPr>
            <w:tcW w:type="dxa" w:w="3360"/>
          </w:tcPr>
          <w:p>
            <w:r>
              <w:t>$15.04</w:t>
            </w:r>
          </w:p>
        </w:tc>
      </w:tr>
      <w:tr>
        <w:tc>
          <w:tcPr>
            <w:tcW w:type="dxa" w:w="3360"/>
          </w:tcPr>
          <w:p>
            <w:r>
              <w:t>Amazon S3</w:t>
            </w:r>
          </w:p>
        </w:tc>
        <w:tc>
          <w:tcPr>
            <w:tcW w:type="dxa" w:w="3360"/>
          </w:tcPr>
          <w:p>
            <w:r>
              <w:t>100 GB S3 Standard storage estimate</w:t>
            </w:r>
          </w:p>
        </w:tc>
        <w:tc>
          <w:tcPr>
            <w:tcW w:type="dxa" w:w="3360"/>
          </w:tcPr>
          <w:p>
            <w:r>
              <w:t>$2.30</w:t>
            </w:r>
          </w:p>
        </w:tc>
      </w:tr>
      <w:tr>
        <w:tc>
          <w:tcPr>
            <w:tcW w:type="dxa" w:w="3360"/>
          </w:tcPr>
          <w:p>
            <w:r>
              <w:t>Total</w:t>
            </w:r>
          </w:p>
        </w:tc>
        <w:tc>
          <w:tcPr>
            <w:tcW w:type="dxa" w:w="3360"/>
          </w:tcPr>
          <w:p>
            <w:r>
              <w:t>AWS estimated monthly cost</w:t>
            </w:r>
          </w:p>
        </w:tc>
        <w:tc>
          <w:tcPr>
            <w:tcW w:type="dxa" w:w="3360"/>
          </w:tcPr>
          <w:p>
            <w:r>
              <w:t>$17.34</w:t>
            </w:r>
          </w:p>
        </w:tc>
      </w:tr>
    </w:tbl>
    <w:p>
      <w:r>
        <w:rPr>
          <w:i/>
        </w:rPr>
        <w:t>Figure 1: AWS EC2 estimate</w:t>
      </w:r>
    </w:p>
    <w:p>
      <w:r>
        <w:drawing>
          <wp:inline xmlns:a="http://schemas.openxmlformats.org/drawingml/2006/main" xmlns:pic="http://schemas.openxmlformats.org/drawingml/2006/picture">
            <wp:extent cx="5852160" cy="2857500"/>
            <wp:docPr id="1" name="Picture 1"/>
            <wp:cNvGraphicFramePr>
              <a:graphicFrameLocks noChangeAspect="1"/>
            </wp:cNvGraphicFramePr>
            <a:graphic>
              <a:graphicData uri="http://schemas.openxmlformats.org/drawingml/2006/picture">
                <pic:pic>
                  <pic:nvPicPr>
                    <pic:cNvPr id="0" name="IMG-20260628-WA0002.jpg"/>
                    <pic:cNvPicPr/>
                  </pic:nvPicPr>
                  <pic:blipFill>
                    <a:blip r:embed="rId9"/>
                    <a:stretch>
                      <a:fillRect/>
                    </a:stretch>
                  </pic:blipFill>
                  <pic:spPr>
                    <a:xfrm>
                      <a:off x="0" y="0"/>
                      <a:ext cx="5852160" cy="2857500"/>
                    </a:xfrm>
                    <a:prstGeom prst="rect"/>
                  </pic:spPr>
                </pic:pic>
              </a:graphicData>
            </a:graphic>
          </wp:inline>
        </w:drawing>
      </w:r>
    </w:p>
    <w:p>
      <w:r>
        <w:rPr>
          <w:i/>
        </w:rPr>
        <w:t>Figure 2: AWS S3 storage estimate</w:t>
      </w:r>
    </w:p>
    <w:p>
      <w:r>
        <w:drawing>
          <wp:inline xmlns:a="http://schemas.openxmlformats.org/drawingml/2006/main" xmlns:pic="http://schemas.openxmlformats.org/drawingml/2006/picture">
            <wp:extent cx="5852160" cy="2617470"/>
            <wp:docPr id="2" name="Picture 2"/>
            <wp:cNvGraphicFramePr>
              <a:graphicFrameLocks noChangeAspect="1"/>
            </wp:cNvGraphicFramePr>
            <a:graphic>
              <a:graphicData uri="http://schemas.openxmlformats.org/drawingml/2006/picture">
                <pic:pic>
                  <pic:nvPicPr>
                    <pic:cNvPr id="0" name="IMG-20260628-WA0001.jpg"/>
                    <pic:cNvPicPr/>
                  </pic:nvPicPr>
                  <pic:blipFill>
                    <a:blip r:embed="rId10"/>
                    <a:stretch>
                      <a:fillRect/>
                    </a:stretch>
                  </pic:blipFill>
                  <pic:spPr>
                    <a:xfrm>
                      <a:off x="0" y="0"/>
                      <a:ext cx="5852160" cy="2617470"/>
                    </a:xfrm>
                    <a:prstGeom prst="rect"/>
                  </pic:spPr>
                </pic:pic>
              </a:graphicData>
            </a:graphic>
          </wp:inline>
        </w:drawing>
      </w:r>
    </w:p>
    <w:p>
      <w:r>
        <w:rPr>
          <w:i/>
        </w:rPr>
        <w:t>Figure 3: AWS total estimate</w:t>
      </w:r>
    </w:p>
    <w:p>
      <w:r>
        <w:drawing>
          <wp:inline xmlns:a="http://schemas.openxmlformats.org/drawingml/2006/main" xmlns:pic="http://schemas.openxmlformats.org/drawingml/2006/picture">
            <wp:extent cx="5852160" cy="2926080"/>
            <wp:docPr id="3" name="Picture 3"/>
            <wp:cNvGraphicFramePr>
              <a:graphicFrameLocks noChangeAspect="1"/>
            </wp:cNvGraphicFramePr>
            <a:graphic>
              <a:graphicData uri="http://schemas.openxmlformats.org/drawingml/2006/picture">
                <pic:pic>
                  <pic:nvPicPr>
                    <pic:cNvPr id="0" name="IMG-20260628-WA0003.jpg"/>
                    <pic:cNvPicPr/>
                  </pic:nvPicPr>
                  <pic:blipFill>
                    <a:blip r:embed="rId11"/>
                    <a:stretch>
                      <a:fillRect/>
                    </a:stretch>
                  </pic:blipFill>
                  <pic:spPr>
                    <a:xfrm>
                      <a:off x="0" y="0"/>
                      <a:ext cx="5852160" cy="2926080"/>
                    </a:xfrm>
                    <a:prstGeom prst="rect"/>
                  </pic:spPr>
                </pic:pic>
              </a:graphicData>
            </a:graphic>
          </wp:inline>
        </w:drawing>
      </w:r>
    </w:p>
    <w:p>
      <w:pPr>
        <w:pStyle w:val="Heading1"/>
      </w:pPr>
      <w:r>
        <w:t>4. Azure Monthly Cost Estimate</w:t>
      </w:r>
    </w:p>
    <w:p>
      <w:r>
        <w:t>The Azure Pricing Calculator estimate includes Azure Virtual Machines and Azure Blob Storage. Both Linux and Windows scenarios were considered.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Azure Scenario</w:t>
            </w:r>
          </w:p>
        </w:tc>
        <w:tc>
          <w:tcPr>
            <w:tcW w:type="dxa" w:w="3360"/>
            <w:shd w:fill="D9EAF7"/>
          </w:tcPr>
          <w:p>
            <w:r>
              <w:t>Description</w:t>
            </w:r>
          </w:p>
        </w:tc>
        <w:tc>
          <w:tcPr>
            <w:tcW w:type="dxa" w:w="3360"/>
            <w:shd w:fill="D9EAF7"/>
          </w:tcPr>
          <w:p>
            <w:r>
              <w:t>Monthly Cost</w:t>
            </w:r>
          </w:p>
        </w:tc>
      </w:tr>
      <w:tr>
        <w:tc>
          <w:tcPr>
            <w:tcW w:type="dxa" w:w="3360"/>
          </w:tcPr>
          <w:p>
            <w:r>
              <w:t>Linux VM + Storage</w:t>
            </w:r>
          </w:p>
        </w:tc>
        <w:tc>
          <w:tcPr>
            <w:tcW w:type="dxa" w:w="3360"/>
          </w:tcPr>
          <w:p>
            <w:r>
              <w:t>B2ls v2, 2 vCPU, 4 GB RAM, 100 GB storage</w:t>
            </w:r>
          </w:p>
        </w:tc>
        <w:tc>
          <w:tcPr>
            <w:tcW w:type="dxa" w:w="3360"/>
          </w:tcPr>
          <w:p>
            <w:r>
              <w:t>$42.76</w:t>
            </w:r>
          </w:p>
        </w:tc>
      </w:tr>
      <w:tr>
        <w:tc>
          <w:tcPr>
            <w:tcW w:type="dxa" w:w="3360"/>
          </w:tcPr>
          <w:p>
            <w:r>
              <w:t>Windows VM + Storage</w:t>
            </w:r>
          </w:p>
        </w:tc>
        <w:tc>
          <w:tcPr>
            <w:tcW w:type="dxa" w:w="3360"/>
          </w:tcPr>
          <w:p>
            <w:r>
              <w:t>B2ls v2, Windows license included, 100 GB storage</w:t>
            </w:r>
          </w:p>
        </w:tc>
        <w:tc>
          <w:tcPr>
            <w:tcW w:type="dxa" w:w="3360"/>
          </w:tcPr>
          <w:p>
            <w:r>
              <w:t>$49.48</w:t>
            </w:r>
          </w:p>
        </w:tc>
      </w:tr>
    </w:tbl>
    <w:p>
      <w:r>
        <w:rPr>
          <w:i/>
        </w:rPr>
        <w:t>Figure 4: Azure Linux estimate</w:t>
      </w:r>
    </w:p>
    <w:p>
      <w:r>
        <w:drawing>
          <wp:inline xmlns:a="http://schemas.openxmlformats.org/drawingml/2006/main" xmlns:pic="http://schemas.openxmlformats.org/drawingml/2006/picture">
            <wp:extent cx="5852160" cy="2346960"/>
            <wp:docPr id="4" name="Picture 4"/>
            <wp:cNvGraphicFramePr>
              <a:graphicFrameLocks noChangeAspect="1"/>
            </wp:cNvGraphicFramePr>
            <a:graphic>
              <a:graphicData uri="http://schemas.openxmlformats.org/drawingml/2006/picture">
                <pic:pic>
                  <pic:nvPicPr>
                    <pic:cNvPr id="0" name="IMG-20260628-WA0004.jpg"/>
                    <pic:cNvPicPr/>
                  </pic:nvPicPr>
                  <pic:blipFill>
                    <a:blip r:embed="rId12"/>
                    <a:stretch>
                      <a:fillRect/>
                    </a:stretch>
                  </pic:blipFill>
                  <pic:spPr>
                    <a:xfrm>
                      <a:off x="0" y="0"/>
                      <a:ext cx="5852160" cy="2346960"/>
                    </a:xfrm>
                    <a:prstGeom prst="rect"/>
                  </pic:spPr>
                </pic:pic>
              </a:graphicData>
            </a:graphic>
          </wp:inline>
        </w:drawing>
      </w:r>
    </w:p>
    <w:p>
      <w:r>
        <w:rPr>
          <w:i/>
        </w:rPr>
        <w:t>Figure 5: Azure Windows estimate</w:t>
      </w:r>
    </w:p>
    <w:p>
      <w:r>
        <w:drawing>
          <wp:inline xmlns:a="http://schemas.openxmlformats.org/drawingml/2006/main" xmlns:pic="http://schemas.openxmlformats.org/drawingml/2006/picture">
            <wp:extent cx="5852160" cy="2278380"/>
            <wp:docPr id="5" name="Picture 5"/>
            <wp:cNvGraphicFramePr>
              <a:graphicFrameLocks noChangeAspect="1"/>
            </wp:cNvGraphicFramePr>
            <a:graphic>
              <a:graphicData uri="http://schemas.openxmlformats.org/drawingml/2006/picture">
                <pic:pic>
                  <pic:nvPicPr>
                    <pic:cNvPr id="0" name="IMG-20260628-WA0005.jpg"/>
                    <pic:cNvPicPr/>
                  </pic:nvPicPr>
                  <pic:blipFill>
                    <a:blip r:embed="rId13"/>
                    <a:stretch>
                      <a:fillRect/>
                    </a:stretch>
                  </pic:blipFill>
                  <pic:spPr>
                    <a:xfrm>
                      <a:off x="0" y="0"/>
                      <a:ext cx="5852160" cy="2278380"/>
                    </a:xfrm>
                    <a:prstGeom prst="rect"/>
                  </pic:spPr>
                </pic:pic>
              </a:graphicData>
            </a:graphic>
          </wp:inline>
        </w:drawing>
      </w:r>
    </w:p>
    <w:p>
      <w:pPr>
        <w:pStyle w:val="Heading1"/>
      </w:pPr>
      <w:r>
        <w:t>5. Networking Cost Comparison</w:t>
      </w:r>
    </w:p>
    <w:p>
      <w:r>
        <w:t>Both AWS and Azure charge for inter-zone data transfer. AWS shows approximately $0.01 per GB in each direction across Availability Zones, while Azure shows approximately $0.01 per GB for inter-zone data transfer. Since this deployment uses a single availability zone, inter-zone transfer costs are expected to be minimal.</w:t>
      </w:r>
    </w:p>
    <w:p>
      <w:r>
        <w:rPr>
          <w:i/>
        </w:rPr>
        <w:t>Figure 6: AWS inter-zone transfer note</w:t>
      </w:r>
    </w:p>
    <w:p>
      <w:r>
        <w:drawing>
          <wp:inline xmlns:a="http://schemas.openxmlformats.org/drawingml/2006/main" xmlns:pic="http://schemas.openxmlformats.org/drawingml/2006/picture">
            <wp:extent cx="5852160" cy="1318260"/>
            <wp:docPr id="6" name="Picture 6"/>
            <wp:cNvGraphicFramePr>
              <a:graphicFrameLocks noChangeAspect="1"/>
            </wp:cNvGraphicFramePr>
            <a:graphic>
              <a:graphicData uri="http://schemas.openxmlformats.org/drawingml/2006/picture">
                <pic:pic>
                  <pic:nvPicPr>
                    <pic:cNvPr id="0" name="IMG-20260628-WA0009.jpg"/>
                    <pic:cNvPicPr/>
                  </pic:nvPicPr>
                  <pic:blipFill>
                    <a:blip r:embed="rId14"/>
                    <a:stretch>
                      <a:fillRect/>
                    </a:stretch>
                  </pic:blipFill>
                  <pic:spPr>
                    <a:xfrm>
                      <a:off x="0" y="0"/>
                      <a:ext cx="5852160" cy="1318260"/>
                    </a:xfrm>
                    <a:prstGeom prst="rect"/>
                  </pic:spPr>
                </pic:pic>
              </a:graphicData>
            </a:graphic>
          </wp:inline>
        </w:drawing>
      </w:r>
    </w:p>
    <w:p>
      <w:r>
        <w:rPr>
          <w:i/>
        </w:rPr>
        <w:t>Figure 7: Azure inter-zone transfer note</w:t>
      </w:r>
    </w:p>
    <w:p>
      <w:r>
        <w:drawing>
          <wp:inline xmlns:a="http://schemas.openxmlformats.org/drawingml/2006/main" xmlns:pic="http://schemas.openxmlformats.org/drawingml/2006/picture">
            <wp:extent cx="5852160" cy="788670"/>
            <wp:docPr id="7" name="Picture 7"/>
            <wp:cNvGraphicFramePr>
              <a:graphicFrameLocks noChangeAspect="1"/>
            </wp:cNvGraphicFramePr>
            <a:graphic>
              <a:graphicData uri="http://schemas.openxmlformats.org/drawingml/2006/picture">
                <pic:pic>
                  <pic:nvPicPr>
                    <pic:cNvPr id="0" name="IMG-20260628-WA0008.jpg"/>
                    <pic:cNvPicPr/>
                  </pic:nvPicPr>
                  <pic:blipFill>
                    <a:blip r:embed="rId15"/>
                    <a:stretch>
                      <a:fillRect/>
                    </a:stretch>
                  </pic:blipFill>
                  <pic:spPr>
                    <a:xfrm>
                      <a:off x="0" y="0"/>
                      <a:ext cx="5852160" cy="788670"/>
                    </a:xfrm>
                    <a:prstGeom prst="rect"/>
                  </pic:spPr>
                </pic:pic>
              </a:graphicData>
            </a:graphic>
          </wp:inline>
        </w:drawing>
      </w:r>
    </w:p>
    <w:p>
      <w:pPr>
        <w:pStyle w:val="Heading1"/>
      </w:pPr>
      <w:r>
        <w:t>6. Discount Mechanisms</w:t>
      </w:r>
    </w:p>
    <w:p>
      <w:r>
        <w:t>AWS provides Savings Plans that reduce compute costs when users commit to consistent usage for one or three years. Azure provides Reserved Virtual Machine Instances and Azure Hybrid Benefit, which can reduce VM costs, especially for Windows workloads when eligible Microsoft licenses are available.</w:t>
      </w:r>
    </w:p>
    <w:p>
      <w:r>
        <w:rPr>
          <w:i/>
        </w:rPr>
        <w:t>Figure 8: AWS Savings Plan options</w:t>
      </w:r>
    </w:p>
    <w:p>
      <w:r>
        <w:drawing>
          <wp:inline xmlns:a="http://schemas.openxmlformats.org/drawingml/2006/main" xmlns:pic="http://schemas.openxmlformats.org/drawingml/2006/picture">
            <wp:extent cx="5852160" cy="2823210"/>
            <wp:docPr id="8" name="Picture 8"/>
            <wp:cNvGraphicFramePr>
              <a:graphicFrameLocks noChangeAspect="1"/>
            </wp:cNvGraphicFramePr>
            <a:graphic>
              <a:graphicData uri="http://schemas.openxmlformats.org/drawingml/2006/picture">
                <pic:pic>
                  <pic:nvPicPr>
                    <pic:cNvPr id="0" name="IMG-20260628-WA0006.jpg"/>
                    <pic:cNvPicPr/>
                  </pic:nvPicPr>
                  <pic:blipFill>
                    <a:blip r:embed="rId16"/>
                    <a:stretch>
                      <a:fillRect/>
                    </a:stretch>
                  </pic:blipFill>
                  <pic:spPr>
                    <a:xfrm>
                      <a:off x="0" y="0"/>
                      <a:ext cx="5852160" cy="2823210"/>
                    </a:xfrm>
                    <a:prstGeom prst="rect"/>
                  </pic:spPr>
                </pic:pic>
              </a:graphicData>
            </a:graphic>
          </wp:inline>
        </w:drawing>
      </w:r>
    </w:p>
    <w:p>
      <w:pPr>
        <w:pStyle w:val="Heading1"/>
      </w:pPr>
      <w:r>
        <w:t>7. Final Cost Comparison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t>Provider</w:t>
            </w:r>
          </w:p>
        </w:tc>
        <w:tc>
          <w:tcPr>
            <w:tcW w:type="dxa" w:w="2520"/>
            <w:shd w:fill="D9EAF7"/>
          </w:tcPr>
          <w:p>
            <w:r>
              <w:t>Scenario</w:t>
            </w:r>
          </w:p>
        </w:tc>
        <w:tc>
          <w:tcPr>
            <w:tcW w:type="dxa" w:w="2520"/>
            <w:shd w:fill="D9EAF7"/>
          </w:tcPr>
          <w:p>
            <w:r>
              <w:t>Estimated Monthly Cost</w:t>
            </w:r>
          </w:p>
        </w:tc>
        <w:tc>
          <w:tcPr>
            <w:tcW w:type="dxa" w:w="2520"/>
            <w:shd w:fill="D9EAF7"/>
          </w:tcPr>
          <w:p>
            <w:r>
              <w:t>Observation</w:t>
            </w:r>
          </w:p>
        </w:tc>
      </w:tr>
      <w:tr>
        <w:tc>
          <w:tcPr>
            <w:tcW w:type="dxa" w:w="2520"/>
          </w:tcPr>
          <w:p>
            <w:r>
              <w:t>AWS</w:t>
            </w:r>
          </w:p>
        </w:tc>
        <w:tc>
          <w:tcPr>
            <w:tcW w:type="dxa" w:w="2520"/>
          </w:tcPr>
          <w:p>
            <w:r>
              <w:t>Linux EC2 + S3</w:t>
            </w:r>
          </w:p>
        </w:tc>
        <w:tc>
          <w:tcPr>
            <w:tcW w:type="dxa" w:w="2520"/>
          </w:tcPr>
          <w:p>
            <w:r>
              <w:t>$17.34</w:t>
            </w:r>
          </w:p>
        </w:tc>
        <w:tc>
          <w:tcPr>
            <w:tcW w:type="dxa" w:w="2520"/>
          </w:tcPr>
          <w:p>
            <w:r>
              <w:t>Lowest estimated monthly cost</w:t>
            </w:r>
          </w:p>
        </w:tc>
      </w:tr>
      <w:tr>
        <w:tc>
          <w:tcPr>
            <w:tcW w:type="dxa" w:w="2520"/>
          </w:tcPr>
          <w:p>
            <w:r>
              <w:t>Azure</w:t>
            </w:r>
          </w:p>
        </w:tc>
        <w:tc>
          <w:tcPr>
            <w:tcW w:type="dxa" w:w="2520"/>
          </w:tcPr>
          <w:p>
            <w:r>
              <w:t>Linux VM + Storage</w:t>
            </w:r>
          </w:p>
        </w:tc>
        <w:tc>
          <w:tcPr>
            <w:tcW w:type="dxa" w:w="2520"/>
          </w:tcPr>
          <w:p>
            <w:r>
              <w:t>$42.76</w:t>
            </w:r>
          </w:p>
        </w:tc>
        <w:tc>
          <w:tcPr>
            <w:tcW w:type="dxa" w:w="2520"/>
          </w:tcPr>
          <w:p>
            <w:r>
              <w:t>Higher than AWS for this scenario</w:t>
            </w:r>
          </w:p>
        </w:tc>
      </w:tr>
      <w:tr>
        <w:tc>
          <w:tcPr>
            <w:tcW w:type="dxa" w:w="2520"/>
          </w:tcPr>
          <w:p>
            <w:r>
              <w:t>Azure</w:t>
            </w:r>
          </w:p>
        </w:tc>
        <w:tc>
          <w:tcPr>
            <w:tcW w:type="dxa" w:w="2520"/>
          </w:tcPr>
          <w:p>
            <w:r>
              <w:t>Windows VM + Storage</w:t>
            </w:r>
          </w:p>
        </w:tc>
        <w:tc>
          <w:tcPr>
            <w:tcW w:type="dxa" w:w="2520"/>
          </w:tcPr>
          <w:p>
            <w:r>
              <w:t>$49.48</w:t>
            </w:r>
          </w:p>
        </w:tc>
        <w:tc>
          <w:tcPr>
            <w:tcW w:type="dxa" w:w="2520"/>
          </w:tcPr>
          <w:p>
            <w:r>
              <w:t>Highest cost due to Windows licensing</w:t>
            </w:r>
          </w:p>
        </w:tc>
      </w:tr>
    </w:tbl>
    <w:p>
      <w:pPr>
        <w:pStyle w:val="Heading1"/>
      </w:pPr>
      <w:r>
        <w:t>8. Recommendation</w:t>
      </w:r>
    </w:p>
    <w:p>
      <w:r>
        <w:t>AWS is the most cost-effective option for this small Linux-based web application based on the estimates provided. Azure may be more suitable for organizations already using Microsoft technologies or where Windows licensing benefits can be applied.</w:t>
      </w:r>
    </w:p>
    <w:p>
      <w:pPr>
        <w:pStyle w:val="Heading1"/>
      </w:pPr>
      <w:r>
        <w:t>9. Cost Optimization Strategies</w:t>
      </w:r>
    </w:p>
    <w:p>
      <w:r>
        <w:t>1. Use AWS Savings Plans or Azure Reserved Virtual Machine Instances for predictable long-term workloads.</w:t>
      </w:r>
    </w:p>
    <w:p>
      <w:r>
        <w:t>2. Right-size virtual machines and keep services within one availability zone where possible to reduce unnecessary compute and networking costs.</w:t>
      </w:r>
    </w:p>
    <w:p>
      <w:pPr>
        <w:pStyle w:val="Heading1"/>
      </w:pPr>
      <w:r>
        <w:t>10. Conclusion</w:t>
      </w:r>
    </w:p>
    <w:p>
      <w:r>
        <w:t>This comparison shows that both AWS and Azure can host a small web application, but AWS provides the lowest monthly estimate in this specific scenario. The final provider choice should consider cost, existing licenses, technical requirements, and long-term cloud strategy.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