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AWS vs Azure Cloud Pricing Comparison Report</w:t>
        <w:br/>
      </w:r>
      <w:r>
        <w:rPr>
          <w:sz w:val="24"/>
        </w:rPr>
        <w:t>Improved Resubmission: 3 Services, Regional Analysis, Annual Totals, and Percentage Differences</w:t>
        <w:br/>
      </w:r>
    </w:p>
    <w:p>
      <w:r>
        <w:rPr>
          <w:i/>
        </w:rPr>
        <w:t>Prepared for evaluation via GitHub repository</w:t>
      </w:r>
    </w:p>
    <w:p/>
    <w:p>
      <w:r>
        <w:t>Core Services Compared: Compute, Storage, and Managed Database</w:t>
      </w:r>
    </w:p>
    <w:p>
      <w:r>
        <w:t>Regions Reviewed: US East, West Europe, and Southeast Asia</w:t>
      </w:r>
    </w:p>
    <w:p>
      <w:r>
        <w:br w:type="page"/>
      </w:r>
    </w:p>
    <w:p>
      <w:pPr>
        <w:pStyle w:val="Heading1"/>
      </w:pPr>
      <w:r>
        <w:t>1. Executive Summary</w:t>
      </w:r>
    </w:p>
    <w:p>
      <w:r>
        <w:t>This improved report compares the cost of deploying a small web application on AWS and Microsoft Azure. It directly addresses the evaluation feedback by adding a third cloud service category, performing a regional analysis across three regions, calculating annual totals, and including percentage differences for each service category.</w:t>
      </w:r>
    </w:p>
    <w:p>
      <w:r>
        <w:t>The three compared service categories are compute, storage, and managed database. AWS is represented by Amazon EC2, Amazon S3, and Amazon RDS for MySQL. Azure is represented by Azure Virtual Machines, Azure Blob Storage, and Azure SQL Database.</w:t>
      </w:r>
    </w:p>
    <w:p>
      <w:pPr>
        <w:pStyle w:val="Heading1"/>
      </w:pPr>
      <w:r>
        <w:t>2. Pricing Assumptions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jc w:val="center"/>
            </w:pPr>
            <w:r/>
            <w:r>
              <w:rPr>
                <w:b/>
              </w:rPr>
              <w:t>Assumption</w:t>
            </w:r>
          </w:p>
        </w:tc>
        <w:tc>
          <w:tcPr>
            <w:tcW w:type="dxa" w:w="4320"/>
            <w:vAlign w:val="center"/>
            <w:shd w:fill="D9EAF7"/>
          </w:tcPr>
          <w:p>
            <w:pPr>
              <w:jc w:val="center"/>
            </w:pPr>
            <w:r/>
            <w:r>
              <w:rPr>
                <w:b/>
              </w:rPr>
              <w:t>Value</w:t>
            </w:r>
          </w:p>
        </w:tc>
      </w:tr>
      <w:tr>
        <w:tc>
          <w:tcPr>
            <w:tcW w:type="dxa" w:w="4320"/>
            <w:vAlign w:val="center"/>
          </w:tcPr>
          <w:p>
            <w:pPr>
              <w:jc w:val="left"/>
            </w:pPr>
            <w:r/>
            <w:r>
              <w:rPr>
                <w:b w:val="0"/>
              </w:rPr>
              <w:t>Application type</w:t>
            </w:r>
          </w:p>
        </w:tc>
        <w:tc>
          <w:tcPr>
            <w:tcW w:type="dxa" w:w="4320"/>
            <w:vAlign w:val="center"/>
          </w:tcPr>
          <w:p>
            <w:pPr>
              <w:jc w:val="left"/>
            </w:pPr>
            <w:r/>
            <w:r>
              <w:rPr>
                <w:b w:val="0"/>
              </w:rPr>
              <w:t>Small web application</w:t>
            </w:r>
          </w:p>
        </w:tc>
      </w:tr>
      <w:tr>
        <w:tc>
          <w:tcPr>
            <w:tcW w:type="dxa" w:w="4320"/>
            <w:vAlign w:val="center"/>
          </w:tcPr>
          <w:p>
            <w:pPr>
              <w:jc w:val="left"/>
            </w:pPr>
            <w:r/>
            <w:r>
              <w:rPr>
                <w:b w:val="0"/>
              </w:rPr>
              <w:t>Monthly usage</w:t>
            </w:r>
          </w:p>
        </w:tc>
        <w:tc>
          <w:tcPr>
            <w:tcW w:type="dxa" w:w="4320"/>
            <w:vAlign w:val="center"/>
          </w:tcPr>
          <w:p>
            <w:pPr>
              <w:jc w:val="left"/>
            </w:pPr>
            <w:r/>
            <w:r>
              <w:rPr>
                <w:b w:val="0"/>
              </w:rPr>
              <w:t>730 hours per month</w:t>
            </w:r>
          </w:p>
        </w:tc>
      </w:tr>
      <w:tr>
        <w:tc>
          <w:tcPr>
            <w:tcW w:type="dxa" w:w="4320"/>
            <w:vAlign w:val="center"/>
          </w:tcPr>
          <w:p>
            <w:pPr>
              <w:jc w:val="left"/>
            </w:pPr>
            <w:r/>
            <w:r>
              <w:rPr>
                <w:b w:val="0"/>
              </w:rPr>
              <w:t>Compute requirement</w:t>
            </w:r>
          </w:p>
        </w:tc>
        <w:tc>
          <w:tcPr>
            <w:tcW w:type="dxa" w:w="4320"/>
            <w:vAlign w:val="center"/>
          </w:tcPr>
          <w:p>
            <w:pPr>
              <w:jc w:val="left"/>
            </w:pPr>
            <w:r/>
            <w:r>
              <w:rPr>
                <w:b w:val="0"/>
              </w:rPr>
              <w:t>2 vCPU / 4 GB RAM equivalent where available</w:t>
            </w:r>
          </w:p>
        </w:tc>
      </w:tr>
      <w:tr>
        <w:tc>
          <w:tcPr>
            <w:tcW w:type="dxa" w:w="4320"/>
            <w:vAlign w:val="center"/>
          </w:tcPr>
          <w:p>
            <w:pPr>
              <w:jc w:val="left"/>
            </w:pPr>
            <w:r/>
            <w:r>
              <w:rPr>
                <w:b w:val="0"/>
              </w:rPr>
              <w:t>Object storage</w:t>
            </w:r>
          </w:p>
        </w:tc>
        <w:tc>
          <w:tcPr>
            <w:tcW w:type="dxa" w:w="4320"/>
            <w:vAlign w:val="center"/>
          </w:tcPr>
          <w:p>
            <w:pPr>
              <w:jc w:val="left"/>
            </w:pPr>
            <w:r/>
            <w:r>
              <w:rPr>
                <w:b w:val="0"/>
              </w:rPr>
              <w:t>100 GB</w:t>
            </w:r>
          </w:p>
        </w:tc>
      </w:tr>
      <w:tr>
        <w:tc>
          <w:tcPr>
            <w:tcW w:type="dxa" w:w="4320"/>
            <w:vAlign w:val="center"/>
          </w:tcPr>
          <w:p>
            <w:pPr>
              <w:jc w:val="left"/>
            </w:pPr>
            <w:r/>
            <w:r>
              <w:rPr>
                <w:b w:val="0"/>
              </w:rPr>
              <w:t>Database service</w:t>
            </w:r>
          </w:p>
        </w:tc>
        <w:tc>
          <w:tcPr>
            <w:tcW w:type="dxa" w:w="4320"/>
            <w:vAlign w:val="center"/>
          </w:tcPr>
          <w:p>
            <w:pPr>
              <w:jc w:val="left"/>
            </w:pPr>
            <w:r/>
            <w:r>
              <w:rPr>
                <w:b w:val="0"/>
              </w:rPr>
              <w:t>Managed relational database service</w:t>
            </w:r>
          </w:p>
        </w:tc>
      </w:tr>
      <w:tr>
        <w:tc>
          <w:tcPr>
            <w:tcW w:type="dxa" w:w="4320"/>
            <w:vAlign w:val="center"/>
          </w:tcPr>
          <w:p>
            <w:pPr>
              <w:jc w:val="left"/>
            </w:pPr>
            <w:r/>
            <w:r>
              <w:rPr>
                <w:b w:val="0"/>
              </w:rPr>
              <w:t>Pricing model</w:t>
            </w:r>
          </w:p>
        </w:tc>
        <w:tc>
          <w:tcPr>
            <w:tcW w:type="dxa" w:w="4320"/>
            <w:vAlign w:val="center"/>
          </w:tcPr>
          <w:p>
            <w:pPr>
              <w:jc w:val="left"/>
            </w:pPr>
            <w:r/>
            <w:r>
              <w:rPr>
                <w:b w:val="0"/>
              </w:rPr>
              <w:t>Pay-as-you-go / on-demand</w:t>
            </w:r>
          </w:p>
        </w:tc>
      </w:tr>
      <w:tr>
        <w:tc>
          <w:tcPr>
            <w:tcW w:type="dxa" w:w="4320"/>
            <w:vAlign w:val="center"/>
          </w:tcPr>
          <w:p>
            <w:pPr>
              <w:jc w:val="left"/>
            </w:pPr>
            <w:r/>
            <w:r>
              <w:rPr>
                <w:b w:val="0"/>
              </w:rPr>
              <w:t>Support plan</w:t>
            </w:r>
          </w:p>
        </w:tc>
        <w:tc>
          <w:tcPr>
            <w:tcW w:type="dxa" w:w="4320"/>
            <w:vAlign w:val="center"/>
          </w:tcPr>
          <w:p>
            <w:pPr>
              <w:jc w:val="left"/>
            </w:pPr>
            <w:r/>
            <w:r>
              <w:rPr>
                <w:b w:val="0"/>
              </w:rPr>
              <w:t>No paid enterprise support</w:t>
            </w:r>
          </w:p>
        </w:tc>
      </w:tr>
      <w:tr>
        <w:tc>
          <w:tcPr>
            <w:tcW w:type="dxa" w:w="4320"/>
            <w:vAlign w:val="center"/>
          </w:tcPr>
          <w:p>
            <w:pPr>
              <w:jc w:val="left"/>
            </w:pPr>
            <w:r/>
            <w:r>
              <w:rPr>
                <w:b w:val="0"/>
              </w:rPr>
              <w:t>Networking</w:t>
            </w:r>
          </w:p>
        </w:tc>
        <w:tc>
          <w:tcPr>
            <w:tcW w:type="dxa" w:w="4320"/>
            <w:vAlign w:val="center"/>
          </w:tcPr>
          <w:p>
            <w:pPr>
              <w:jc w:val="left"/>
            </w:pPr>
            <w:r/>
            <w:r>
              <w:rPr>
                <w:b w:val="0"/>
              </w:rPr>
              <w:t>Single-zone deployment preferred; inter-zone transfer compared separately</w:t>
            </w:r>
          </w:p>
        </w:tc>
      </w:tr>
      <w:tr>
        <w:tc>
          <w:tcPr>
            <w:tcW w:type="dxa" w:w="4320"/>
            <w:vAlign w:val="center"/>
          </w:tcPr>
          <w:p>
            <w:pPr>
              <w:jc w:val="left"/>
            </w:pPr>
            <w:r/>
            <w:r>
              <w:rPr>
                <w:b w:val="0"/>
              </w:rPr>
              <w:t>Currency</w:t>
            </w:r>
          </w:p>
        </w:tc>
        <w:tc>
          <w:tcPr>
            <w:tcW w:type="dxa" w:w="4320"/>
            <w:vAlign w:val="center"/>
          </w:tcPr>
          <w:p>
            <w:pPr>
              <w:jc w:val="left"/>
            </w:pPr>
            <w:r/>
            <w:r>
              <w:rPr>
                <w:b w:val="0"/>
              </w:rPr>
              <w:t>USD</w:t>
            </w:r>
          </w:p>
        </w:tc>
      </w:tr>
    </w:tbl>
    <w:p>
      <w:pPr>
        <w:pStyle w:val="Heading1"/>
      </w:pPr>
      <w:r>
        <w:t>3. Services Compared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pPr>
              <w:jc w:val="center"/>
            </w:pPr>
            <w:r/>
            <w:r>
              <w:rPr>
                <w:b/>
              </w:rPr>
              <w:t>Service Category</w:t>
            </w:r>
          </w:p>
        </w:tc>
        <w:tc>
          <w:tcPr>
            <w:tcW w:type="dxa" w:w="2160"/>
            <w:vAlign w:val="center"/>
            <w:shd w:fill="D9EAF7"/>
          </w:tcPr>
          <w:p>
            <w:pPr>
              <w:jc w:val="center"/>
            </w:pPr>
            <w:r/>
            <w:r>
              <w:rPr>
                <w:b/>
              </w:rPr>
              <w:t>AWS Service</w:t>
            </w:r>
          </w:p>
        </w:tc>
        <w:tc>
          <w:tcPr>
            <w:tcW w:type="dxa" w:w="2160"/>
            <w:vAlign w:val="center"/>
            <w:shd w:fill="D9EAF7"/>
          </w:tcPr>
          <w:p>
            <w:pPr>
              <w:jc w:val="center"/>
            </w:pPr>
            <w:r/>
            <w:r>
              <w:rPr>
                <w:b/>
              </w:rPr>
              <w:t>Azure Service</w:t>
            </w:r>
          </w:p>
        </w:tc>
        <w:tc>
          <w:tcPr>
            <w:tcW w:type="dxa" w:w="2160"/>
            <w:vAlign w:val="center"/>
            <w:shd w:fill="D9EAF7"/>
          </w:tcPr>
          <w:p>
            <w:pPr>
              <w:jc w:val="center"/>
            </w:pPr>
            <w:r/>
            <w:r>
              <w:rPr>
                <w:b/>
              </w:rPr>
              <w:t>Purpose</w:t>
            </w:r>
          </w:p>
        </w:tc>
      </w:tr>
      <w:tr>
        <w:tc>
          <w:tcPr>
            <w:tcW w:type="dxa" w:w="2160"/>
            <w:vAlign w:val="center"/>
          </w:tcPr>
          <w:p>
            <w:pPr>
              <w:jc w:val="left"/>
            </w:pPr>
            <w:r/>
            <w:r>
              <w:rPr>
                <w:b w:val="0"/>
              </w:rPr>
              <w:t>Compute</w:t>
            </w:r>
          </w:p>
        </w:tc>
        <w:tc>
          <w:tcPr>
            <w:tcW w:type="dxa" w:w="2160"/>
            <w:vAlign w:val="center"/>
          </w:tcPr>
          <w:p>
            <w:pPr>
              <w:jc w:val="left"/>
            </w:pPr>
            <w:r/>
            <w:r>
              <w:rPr>
                <w:b w:val="0"/>
              </w:rPr>
              <w:t>Amazon EC2</w:t>
            </w:r>
          </w:p>
        </w:tc>
        <w:tc>
          <w:tcPr>
            <w:tcW w:type="dxa" w:w="2160"/>
            <w:vAlign w:val="center"/>
          </w:tcPr>
          <w:p>
            <w:pPr>
              <w:jc w:val="left"/>
            </w:pPr>
            <w:r/>
            <w:r>
              <w:rPr>
                <w:b w:val="0"/>
              </w:rPr>
              <w:t>Azure Virtual Machine</w:t>
            </w:r>
          </w:p>
        </w:tc>
        <w:tc>
          <w:tcPr>
            <w:tcW w:type="dxa" w:w="2160"/>
            <w:vAlign w:val="center"/>
          </w:tcPr>
          <w:p>
            <w:pPr>
              <w:jc w:val="left"/>
            </w:pPr>
            <w:r/>
            <w:r>
              <w:rPr>
                <w:b w:val="0"/>
              </w:rPr>
              <w:t>Hosts the web application server</w:t>
            </w:r>
          </w:p>
        </w:tc>
      </w:tr>
      <w:tr>
        <w:tc>
          <w:tcPr>
            <w:tcW w:type="dxa" w:w="2160"/>
            <w:vAlign w:val="center"/>
          </w:tcPr>
          <w:p>
            <w:pPr>
              <w:jc w:val="left"/>
            </w:pPr>
            <w:r/>
            <w:r>
              <w:rPr>
                <w:b w:val="0"/>
              </w:rPr>
              <w:t>Storage</w:t>
            </w:r>
          </w:p>
        </w:tc>
        <w:tc>
          <w:tcPr>
            <w:tcW w:type="dxa" w:w="2160"/>
            <w:vAlign w:val="center"/>
          </w:tcPr>
          <w:p>
            <w:pPr>
              <w:jc w:val="left"/>
            </w:pPr>
            <w:r/>
            <w:r>
              <w:rPr>
                <w:b w:val="0"/>
              </w:rPr>
              <w:t>Amazon S3</w:t>
            </w:r>
          </w:p>
        </w:tc>
        <w:tc>
          <w:tcPr>
            <w:tcW w:type="dxa" w:w="2160"/>
            <w:vAlign w:val="center"/>
          </w:tcPr>
          <w:p>
            <w:pPr>
              <w:jc w:val="left"/>
            </w:pPr>
            <w:r/>
            <w:r>
              <w:rPr>
                <w:b w:val="0"/>
              </w:rPr>
              <w:t>Azure Blob Storage</w:t>
            </w:r>
          </w:p>
        </w:tc>
        <w:tc>
          <w:tcPr>
            <w:tcW w:type="dxa" w:w="2160"/>
            <w:vAlign w:val="center"/>
          </w:tcPr>
          <w:p>
            <w:pPr>
              <w:jc w:val="left"/>
            </w:pPr>
            <w:r/>
            <w:r>
              <w:rPr>
                <w:b w:val="0"/>
              </w:rPr>
              <w:t>Stores static files, media, and application objects</w:t>
            </w:r>
          </w:p>
        </w:tc>
      </w:tr>
      <w:tr>
        <w:tc>
          <w:tcPr>
            <w:tcW w:type="dxa" w:w="2160"/>
            <w:vAlign w:val="center"/>
          </w:tcPr>
          <w:p>
            <w:pPr>
              <w:jc w:val="left"/>
            </w:pPr>
            <w:r/>
            <w:r>
              <w:rPr>
                <w:b w:val="0"/>
              </w:rPr>
              <w:t>Database</w:t>
            </w:r>
          </w:p>
        </w:tc>
        <w:tc>
          <w:tcPr>
            <w:tcW w:type="dxa" w:w="2160"/>
            <w:vAlign w:val="center"/>
          </w:tcPr>
          <w:p>
            <w:pPr>
              <w:jc w:val="left"/>
            </w:pPr>
            <w:r/>
            <w:r>
              <w:rPr>
                <w:b w:val="0"/>
              </w:rPr>
              <w:t>Amazon RDS for MySQL</w:t>
            </w:r>
          </w:p>
        </w:tc>
        <w:tc>
          <w:tcPr>
            <w:tcW w:type="dxa" w:w="2160"/>
            <w:vAlign w:val="center"/>
          </w:tcPr>
          <w:p>
            <w:pPr>
              <w:jc w:val="left"/>
            </w:pPr>
            <w:r/>
            <w:r>
              <w:rPr>
                <w:b w:val="0"/>
              </w:rPr>
              <w:t>Azure SQL Database</w:t>
            </w:r>
          </w:p>
        </w:tc>
        <w:tc>
          <w:tcPr>
            <w:tcW w:type="dxa" w:w="2160"/>
            <w:vAlign w:val="center"/>
          </w:tcPr>
          <w:p>
            <w:pPr>
              <w:jc w:val="left"/>
            </w:pPr>
            <w:r/>
            <w:r>
              <w:rPr>
                <w:b w:val="0"/>
              </w:rPr>
              <w:t>Stores structured application data</w:t>
            </w:r>
          </w:p>
        </w:tc>
      </w:tr>
    </w:tbl>
    <w:p>
      <w:pPr>
        <w:pStyle w:val="Heading1"/>
      </w:pPr>
      <w:r>
        <w:t>4. Main Same-Architecture Cost Comparison</w:t>
      </w:r>
    </w:p>
    <w:p>
      <w:r>
        <w:t>The table below compares the selected AWS and Azure services using the same application architecture: one compute service, one object storage service, and one managed database service.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9EAF7"/>
          </w:tcPr>
          <w:p>
            <w:pPr>
              <w:jc w:val="center"/>
            </w:pPr>
            <w:r/>
            <w:r>
              <w:rPr>
                <w:b/>
              </w:rPr>
              <w:t>Service</w:t>
            </w:r>
          </w:p>
        </w:tc>
        <w:tc>
          <w:tcPr>
            <w:tcW w:type="dxa" w:w="1440"/>
            <w:vAlign w:val="center"/>
            <w:shd w:fill="D9EAF7"/>
          </w:tcPr>
          <w:p>
            <w:pPr>
              <w:jc w:val="center"/>
            </w:pPr>
            <w:r/>
            <w:r>
              <w:rPr>
                <w:b/>
              </w:rPr>
              <w:t>AWS Monthly</w:t>
            </w:r>
          </w:p>
        </w:tc>
        <w:tc>
          <w:tcPr>
            <w:tcW w:type="dxa" w:w="1440"/>
            <w:vAlign w:val="center"/>
            <w:shd w:fill="D9EAF7"/>
          </w:tcPr>
          <w:p>
            <w:pPr>
              <w:jc w:val="center"/>
            </w:pPr>
            <w:r/>
            <w:r>
              <w:rPr>
                <w:b/>
              </w:rPr>
              <w:t>AWS Annual</w:t>
            </w:r>
          </w:p>
        </w:tc>
        <w:tc>
          <w:tcPr>
            <w:tcW w:type="dxa" w:w="1440"/>
            <w:vAlign w:val="center"/>
            <w:shd w:fill="D9EAF7"/>
          </w:tcPr>
          <w:p>
            <w:pPr>
              <w:jc w:val="center"/>
            </w:pPr>
            <w:r/>
            <w:r>
              <w:rPr>
                <w:b/>
              </w:rPr>
              <w:t>Azure Monthly</w:t>
            </w:r>
          </w:p>
        </w:tc>
        <w:tc>
          <w:tcPr>
            <w:tcW w:type="dxa" w:w="1440"/>
            <w:vAlign w:val="center"/>
            <w:shd w:fill="D9EAF7"/>
          </w:tcPr>
          <w:p>
            <w:pPr>
              <w:jc w:val="center"/>
            </w:pPr>
            <w:r/>
            <w:r>
              <w:rPr>
                <w:b/>
              </w:rPr>
              <w:t>Azure Annual</w:t>
            </w:r>
          </w:p>
        </w:tc>
        <w:tc>
          <w:tcPr>
            <w:tcW w:type="dxa" w:w="1440"/>
            <w:vAlign w:val="center"/>
            <w:shd w:fill="D9EAF7"/>
          </w:tcPr>
          <w:p>
            <w:pPr>
              <w:jc w:val="center"/>
            </w:pPr>
            <w:r/>
            <w:r>
              <w:rPr>
                <w:b/>
              </w:rPr>
              <w:t>% Difference</w:t>
            </w:r>
          </w:p>
        </w:tc>
      </w:tr>
      <w:tr>
        <w:tc>
          <w:tcPr>
            <w:tcW w:type="dxa" w:w="1440"/>
            <w:vAlign w:val="center"/>
          </w:tcPr>
          <w:p>
            <w:pPr>
              <w:jc w:val="left"/>
            </w:pPr>
            <w:r/>
            <w:r>
              <w:rPr>
                <w:b w:val="0"/>
              </w:rPr>
              <w:t>Compute</w:t>
            </w:r>
          </w:p>
        </w:tc>
        <w:tc>
          <w:tcPr>
            <w:tcW w:type="dxa" w:w="1440"/>
            <w:vAlign w:val="center"/>
          </w:tcPr>
          <w:p>
            <w:pPr>
              <w:jc w:val="left"/>
            </w:pPr>
            <w:r/>
            <w:r>
              <w:rPr>
                <w:b w:val="0"/>
              </w:rPr>
              <w:t>$15.04</w:t>
            </w:r>
          </w:p>
        </w:tc>
        <w:tc>
          <w:tcPr>
            <w:tcW w:type="dxa" w:w="1440"/>
            <w:vAlign w:val="center"/>
          </w:tcPr>
          <w:p>
            <w:pPr>
              <w:jc w:val="left"/>
            </w:pPr>
            <w:r/>
            <w:r>
              <w:rPr>
                <w:b w:val="0"/>
              </w:rPr>
              <w:t>$180.48</w:t>
            </w:r>
          </w:p>
        </w:tc>
        <w:tc>
          <w:tcPr>
            <w:tcW w:type="dxa" w:w="1440"/>
            <w:vAlign w:val="center"/>
          </w:tcPr>
          <w:p>
            <w:pPr>
              <w:jc w:val="left"/>
            </w:pPr>
            <w:r/>
            <w:r>
              <w:rPr>
                <w:b w:val="0"/>
              </w:rPr>
              <w:t>$39.64</w:t>
            </w:r>
          </w:p>
        </w:tc>
        <w:tc>
          <w:tcPr>
            <w:tcW w:type="dxa" w:w="1440"/>
            <w:vAlign w:val="center"/>
          </w:tcPr>
          <w:p>
            <w:pPr>
              <w:jc w:val="left"/>
            </w:pPr>
            <w:r/>
            <w:r>
              <w:rPr>
                <w:b w:val="0"/>
              </w:rPr>
              <w:t>$475.68</w:t>
            </w:r>
          </w:p>
        </w:tc>
        <w:tc>
          <w:tcPr>
            <w:tcW w:type="dxa" w:w="1440"/>
            <w:vAlign w:val="center"/>
          </w:tcPr>
          <w:p>
            <w:pPr>
              <w:jc w:val="left"/>
            </w:pPr>
            <w:r/>
            <w:r>
              <w:rPr>
                <w:b w:val="0"/>
              </w:rPr>
              <w:t>163.56%</w:t>
            </w:r>
          </w:p>
        </w:tc>
      </w:tr>
      <w:tr>
        <w:tc>
          <w:tcPr>
            <w:tcW w:type="dxa" w:w="1440"/>
            <w:vAlign w:val="center"/>
          </w:tcPr>
          <w:p>
            <w:pPr>
              <w:jc w:val="left"/>
            </w:pPr>
            <w:r/>
            <w:r>
              <w:rPr>
                <w:b w:val="0"/>
              </w:rPr>
              <w:t>Storage</w:t>
            </w:r>
          </w:p>
        </w:tc>
        <w:tc>
          <w:tcPr>
            <w:tcW w:type="dxa" w:w="1440"/>
            <w:vAlign w:val="center"/>
          </w:tcPr>
          <w:p>
            <w:pPr>
              <w:jc w:val="left"/>
            </w:pPr>
            <w:r/>
            <w:r>
              <w:rPr>
                <w:b w:val="0"/>
              </w:rPr>
              <w:t>$2.30</w:t>
            </w:r>
          </w:p>
        </w:tc>
        <w:tc>
          <w:tcPr>
            <w:tcW w:type="dxa" w:w="1440"/>
            <w:vAlign w:val="center"/>
          </w:tcPr>
          <w:p>
            <w:pPr>
              <w:jc w:val="left"/>
            </w:pPr>
            <w:r/>
            <w:r>
              <w:rPr>
                <w:b w:val="0"/>
              </w:rPr>
              <w:t>$27.60</w:t>
            </w:r>
          </w:p>
        </w:tc>
        <w:tc>
          <w:tcPr>
            <w:tcW w:type="dxa" w:w="1440"/>
            <w:vAlign w:val="center"/>
          </w:tcPr>
          <w:p>
            <w:pPr>
              <w:jc w:val="left"/>
            </w:pPr>
            <w:r/>
            <w:r>
              <w:rPr>
                <w:b w:val="0"/>
              </w:rPr>
              <w:t>$3.12</w:t>
            </w:r>
          </w:p>
        </w:tc>
        <w:tc>
          <w:tcPr>
            <w:tcW w:type="dxa" w:w="1440"/>
            <w:vAlign w:val="center"/>
          </w:tcPr>
          <w:p>
            <w:pPr>
              <w:jc w:val="left"/>
            </w:pPr>
            <w:r/>
            <w:r>
              <w:rPr>
                <w:b w:val="0"/>
              </w:rPr>
              <w:t>$37.44</w:t>
            </w:r>
          </w:p>
        </w:tc>
        <w:tc>
          <w:tcPr>
            <w:tcW w:type="dxa" w:w="1440"/>
            <w:vAlign w:val="center"/>
          </w:tcPr>
          <w:p>
            <w:pPr>
              <w:jc w:val="left"/>
            </w:pPr>
            <w:r/>
            <w:r>
              <w:rPr>
                <w:b w:val="0"/>
              </w:rPr>
              <w:t>35.65%</w:t>
            </w:r>
          </w:p>
        </w:tc>
      </w:tr>
      <w:tr>
        <w:tc>
          <w:tcPr>
            <w:tcW w:type="dxa" w:w="1440"/>
            <w:vAlign w:val="center"/>
          </w:tcPr>
          <w:p>
            <w:pPr>
              <w:jc w:val="left"/>
            </w:pPr>
            <w:r/>
            <w:r>
              <w:rPr>
                <w:b w:val="0"/>
              </w:rPr>
              <w:t>Database</w:t>
            </w:r>
          </w:p>
        </w:tc>
        <w:tc>
          <w:tcPr>
            <w:tcW w:type="dxa" w:w="1440"/>
            <w:vAlign w:val="center"/>
          </w:tcPr>
          <w:p>
            <w:pPr>
              <w:jc w:val="left"/>
            </w:pPr>
            <w:r/>
            <w:r>
              <w:rPr>
                <w:b w:val="0"/>
              </w:rPr>
              <w:t>$199.66</w:t>
            </w:r>
          </w:p>
        </w:tc>
        <w:tc>
          <w:tcPr>
            <w:tcW w:type="dxa" w:w="1440"/>
            <w:vAlign w:val="center"/>
          </w:tcPr>
          <w:p>
            <w:pPr>
              <w:jc w:val="left"/>
            </w:pPr>
            <w:r/>
            <w:r>
              <w:rPr>
                <w:b w:val="0"/>
              </w:rPr>
              <w:t>$2,395.92</w:t>
            </w:r>
          </w:p>
        </w:tc>
        <w:tc>
          <w:tcPr>
            <w:tcW w:type="dxa" w:w="1440"/>
            <w:vAlign w:val="center"/>
          </w:tcPr>
          <w:p>
            <w:pPr>
              <w:jc w:val="left"/>
            </w:pPr>
            <w:r/>
            <w:r>
              <w:rPr>
                <w:b w:val="0"/>
              </w:rPr>
              <w:t>$450.15</w:t>
            </w:r>
          </w:p>
        </w:tc>
        <w:tc>
          <w:tcPr>
            <w:tcW w:type="dxa" w:w="1440"/>
            <w:vAlign w:val="center"/>
          </w:tcPr>
          <w:p>
            <w:pPr>
              <w:jc w:val="left"/>
            </w:pPr>
            <w:r/>
            <w:r>
              <w:rPr>
                <w:b w:val="0"/>
              </w:rPr>
              <w:t>$5,401.80</w:t>
            </w:r>
          </w:p>
        </w:tc>
        <w:tc>
          <w:tcPr>
            <w:tcW w:type="dxa" w:w="1440"/>
            <w:vAlign w:val="center"/>
          </w:tcPr>
          <w:p>
            <w:pPr>
              <w:jc w:val="left"/>
            </w:pPr>
            <w:r/>
            <w:r>
              <w:rPr>
                <w:b w:val="0"/>
              </w:rPr>
              <w:t>125.46%</w:t>
            </w:r>
          </w:p>
        </w:tc>
      </w:tr>
      <w:tr>
        <w:tc>
          <w:tcPr>
            <w:tcW w:type="dxa" w:w="1440"/>
            <w:vAlign w:val="center"/>
          </w:tcPr>
          <w:p>
            <w:pPr>
              <w:jc w:val="left"/>
            </w:pPr>
            <w:r/>
            <w:r>
              <w:rPr>
                <w:b w:val="0"/>
              </w:rPr>
              <w:t>TOTAL</w:t>
            </w:r>
          </w:p>
        </w:tc>
        <w:tc>
          <w:tcPr>
            <w:tcW w:type="dxa" w:w="1440"/>
            <w:vAlign w:val="center"/>
          </w:tcPr>
          <w:p>
            <w:pPr>
              <w:jc w:val="left"/>
            </w:pPr>
            <w:r/>
            <w:r>
              <w:rPr>
                <w:b w:val="0"/>
              </w:rPr>
              <w:t>$217.00</w:t>
            </w:r>
          </w:p>
        </w:tc>
        <w:tc>
          <w:tcPr>
            <w:tcW w:type="dxa" w:w="1440"/>
            <w:vAlign w:val="center"/>
          </w:tcPr>
          <w:p>
            <w:pPr>
              <w:jc w:val="left"/>
            </w:pPr>
            <w:r/>
            <w:r>
              <w:rPr>
                <w:b w:val="0"/>
              </w:rPr>
              <w:t>$2,604.00</w:t>
            </w:r>
          </w:p>
        </w:tc>
        <w:tc>
          <w:tcPr>
            <w:tcW w:type="dxa" w:w="1440"/>
            <w:vAlign w:val="center"/>
          </w:tcPr>
          <w:p>
            <w:pPr>
              <w:jc w:val="left"/>
            </w:pPr>
            <w:r/>
            <w:r>
              <w:rPr>
                <w:b w:val="0"/>
              </w:rPr>
              <w:t>$492.91</w:t>
            </w:r>
          </w:p>
        </w:tc>
        <w:tc>
          <w:tcPr>
            <w:tcW w:type="dxa" w:w="1440"/>
            <w:vAlign w:val="center"/>
          </w:tcPr>
          <w:p>
            <w:pPr>
              <w:jc w:val="left"/>
            </w:pPr>
            <w:r/>
            <w:r>
              <w:rPr>
                <w:b w:val="0"/>
              </w:rPr>
              <w:t>$5,914.92</w:t>
            </w:r>
          </w:p>
        </w:tc>
        <w:tc>
          <w:tcPr>
            <w:tcW w:type="dxa" w:w="1440"/>
            <w:vAlign w:val="center"/>
          </w:tcPr>
          <w:p>
            <w:pPr>
              <w:jc w:val="left"/>
            </w:pPr>
            <w:r/>
            <w:r>
              <w:rPr>
                <w:b w:val="0"/>
              </w:rPr>
              <w:t>127.15%</w:t>
            </w:r>
          </w:p>
        </w:tc>
      </w:tr>
    </w:tbl>
    <w:p>
      <w:pPr>
        <w:pStyle w:val="Heading1"/>
      </w:pPr>
      <w:r>
        <w:t>5. AWS Pricing Analysis</w:t>
      </w:r>
    </w:p>
    <w:p>
      <w:r>
        <w:t>AWS pricing was estimated using the AWS Pricing Calculator. The AWS architecture includes Amazon EC2 for compute, Amazon S3 for object storage, and Amazon RDS for MySQL for the managed database requirement.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jc w:val="center"/>
            </w:pPr>
            <w:r/>
            <w:r>
              <w:rPr>
                <w:b/>
              </w:rPr>
              <w:t>AWS Service</w:t>
            </w:r>
          </w:p>
        </w:tc>
        <w:tc>
          <w:tcPr>
            <w:tcW w:type="dxa" w:w="2880"/>
            <w:vAlign w:val="center"/>
            <w:shd w:fill="D9EAF7"/>
          </w:tcPr>
          <w:p>
            <w:pPr>
              <w:jc w:val="center"/>
            </w:pPr>
            <w:r/>
            <w:r>
              <w:rPr>
                <w:b/>
              </w:rPr>
              <w:t>Estimated Monthly Cost</w:t>
            </w:r>
          </w:p>
        </w:tc>
        <w:tc>
          <w:tcPr>
            <w:tcW w:type="dxa" w:w="2880"/>
            <w:vAlign w:val="center"/>
            <w:shd w:fill="D9EAF7"/>
          </w:tcPr>
          <w:p>
            <w:pPr>
              <w:jc w:val="center"/>
            </w:pPr>
            <w:r/>
            <w:r>
              <w:rPr>
                <w:b/>
              </w:rPr>
              <w:t>Notes</w:t>
            </w:r>
          </w:p>
        </w:tc>
      </w:tr>
      <w:tr>
        <w:tc>
          <w:tcPr>
            <w:tcW w:type="dxa" w:w="2880"/>
            <w:vAlign w:val="center"/>
          </w:tcPr>
          <w:p>
            <w:pPr>
              <w:jc w:val="left"/>
            </w:pPr>
            <w:r/>
            <w:r>
              <w:rPr>
                <w:b w:val="0"/>
              </w:rPr>
              <w:t>Amazon EC2</w:t>
            </w:r>
          </w:p>
        </w:tc>
        <w:tc>
          <w:tcPr>
            <w:tcW w:type="dxa" w:w="2880"/>
            <w:vAlign w:val="center"/>
          </w:tcPr>
          <w:p>
            <w:pPr>
              <w:jc w:val="left"/>
            </w:pPr>
            <w:r/>
            <w:r>
              <w:rPr>
                <w:b w:val="0"/>
              </w:rPr>
              <w:t>$15.04</w:t>
            </w:r>
          </w:p>
        </w:tc>
        <w:tc>
          <w:tcPr>
            <w:tcW w:type="dxa" w:w="2880"/>
            <w:vAlign w:val="center"/>
          </w:tcPr>
          <w:p>
            <w:pPr>
              <w:jc w:val="left"/>
            </w:pPr>
            <w:r/>
            <w:r>
              <w:rPr>
                <w:b w:val="0"/>
              </w:rPr>
              <w:t>Linux compute instance estimate</w:t>
            </w:r>
          </w:p>
        </w:tc>
      </w:tr>
      <w:tr>
        <w:tc>
          <w:tcPr>
            <w:tcW w:type="dxa" w:w="2880"/>
            <w:vAlign w:val="center"/>
          </w:tcPr>
          <w:p>
            <w:pPr>
              <w:jc w:val="left"/>
            </w:pPr>
            <w:r/>
            <w:r>
              <w:rPr>
                <w:b w:val="0"/>
              </w:rPr>
              <w:t>Amazon S3</w:t>
            </w:r>
          </w:p>
        </w:tc>
        <w:tc>
          <w:tcPr>
            <w:tcW w:type="dxa" w:w="2880"/>
            <w:vAlign w:val="center"/>
          </w:tcPr>
          <w:p>
            <w:pPr>
              <w:jc w:val="left"/>
            </w:pPr>
            <w:r/>
            <w:r>
              <w:rPr>
                <w:b w:val="0"/>
              </w:rPr>
              <w:t>$2.30</w:t>
            </w:r>
          </w:p>
        </w:tc>
        <w:tc>
          <w:tcPr>
            <w:tcW w:type="dxa" w:w="2880"/>
            <w:vAlign w:val="center"/>
          </w:tcPr>
          <w:p>
            <w:pPr>
              <w:jc w:val="left"/>
            </w:pPr>
            <w:r/>
            <w:r>
              <w:rPr>
                <w:b w:val="0"/>
              </w:rPr>
              <w:t>100 GB standard object storage estimate</w:t>
            </w:r>
          </w:p>
        </w:tc>
      </w:tr>
      <w:tr>
        <w:tc>
          <w:tcPr>
            <w:tcW w:type="dxa" w:w="2880"/>
            <w:vAlign w:val="center"/>
          </w:tcPr>
          <w:p>
            <w:pPr>
              <w:jc w:val="left"/>
            </w:pPr>
            <w:r/>
            <w:r>
              <w:rPr>
                <w:b w:val="0"/>
              </w:rPr>
              <w:t>Amazon RDS for MySQL</w:t>
            </w:r>
          </w:p>
        </w:tc>
        <w:tc>
          <w:tcPr>
            <w:tcW w:type="dxa" w:w="2880"/>
            <w:vAlign w:val="center"/>
          </w:tcPr>
          <w:p>
            <w:pPr>
              <w:jc w:val="left"/>
            </w:pPr>
            <w:r/>
            <w:r>
              <w:rPr>
                <w:b w:val="0"/>
              </w:rPr>
              <w:t>$199.66</w:t>
            </w:r>
          </w:p>
        </w:tc>
        <w:tc>
          <w:tcPr>
            <w:tcW w:type="dxa" w:w="2880"/>
            <w:vAlign w:val="center"/>
          </w:tcPr>
          <w:p>
            <w:pPr>
              <w:jc w:val="left"/>
            </w:pPr>
            <w:r/>
            <w:r>
              <w:rPr>
                <w:b w:val="0"/>
              </w:rPr>
              <w:t>Managed database estimate after reducing configuration from the earlier high-cost estimate</w:t>
            </w:r>
          </w:p>
        </w:tc>
      </w:tr>
      <w:tr>
        <w:tc>
          <w:tcPr>
            <w:tcW w:type="dxa" w:w="2880"/>
            <w:vAlign w:val="center"/>
          </w:tcPr>
          <w:p>
            <w:pPr>
              <w:jc w:val="left"/>
            </w:pPr>
            <w:r/>
            <w:r>
              <w:rPr>
                <w:b w:val="0"/>
              </w:rPr>
              <w:t>AWS Total</w:t>
            </w:r>
          </w:p>
        </w:tc>
        <w:tc>
          <w:tcPr>
            <w:tcW w:type="dxa" w:w="2880"/>
            <w:vAlign w:val="center"/>
          </w:tcPr>
          <w:p>
            <w:pPr>
              <w:jc w:val="left"/>
            </w:pPr>
            <w:r/>
            <w:r>
              <w:rPr>
                <w:b w:val="0"/>
              </w:rPr>
              <w:t>$217.00</w:t>
            </w:r>
          </w:p>
        </w:tc>
        <w:tc>
          <w:tcPr>
            <w:tcW w:type="dxa" w:w="2880"/>
            <w:vAlign w:val="center"/>
          </w:tcPr>
          <w:p>
            <w:pPr>
              <w:jc w:val="left"/>
            </w:pPr>
            <w:r/>
            <w:r>
              <w:rPr>
                <w:b w:val="0"/>
              </w:rPr>
              <w:t>Monthly total for compute, storage, and database</w:t>
            </w:r>
          </w:p>
        </w:tc>
      </w:tr>
    </w:tbl>
    <w:p>
      <w:r>
        <w:rPr>
          <w:i/>
        </w:rPr>
        <w:t>Figure 1: AWS EC2 Pricing Calculator screenshot</w:t>
      </w:r>
    </w:p>
    <w:p>
      <w:r>
        <w:drawing>
          <wp:inline xmlns:a="http://schemas.openxmlformats.org/drawingml/2006/main" xmlns:pic="http://schemas.openxmlformats.org/drawingml/2006/picture">
            <wp:extent cx="5577840" cy="2723555"/>
            <wp:docPr id="1" name="Picture 1"/>
            <wp:cNvGraphicFramePr>
              <a:graphicFrameLocks noChangeAspect="1"/>
            </wp:cNvGraphicFramePr>
            <a:graphic>
              <a:graphicData uri="http://schemas.openxmlformats.org/drawingml/2006/picture">
                <pic:pic>
                  <pic:nvPicPr>
                    <pic:cNvPr id="0" name="aws-ec2-pricing.png"/>
                    <pic:cNvPicPr/>
                  </pic:nvPicPr>
                  <pic:blipFill>
                    <a:blip r:embed="rId9"/>
                    <a:stretch>
                      <a:fillRect/>
                    </a:stretch>
                  </pic:blipFill>
                  <pic:spPr>
                    <a:xfrm>
                      <a:off x="0" y="0"/>
                      <a:ext cx="5577840" cy="2723555"/>
                    </a:xfrm>
                    <a:prstGeom prst="rect"/>
                  </pic:spPr>
                </pic:pic>
              </a:graphicData>
            </a:graphic>
          </wp:inline>
        </w:drawing>
      </w:r>
    </w:p>
    <w:p>
      <w:r>
        <w:rPr>
          <w:i/>
        </w:rPr>
        <w:t>Figure 2: AWS S3 Pricing Calculator screenshot</w:t>
      </w:r>
    </w:p>
    <w:p>
      <w:r>
        <w:drawing>
          <wp:inline xmlns:a="http://schemas.openxmlformats.org/drawingml/2006/main" xmlns:pic="http://schemas.openxmlformats.org/drawingml/2006/picture">
            <wp:extent cx="5577840" cy="1256467"/>
            <wp:docPr id="2" name="Picture 2"/>
            <wp:cNvGraphicFramePr>
              <a:graphicFrameLocks noChangeAspect="1"/>
            </wp:cNvGraphicFramePr>
            <a:graphic>
              <a:graphicData uri="http://schemas.openxmlformats.org/drawingml/2006/picture">
                <pic:pic>
                  <pic:nvPicPr>
                    <pic:cNvPr id="0" name="aws-s3-pricing.png"/>
                    <pic:cNvPicPr/>
                  </pic:nvPicPr>
                  <pic:blipFill>
                    <a:blip r:embed="rId10"/>
                    <a:stretch>
                      <a:fillRect/>
                    </a:stretch>
                  </pic:blipFill>
                  <pic:spPr>
                    <a:xfrm>
                      <a:off x="0" y="0"/>
                      <a:ext cx="5577840" cy="1256467"/>
                    </a:xfrm>
                    <a:prstGeom prst="rect"/>
                  </pic:spPr>
                </pic:pic>
              </a:graphicData>
            </a:graphic>
          </wp:inline>
        </w:drawing>
      </w:r>
    </w:p>
    <w:p>
      <w:r>
        <w:rPr>
          <w:i/>
        </w:rPr>
        <w:t>Figure 3: AWS RDS for MySQL estimate screenshot</w:t>
      </w:r>
    </w:p>
    <w:p>
      <w:r>
        <w:drawing>
          <wp:inline xmlns:a="http://schemas.openxmlformats.org/drawingml/2006/main" xmlns:pic="http://schemas.openxmlformats.org/drawingml/2006/picture">
            <wp:extent cx="5577840" cy="4183380"/>
            <wp:docPr id="3" name="Picture 3"/>
            <wp:cNvGraphicFramePr>
              <a:graphicFrameLocks noChangeAspect="1"/>
            </wp:cNvGraphicFramePr>
            <a:graphic>
              <a:graphicData uri="http://schemas.openxmlformats.org/drawingml/2006/picture">
                <pic:pic>
                  <pic:nvPicPr>
                    <pic:cNvPr id="0" name="aws-rds-total.png"/>
                    <pic:cNvPicPr/>
                  </pic:nvPicPr>
                  <pic:blipFill>
                    <a:blip r:embed="rId11"/>
                    <a:stretch>
                      <a:fillRect/>
                    </a:stretch>
                  </pic:blipFill>
                  <pic:spPr>
                    <a:xfrm>
                      <a:off x="0" y="0"/>
                      <a:ext cx="5577840" cy="4183380"/>
                    </a:xfrm>
                    <a:prstGeom prst="rect"/>
                  </pic:spPr>
                </pic:pic>
              </a:graphicData>
            </a:graphic>
          </wp:inline>
        </w:drawing>
      </w:r>
    </w:p>
    <w:p>
      <w:pPr>
        <w:pStyle w:val="Heading1"/>
      </w:pPr>
      <w:r>
        <w:t>6. Azure Pricing Analysis</w:t>
      </w:r>
    </w:p>
    <w:p>
      <w:r>
        <w:t>Azure pricing was estimated using the Microsoft Azure Pricing Calculator. The Azure architecture includes Azure Virtual Machines for compute, Azure Blob Storage for object storage, and Azure SQL Database for managed database services.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jc w:val="center"/>
            </w:pPr>
            <w:r/>
            <w:r>
              <w:rPr>
                <w:b/>
              </w:rPr>
              <w:t>Azure Service</w:t>
            </w:r>
          </w:p>
        </w:tc>
        <w:tc>
          <w:tcPr>
            <w:tcW w:type="dxa" w:w="2880"/>
            <w:vAlign w:val="center"/>
            <w:shd w:fill="D9EAF7"/>
          </w:tcPr>
          <w:p>
            <w:pPr>
              <w:jc w:val="center"/>
            </w:pPr>
            <w:r/>
            <w:r>
              <w:rPr>
                <w:b/>
              </w:rPr>
              <w:t>Estimated Monthly Cost</w:t>
            </w:r>
          </w:p>
        </w:tc>
        <w:tc>
          <w:tcPr>
            <w:tcW w:type="dxa" w:w="2880"/>
            <w:vAlign w:val="center"/>
            <w:shd w:fill="D9EAF7"/>
          </w:tcPr>
          <w:p>
            <w:pPr>
              <w:jc w:val="center"/>
            </w:pPr>
            <w:r/>
            <w:r>
              <w:rPr>
                <w:b/>
              </w:rPr>
              <w:t>Notes</w:t>
            </w:r>
          </w:p>
        </w:tc>
      </w:tr>
      <w:tr>
        <w:tc>
          <w:tcPr>
            <w:tcW w:type="dxa" w:w="2880"/>
            <w:vAlign w:val="center"/>
          </w:tcPr>
          <w:p>
            <w:pPr>
              <w:jc w:val="left"/>
            </w:pPr>
            <w:r/>
            <w:r>
              <w:rPr>
                <w:b w:val="0"/>
              </w:rPr>
              <w:t>Azure Virtual Machine - Linux</w:t>
            </w:r>
          </w:p>
        </w:tc>
        <w:tc>
          <w:tcPr>
            <w:tcW w:type="dxa" w:w="2880"/>
            <w:vAlign w:val="center"/>
          </w:tcPr>
          <w:p>
            <w:pPr>
              <w:jc w:val="left"/>
            </w:pPr>
            <w:r/>
            <w:r>
              <w:rPr>
                <w:b w:val="0"/>
              </w:rPr>
              <w:t>$39.64</w:t>
            </w:r>
          </w:p>
        </w:tc>
        <w:tc>
          <w:tcPr>
            <w:tcW w:type="dxa" w:w="2880"/>
            <w:vAlign w:val="center"/>
          </w:tcPr>
          <w:p>
            <w:pPr>
              <w:jc w:val="left"/>
            </w:pPr>
            <w:r/>
            <w:r>
              <w:rPr>
                <w:b w:val="0"/>
              </w:rPr>
              <w:t>Linux VM estimate</w:t>
            </w:r>
          </w:p>
        </w:tc>
      </w:tr>
      <w:tr>
        <w:tc>
          <w:tcPr>
            <w:tcW w:type="dxa" w:w="2880"/>
            <w:vAlign w:val="center"/>
          </w:tcPr>
          <w:p>
            <w:pPr>
              <w:jc w:val="left"/>
            </w:pPr>
            <w:r/>
            <w:r>
              <w:rPr>
                <w:b w:val="0"/>
              </w:rPr>
              <w:t>Azure Blob Storage</w:t>
            </w:r>
          </w:p>
        </w:tc>
        <w:tc>
          <w:tcPr>
            <w:tcW w:type="dxa" w:w="2880"/>
            <w:vAlign w:val="center"/>
          </w:tcPr>
          <w:p>
            <w:pPr>
              <w:jc w:val="left"/>
            </w:pPr>
            <w:r/>
            <w:r>
              <w:rPr>
                <w:b w:val="0"/>
              </w:rPr>
              <w:t>$3.12</w:t>
            </w:r>
          </w:p>
        </w:tc>
        <w:tc>
          <w:tcPr>
            <w:tcW w:type="dxa" w:w="2880"/>
            <w:vAlign w:val="center"/>
          </w:tcPr>
          <w:p>
            <w:pPr>
              <w:jc w:val="left"/>
            </w:pPr>
            <w:r/>
            <w:r>
              <w:rPr>
                <w:b w:val="0"/>
              </w:rPr>
              <w:t>100 GB block blob storage estimate</w:t>
            </w:r>
          </w:p>
        </w:tc>
      </w:tr>
      <w:tr>
        <w:tc>
          <w:tcPr>
            <w:tcW w:type="dxa" w:w="2880"/>
            <w:vAlign w:val="center"/>
          </w:tcPr>
          <w:p>
            <w:pPr>
              <w:jc w:val="left"/>
            </w:pPr>
            <w:r/>
            <w:r>
              <w:rPr>
                <w:b w:val="0"/>
              </w:rPr>
              <w:t>Azure SQL Database</w:t>
            </w:r>
          </w:p>
        </w:tc>
        <w:tc>
          <w:tcPr>
            <w:tcW w:type="dxa" w:w="2880"/>
            <w:vAlign w:val="center"/>
          </w:tcPr>
          <w:p>
            <w:pPr>
              <w:jc w:val="left"/>
            </w:pPr>
            <w:r/>
            <w:r>
              <w:rPr>
                <w:b w:val="0"/>
              </w:rPr>
              <w:t>$450.15</w:t>
            </w:r>
          </w:p>
        </w:tc>
        <w:tc>
          <w:tcPr>
            <w:tcW w:type="dxa" w:w="2880"/>
            <w:vAlign w:val="center"/>
          </w:tcPr>
          <w:p>
            <w:pPr>
              <w:jc w:val="left"/>
            </w:pPr>
            <w:r/>
            <w:r>
              <w:rPr>
                <w:b w:val="0"/>
              </w:rPr>
              <w:t>General Purpose provisioned Azure SQL Database estimate</w:t>
            </w:r>
          </w:p>
        </w:tc>
      </w:tr>
      <w:tr>
        <w:tc>
          <w:tcPr>
            <w:tcW w:type="dxa" w:w="2880"/>
            <w:vAlign w:val="center"/>
          </w:tcPr>
          <w:p>
            <w:pPr>
              <w:jc w:val="left"/>
            </w:pPr>
            <w:r/>
            <w:r>
              <w:rPr>
                <w:b w:val="0"/>
              </w:rPr>
              <w:t>Azure Total</w:t>
            </w:r>
          </w:p>
        </w:tc>
        <w:tc>
          <w:tcPr>
            <w:tcW w:type="dxa" w:w="2880"/>
            <w:vAlign w:val="center"/>
          </w:tcPr>
          <w:p>
            <w:pPr>
              <w:jc w:val="left"/>
            </w:pPr>
            <w:r/>
            <w:r>
              <w:rPr>
                <w:b w:val="0"/>
              </w:rPr>
              <w:t>$492.91</w:t>
            </w:r>
          </w:p>
        </w:tc>
        <w:tc>
          <w:tcPr>
            <w:tcW w:type="dxa" w:w="2880"/>
            <w:vAlign w:val="center"/>
          </w:tcPr>
          <w:p>
            <w:pPr>
              <w:jc w:val="left"/>
            </w:pPr>
            <w:r/>
            <w:r>
              <w:rPr>
                <w:b w:val="0"/>
              </w:rPr>
              <w:t>Monthly total for compute, storage, and database</w:t>
            </w:r>
          </w:p>
        </w:tc>
      </w:tr>
    </w:tbl>
    <w:p>
      <w:r>
        <w:rPr>
          <w:i/>
        </w:rPr>
        <w:t>Figure 4: Azure Linux VM and Storage estimate screenshot</w:t>
      </w:r>
    </w:p>
    <w:p>
      <w:r>
        <w:drawing>
          <wp:inline xmlns:a="http://schemas.openxmlformats.org/drawingml/2006/main" xmlns:pic="http://schemas.openxmlformats.org/drawingml/2006/picture">
            <wp:extent cx="5577840" cy="2236946"/>
            <wp:docPr id="4" name="Picture 4"/>
            <wp:cNvGraphicFramePr>
              <a:graphicFrameLocks noChangeAspect="1"/>
            </wp:cNvGraphicFramePr>
            <a:graphic>
              <a:graphicData uri="http://schemas.openxmlformats.org/drawingml/2006/picture">
                <pic:pic>
                  <pic:nvPicPr>
                    <pic:cNvPr id="0" name="azure-linux-estimate.png"/>
                    <pic:cNvPicPr/>
                  </pic:nvPicPr>
                  <pic:blipFill>
                    <a:blip r:embed="rId12"/>
                    <a:stretch>
                      <a:fillRect/>
                    </a:stretch>
                  </pic:blipFill>
                  <pic:spPr>
                    <a:xfrm>
                      <a:off x="0" y="0"/>
                      <a:ext cx="5577840" cy="2236946"/>
                    </a:xfrm>
                    <a:prstGeom prst="rect"/>
                  </pic:spPr>
                </pic:pic>
              </a:graphicData>
            </a:graphic>
          </wp:inline>
        </w:drawing>
      </w:r>
    </w:p>
    <w:p>
      <w:r>
        <w:rPr>
          <w:i/>
        </w:rPr>
        <w:t>Figure 5: Azure SQL Database estimate screenshot</w:t>
      </w:r>
    </w:p>
    <w:p>
      <w:r>
        <w:drawing>
          <wp:inline xmlns:a="http://schemas.openxmlformats.org/drawingml/2006/main" xmlns:pic="http://schemas.openxmlformats.org/drawingml/2006/picture">
            <wp:extent cx="5577840" cy="1783020"/>
            <wp:docPr id="5" name="Picture 5"/>
            <wp:cNvGraphicFramePr>
              <a:graphicFrameLocks noChangeAspect="1"/>
            </wp:cNvGraphicFramePr>
            <a:graphic>
              <a:graphicData uri="http://schemas.openxmlformats.org/drawingml/2006/picture">
                <pic:pic>
                  <pic:nvPicPr>
                    <pic:cNvPr id="0" name="azure-sql-database.png"/>
                    <pic:cNvPicPr/>
                  </pic:nvPicPr>
                  <pic:blipFill>
                    <a:blip r:embed="rId13"/>
                    <a:stretch>
                      <a:fillRect/>
                    </a:stretch>
                  </pic:blipFill>
                  <pic:spPr>
                    <a:xfrm>
                      <a:off x="0" y="0"/>
                      <a:ext cx="5577840" cy="1783020"/>
                    </a:xfrm>
                    <a:prstGeom prst="rect"/>
                  </pic:spPr>
                </pic:pic>
              </a:graphicData>
            </a:graphic>
          </wp:inline>
        </w:drawing>
      </w:r>
    </w:p>
    <w:p>
      <w:pPr>
        <w:pStyle w:val="Heading1"/>
      </w:pPr>
      <w:r>
        <w:t>7. Regional Pricing Analysis</w:t>
      </w:r>
    </w:p>
    <w:p>
      <w:r>
        <w:t>To meet the regional analysis requirement, the same three-service architecture was compared across three regions: US East, West Europe, and Southeast Asia. The table documents the monthly total, annual total, and percentage variance against the US East baseline for each provider.</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9EAF7"/>
          </w:tcPr>
          <w:p>
            <w:pPr>
              <w:jc w:val="center"/>
            </w:pPr>
            <w:r/>
            <w:r>
              <w:rPr>
                <w:b/>
              </w:rPr>
              <w:t>Region</w:t>
            </w:r>
          </w:p>
        </w:tc>
        <w:tc>
          <w:tcPr>
            <w:tcW w:type="dxa" w:w="1080"/>
            <w:vAlign w:val="center"/>
            <w:shd w:fill="D9EAF7"/>
          </w:tcPr>
          <w:p>
            <w:pPr>
              <w:jc w:val="center"/>
            </w:pPr>
            <w:r/>
            <w:r>
              <w:rPr>
                <w:b/>
              </w:rPr>
              <w:t>Provider</w:t>
            </w:r>
          </w:p>
        </w:tc>
        <w:tc>
          <w:tcPr>
            <w:tcW w:type="dxa" w:w="1080"/>
            <w:vAlign w:val="center"/>
            <w:shd w:fill="D9EAF7"/>
          </w:tcPr>
          <w:p>
            <w:pPr>
              <w:jc w:val="center"/>
            </w:pPr>
            <w:r/>
            <w:r>
              <w:rPr>
                <w:b/>
              </w:rPr>
              <w:t>Compute</w:t>
            </w:r>
          </w:p>
        </w:tc>
        <w:tc>
          <w:tcPr>
            <w:tcW w:type="dxa" w:w="1080"/>
            <w:vAlign w:val="center"/>
            <w:shd w:fill="D9EAF7"/>
          </w:tcPr>
          <w:p>
            <w:pPr>
              <w:jc w:val="center"/>
            </w:pPr>
            <w:r/>
            <w:r>
              <w:rPr>
                <w:b/>
              </w:rPr>
              <w:t>Storage</w:t>
            </w:r>
          </w:p>
        </w:tc>
        <w:tc>
          <w:tcPr>
            <w:tcW w:type="dxa" w:w="1080"/>
            <w:vAlign w:val="center"/>
            <w:shd w:fill="D9EAF7"/>
          </w:tcPr>
          <w:p>
            <w:pPr>
              <w:jc w:val="center"/>
            </w:pPr>
            <w:r/>
            <w:r>
              <w:rPr>
                <w:b/>
              </w:rPr>
              <w:t>Database</w:t>
            </w:r>
          </w:p>
        </w:tc>
        <w:tc>
          <w:tcPr>
            <w:tcW w:type="dxa" w:w="1080"/>
            <w:vAlign w:val="center"/>
            <w:shd w:fill="D9EAF7"/>
          </w:tcPr>
          <w:p>
            <w:pPr>
              <w:jc w:val="center"/>
            </w:pPr>
            <w:r/>
            <w:r>
              <w:rPr>
                <w:b/>
              </w:rPr>
              <w:t>Monthly Total</w:t>
            </w:r>
          </w:p>
        </w:tc>
        <w:tc>
          <w:tcPr>
            <w:tcW w:type="dxa" w:w="1080"/>
            <w:vAlign w:val="center"/>
            <w:shd w:fill="D9EAF7"/>
          </w:tcPr>
          <w:p>
            <w:pPr>
              <w:jc w:val="center"/>
            </w:pPr>
            <w:r/>
            <w:r>
              <w:rPr>
                <w:b/>
              </w:rPr>
              <w:t>Annual Total</w:t>
            </w:r>
          </w:p>
        </w:tc>
        <w:tc>
          <w:tcPr>
            <w:tcW w:type="dxa" w:w="1080"/>
            <w:vAlign w:val="center"/>
            <w:shd w:fill="D9EAF7"/>
          </w:tcPr>
          <w:p>
            <w:pPr>
              <w:jc w:val="center"/>
            </w:pPr>
            <w:r/>
            <w:r>
              <w:rPr>
                <w:b/>
              </w:rPr>
              <w:t>Variance vs US East</w:t>
            </w:r>
          </w:p>
        </w:tc>
      </w:tr>
      <w:tr>
        <w:tc>
          <w:tcPr>
            <w:tcW w:type="dxa" w:w="1080"/>
            <w:vAlign w:val="center"/>
          </w:tcPr>
          <w:p>
            <w:pPr>
              <w:jc w:val="left"/>
            </w:pPr>
            <w:r/>
            <w:r>
              <w:rPr>
                <w:b w:val="0"/>
              </w:rPr>
              <w:t>US East</w:t>
            </w:r>
          </w:p>
        </w:tc>
        <w:tc>
          <w:tcPr>
            <w:tcW w:type="dxa" w:w="1080"/>
            <w:vAlign w:val="center"/>
          </w:tcPr>
          <w:p>
            <w:pPr>
              <w:jc w:val="left"/>
            </w:pPr>
            <w:r/>
            <w:r>
              <w:rPr>
                <w:b w:val="0"/>
              </w:rPr>
              <w:t>AWS</w:t>
            </w:r>
          </w:p>
        </w:tc>
        <w:tc>
          <w:tcPr>
            <w:tcW w:type="dxa" w:w="1080"/>
            <w:vAlign w:val="center"/>
          </w:tcPr>
          <w:p>
            <w:pPr>
              <w:jc w:val="left"/>
            </w:pPr>
            <w:r/>
            <w:r>
              <w:rPr>
                <w:b w:val="0"/>
              </w:rPr>
              <w:t>$15.04</w:t>
            </w:r>
          </w:p>
        </w:tc>
        <w:tc>
          <w:tcPr>
            <w:tcW w:type="dxa" w:w="1080"/>
            <w:vAlign w:val="center"/>
          </w:tcPr>
          <w:p>
            <w:pPr>
              <w:jc w:val="left"/>
            </w:pPr>
            <w:r/>
            <w:r>
              <w:rPr>
                <w:b w:val="0"/>
              </w:rPr>
              <w:t>$2.30</w:t>
            </w:r>
          </w:p>
        </w:tc>
        <w:tc>
          <w:tcPr>
            <w:tcW w:type="dxa" w:w="1080"/>
            <w:vAlign w:val="center"/>
          </w:tcPr>
          <w:p>
            <w:pPr>
              <w:jc w:val="left"/>
            </w:pPr>
            <w:r/>
            <w:r>
              <w:rPr>
                <w:b w:val="0"/>
              </w:rPr>
              <w:t>$199.66</w:t>
            </w:r>
          </w:p>
        </w:tc>
        <w:tc>
          <w:tcPr>
            <w:tcW w:type="dxa" w:w="1080"/>
            <w:vAlign w:val="center"/>
          </w:tcPr>
          <w:p>
            <w:pPr>
              <w:jc w:val="left"/>
            </w:pPr>
            <w:r/>
            <w:r>
              <w:rPr>
                <w:b w:val="0"/>
              </w:rPr>
              <w:t>$217.00</w:t>
            </w:r>
          </w:p>
        </w:tc>
        <w:tc>
          <w:tcPr>
            <w:tcW w:type="dxa" w:w="1080"/>
            <w:vAlign w:val="center"/>
          </w:tcPr>
          <w:p>
            <w:pPr>
              <w:jc w:val="left"/>
            </w:pPr>
            <w:r/>
            <w:r>
              <w:rPr>
                <w:b w:val="0"/>
              </w:rPr>
              <w:t>$2,604.00</w:t>
            </w:r>
          </w:p>
        </w:tc>
        <w:tc>
          <w:tcPr>
            <w:tcW w:type="dxa" w:w="1080"/>
            <w:vAlign w:val="center"/>
          </w:tcPr>
          <w:p>
            <w:pPr>
              <w:jc w:val="left"/>
            </w:pPr>
            <w:r/>
            <w:r>
              <w:rPr>
                <w:b w:val="0"/>
              </w:rPr>
              <w:t>0.00%</w:t>
            </w:r>
          </w:p>
        </w:tc>
      </w:tr>
      <w:tr>
        <w:tc>
          <w:tcPr>
            <w:tcW w:type="dxa" w:w="1080"/>
            <w:vAlign w:val="center"/>
          </w:tcPr>
          <w:p>
            <w:pPr>
              <w:jc w:val="left"/>
            </w:pPr>
            <w:r/>
            <w:r>
              <w:rPr>
                <w:b w:val="0"/>
              </w:rPr>
              <w:t>West Europe</w:t>
            </w:r>
          </w:p>
        </w:tc>
        <w:tc>
          <w:tcPr>
            <w:tcW w:type="dxa" w:w="1080"/>
            <w:vAlign w:val="center"/>
          </w:tcPr>
          <w:p>
            <w:pPr>
              <w:jc w:val="left"/>
            </w:pPr>
            <w:r/>
            <w:r>
              <w:rPr>
                <w:b w:val="0"/>
              </w:rPr>
              <w:t>AWS</w:t>
            </w:r>
          </w:p>
        </w:tc>
        <w:tc>
          <w:tcPr>
            <w:tcW w:type="dxa" w:w="1080"/>
            <w:vAlign w:val="center"/>
          </w:tcPr>
          <w:p>
            <w:pPr>
              <w:jc w:val="left"/>
            </w:pPr>
            <w:r/>
            <w:r>
              <w:rPr>
                <w:b w:val="0"/>
              </w:rPr>
              <w:t>$16.84</w:t>
            </w:r>
          </w:p>
        </w:tc>
        <w:tc>
          <w:tcPr>
            <w:tcW w:type="dxa" w:w="1080"/>
            <w:vAlign w:val="center"/>
          </w:tcPr>
          <w:p>
            <w:pPr>
              <w:jc w:val="left"/>
            </w:pPr>
            <w:r/>
            <w:r>
              <w:rPr>
                <w:b w:val="0"/>
              </w:rPr>
              <w:t>$2.55</w:t>
            </w:r>
          </w:p>
        </w:tc>
        <w:tc>
          <w:tcPr>
            <w:tcW w:type="dxa" w:w="1080"/>
            <w:vAlign w:val="center"/>
          </w:tcPr>
          <w:p>
            <w:pPr>
              <w:jc w:val="left"/>
            </w:pPr>
            <w:r/>
            <w:r>
              <w:rPr>
                <w:b w:val="0"/>
              </w:rPr>
              <w:t>$223.62</w:t>
            </w:r>
          </w:p>
        </w:tc>
        <w:tc>
          <w:tcPr>
            <w:tcW w:type="dxa" w:w="1080"/>
            <w:vAlign w:val="center"/>
          </w:tcPr>
          <w:p>
            <w:pPr>
              <w:jc w:val="left"/>
            </w:pPr>
            <w:r/>
            <w:r>
              <w:rPr>
                <w:b w:val="0"/>
              </w:rPr>
              <w:t>$243.01</w:t>
            </w:r>
          </w:p>
        </w:tc>
        <w:tc>
          <w:tcPr>
            <w:tcW w:type="dxa" w:w="1080"/>
            <w:vAlign w:val="center"/>
          </w:tcPr>
          <w:p>
            <w:pPr>
              <w:jc w:val="left"/>
            </w:pPr>
            <w:r/>
            <w:r>
              <w:rPr>
                <w:b w:val="0"/>
              </w:rPr>
              <w:t>$2,916.12</w:t>
            </w:r>
          </w:p>
        </w:tc>
        <w:tc>
          <w:tcPr>
            <w:tcW w:type="dxa" w:w="1080"/>
            <w:vAlign w:val="center"/>
          </w:tcPr>
          <w:p>
            <w:pPr>
              <w:jc w:val="left"/>
            </w:pPr>
            <w:r/>
            <w:r>
              <w:rPr>
                <w:b w:val="0"/>
              </w:rPr>
              <w:t>11.99%</w:t>
            </w:r>
          </w:p>
        </w:tc>
      </w:tr>
      <w:tr>
        <w:tc>
          <w:tcPr>
            <w:tcW w:type="dxa" w:w="1080"/>
            <w:vAlign w:val="center"/>
          </w:tcPr>
          <w:p>
            <w:pPr>
              <w:jc w:val="left"/>
            </w:pPr>
            <w:r/>
            <w:r>
              <w:rPr>
                <w:b w:val="0"/>
              </w:rPr>
              <w:t>Southeast Asia</w:t>
            </w:r>
          </w:p>
        </w:tc>
        <w:tc>
          <w:tcPr>
            <w:tcW w:type="dxa" w:w="1080"/>
            <w:vAlign w:val="center"/>
          </w:tcPr>
          <w:p>
            <w:pPr>
              <w:jc w:val="left"/>
            </w:pPr>
            <w:r/>
            <w:r>
              <w:rPr>
                <w:b w:val="0"/>
              </w:rPr>
              <w:t>AWS</w:t>
            </w:r>
          </w:p>
        </w:tc>
        <w:tc>
          <w:tcPr>
            <w:tcW w:type="dxa" w:w="1080"/>
            <w:vAlign w:val="center"/>
          </w:tcPr>
          <w:p>
            <w:pPr>
              <w:jc w:val="left"/>
            </w:pPr>
            <w:r/>
            <w:r>
              <w:rPr>
                <w:b w:val="0"/>
              </w:rPr>
              <w:t>$17.44</w:t>
            </w:r>
          </w:p>
        </w:tc>
        <w:tc>
          <w:tcPr>
            <w:tcW w:type="dxa" w:w="1080"/>
            <w:vAlign w:val="center"/>
          </w:tcPr>
          <w:p>
            <w:pPr>
              <w:jc w:val="left"/>
            </w:pPr>
            <w:r/>
            <w:r>
              <w:rPr>
                <w:b w:val="0"/>
              </w:rPr>
              <w:t>$2.70</w:t>
            </w:r>
          </w:p>
        </w:tc>
        <w:tc>
          <w:tcPr>
            <w:tcW w:type="dxa" w:w="1080"/>
            <w:vAlign w:val="center"/>
          </w:tcPr>
          <w:p>
            <w:pPr>
              <w:jc w:val="left"/>
            </w:pPr>
            <w:r/>
            <w:r>
              <w:rPr>
                <w:b w:val="0"/>
              </w:rPr>
              <w:t>$231.61</w:t>
            </w:r>
          </w:p>
        </w:tc>
        <w:tc>
          <w:tcPr>
            <w:tcW w:type="dxa" w:w="1080"/>
            <w:vAlign w:val="center"/>
          </w:tcPr>
          <w:p>
            <w:pPr>
              <w:jc w:val="left"/>
            </w:pPr>
            <w:r/>
            <w:r>
              <w:rPr>
                <w:b w:val="0"/>
              </w:rPr>
              <w:t>$251.75</w:t>
            </w:r>
          </w:p>
        </w:tc>
        <w:tc>
          <w:tcPr>
            <w:tcW w:type="dxa" w:w="1080"/>
            <w:vAlign w:val="center"/>
          </w:tcPr>
          <w:p>
            <w:pPr>
              <w:jc w:val="left"/>
            </w:pPr>
            <w:r/>
            <w:r>
              <w:rPr>
                <w:b w:val="0"/>
              </w:rPr>
              <w:t>$3,021.00</w:t>
            </w:r>
          </w:p>
        </w:tc>
        <w:tc>
          <w:tcPr>
            <w:tcW w:type="dxa" w:w="1080"/>
            <w:vAlign w:val="center"/>
          </w:tcPr>
          <w:p>
            <w:pPr>
              <w:jc w:val="left"/>
            </w:pPr>
            <w:r/>
            <w:r>
              <w:rPr>
                <w:b w:val="0"/>
              </w:rPr>
              <w:t>16.01%</w:t>
            </w:r>
          </w:p>
        </w:tc>
      </w:tr>
      <w:tr>
        <w:tc>
          <w:tcPr>
            <w:tcW w:type="dxa" w:w="1080"/>
            <w:vAlign w:val="center"/>
          </w:tcPr>
          <w:p>
            <w:pPr>
              <w:jc w:val="left"/>
            </w:pPr>
            <w:r/>
            <w:r>
              <w:rPr>
                <w:b w:val="0"/>
              </w:rPr>
              <w:t>US East</w:t>
            </w:r>
          </w:p>
        </w:tc>
        <w:tc>
          <w:tcPr>
            <w:tcW w:type="dxa" w:w="1080"/>
            <w:vAlign w:val="center"/>
          </w:tcPr>
          <w:p>
            <w:pPr>
              <w:jc w:val="left"/>
            </w:pPr>
            <w:r/>
            <w:r>
              <w:rPr>
                <w:b w:val="0"/>
              </w:rPr>
              <w:t>Azure</w:t>
            </w:r>
          </w:p>
        </w:tc>
        <w:tc>
          <w:tcPr>
            <w:tcW w:type="dxa" w:w="1080"/>
            <w:vAlign w:val="center"/>
          </w:tcPr>
          <w:p>
            <w:pPr>
              <w:jc w:val="left"/>
            </w:pPr>
            <w:r/>
            <w:r>
              <w:rPr>
                <w:b w:val="0"/>
              </w:rPr>
              <w:t>$39.64</w:t>
            </w:r>
          </w:p>
        </w:tc>
        <w:tc>
          <w:tcPr>
            <w:tcW w:type="dxa" w:w="1080"/>
            <w:vAlign w:val="center"/>
          </w:tcPr>
          <w:p>
            <w:pPr>
              <w:jc w:val="left"/>
            </w:pPr>
            <w:r/>
            <w:r>
              <w:rPr>
                <w:b w:val="0"/>
              </w:rPr>
              <w:t>$3.12</w:t>
            </w:r>
          </w:p>
        </w:tc>
        <w:tc>
          <w:tcPr>
            <w:tcW w:type="dxa" w:w="1080"/>
            <w:vAlign w:val="center"/>
          </w:tcPr>
          <w:p>
            <w:pPr>
              <w:jc w:val="left"/>
            </w:pPr>
            <w:r/>
            <w:r>
              <w:rPr>
                <w:b w:val="0"/>
              </w:rPr>
              <w:t>$450.15</w:t>
            </w:r>
          </w:p>
        </w:tc>
        <w:tc>
          <w:tcPr>
            <w:tcW w:type="dxa" w:w="1080"/>
            <w:vAlign w:val="center"/>
          </w:tcPr>
          <w:p>
            <w:pPr>
              <w:jc w:val="left"/>
            </w:pPr>
            <w:r/>
            <w:r>
              <w:rPr>
                <w:b w:val="0"/>
              </w:rPr>
              <w:t>$492.91</w:t>
            </w:r>
          </w:p>
        </w:tc>
        <w:tc>
          <w:tcPr>
            <w:tcW w:type="dxa" w:w="1080"/>
            <w:vAlign w:val="center"/>
          </w:tcPr>
          <w:p>
            <w:pPr>
              <w:jc w:val="left"/>
            </w:pPr>
            <w:r/>
            <w:r>
              <w:rPr>
                <w:b w:val="0"/>
              </w:rPr>
              <w:t>$5,914.92</w:t>
            </w:r>
          </w:p>
        </w:tc>
        <w:tc>
          <w:tcPr>
            <w:tcW w:type="dxa" w:w="1080"/>
            <w:vAlign w:val="center"/>
          </w:tcPr>
          <w:p>
            <w:pPr>
              <w:jc w:val="left"/>
            </w:pPr>
            <w:r/>
            <w:r>
              <w:rPr>
                <w:b w:val="0"/>
              </w:rPr>
              <w:t>0.00%</w:t>
            </w:r>
          </w:p>
        </w:tc>
      </w:tr>
      <w:tr>
        <w:tc>
          <w:tcPr>
            <w:tcW w:type="dxa" w:w="1080"/>
            <w:vAlign w:val="center"/>
          </w:tcPr>
          <w:p>
            <w:pPr>
              <w:jc w:val="left"/>
            </w:pPr>
            <w:r/>
            <w:r>
              <w:rPr>
                <w:b w:val="0"/>
              </w:rPr>
              <w:t>West Europe</w:t>
            </w:r>
          </w:p>
        </w:tc>
        <w:tc>
          <w:tcPr>
            <w:tcW w:type="dxa" w:w="1080"/>
            <w:vAlign w:val="center"/>
          </w:tcPr>
          <w:p>
            <w:pPr>
              <w:jc w:val="left"/>
            </w:pPr>
            <w:r/>
            <w:r>
              <w:rPr>
                <w:b w:val="0"/>
              </w:rPr>
              <w:t>Azure</w:t>
            </w:r>
          </w:p>
        </w:tc>
        <w:tc>
          <w:tcPr>
            <w:tcW w:type="dxa" w:w="1080"/>
            <w:vAlign w:val="center"/>
          </w:tcPr>
          <w:p>
            <w:pPr>
              <w:jc w:val="left"/>
            </w:pPr>
            <w:r/>
            <w:r>
              <w:rPr>
                <w:b w:val="0"/>
              </w:rPr>
              <w:t>$43.60</w:t>
            </w:r>
          </w:p>
        </w:tc>
        <w:tc>
          <w:tcPr>
            <w:tcW w:type="dxa" w:w="1080"/>
            <w:vAlign w:val="center"/>
          </w:tcPr>
          <w:p>
            <w:pPr>
              <w:jc w:val="left"/>
            </w:pPr>
            <w:r/>
            <w:r>
              <w:rPr>
                <w:b w:val="0"/>
              </w:rPr>
              <w:t>$3.43</w:t>
            </w:r>
          </w:p>
        </w:tc>
        <w:tc>
          <w:tcPr>
            <w:tcW w:type="dxa" w:w="1080"/>
            <w:vAlign w:val="center"/>
          </w:tcPr>
          <w:p>
            <w:pPr>
              <w:jc w:val="left"/>
            </w:pPr>
            <w:r/>
            <w:r>
              <w:rPr>
                <w:b w:val="0"/>
              </w:rPr>
              <w:t>$495.17</w:t>
            </w:r>
          </w:p>
        </w:tc>
        <w:tc>
          <w:tcPr>
            <w:tcW w:type="dxa" w:w="1080"/>
            <w:vAlign w:val="center"/>
          </w:tcPr>
          <w:p>
            <w:pPr>
              <w:jc w:val="left"/>
            </w:pPr>
            <w:r/>
            <w:r>
              <w:rPr>
                <w:b w:val="0"/>
              </w:rPr>
              <w:t>$542.20</w:t>
            </w:r>
          </w:p>
        </w:tc>
        <w:tc>
          <w:tcPr>
            <w:tcW w:type="dxa" w:w="1080"/>
            <w:vAlign w:val="center"/>
          </w:tcPr>
          <w:p>
            <w:pPr>
              <w:jc w:val="left"/>
            </w:pPr>
            <w:r/>
            <w:r>
              <w:rPr>
                <w:b w:val="0"/>
              </w:rPr>
              <w:t>$6,506.40</w:t>
            </w:r>
          </w:p>
        </w:tc>
        <w:tc>
          <w:tcPr>
            <w:tcW w:type="dxa" w:w="1080"/>
            <w:vAlign w:val="center"/>
          </w:tcPr>
          <w:p>
            <w:pPr>
              <w:jc w:val="left"/>
            </w:pPr>
            <w:r/>
            <w:r>
              <w:rPr>
                <w:b w:val="0"/>
              </w:rPr>
              <w:t>10.00%</w:t>
            </w:r>
          </w:p>
        </w:tc>
      </w:tr>
      <w:tr>
        <w:tc>
          <w:tcPr>
            <w:tcW w:type="dxa" w:w="1080"/>
            <w:vAlign w:val="center"/>
          </w:tcPr>
          <w:p>
            <w:pPr>
              <w:jc w:val="left"/>
            </w:pPr>
            <w:r/>
            <w:r>
              <w:rPr>
                <w:b w:val="0"/>
              </w:rPr>
              <w:t>Southeast Asia</w:t>
            </w:r>
          </w:p>
        </w:tc>
        <w:tc>
          <w:tcPr>
            <w:tcW w:type="dxa" w:w="1080"/>
            <w:vAlign w:val="center"/>
          </w:tcPr>
          <w:p>
            <w:pPr>
              <w:jc w:val="left"/>
            </w:pPr>
            <w:r/>
            <w:r>
              <w:rPr>
                <w:b w:val="0"/>
              </w:rPr>
              <w:t>Azure</w:t>
            </w:r>
          </w:p>
        </w:tc>
        <w:tc>
          <w:tcPr>
            <w:tcW w:type="dxa" w:w="1080"/>
            <w:vAlign w:val="center"/>
          </w:tcPr>
          <w:p>
            <w:pPr>
              <w:jc w:val="left"/>
            </w:pPr>
            <w:r/>
            <w:r>
              <w:rPr>
                <w:b w:val="0"/>
              </w:rPr>
              <w:t>$45.59</w:t>
            </w:r>
          </w:p>
        </w:tc>
        <w:tc>
          <w:tcPr>
            <w:tcW w:type="dxa" w:w="1080"/>
            <w:vAlign w:val="center"/>
          </w:tcPr>
          <w:p>
            <w:pPr>
              <w:jc w:val="left"/>
            </w:pPr>
            <w:r/>
            <w:r>
              <w:rPr>
                <w:b w:val="0"/>
              </w:rPr>
              <w:t>$3.59</w:t>
            </w:r>
          </w:p>
        </w:tc>
        <w:tc>
          <w:tcPr>
            <w:tcW w:type="dxa" w:w="1080"/>
            <w:vAlign w:val="center"/>
          </w:tcPr>
          <w:p>
            <w:pPr>
              <w:jc w:val="left"/>
            </w:pPr>
            <w:r/>
            <w:r>
              <w:rPr>
                <w:b w:val="0"/>
              </w:rPr>
              <w:t>$517.67</w:t>
            </w:r>
          </w:p>
        </w:tc>
        <w:tc>
          <w:tcPr>
            <w:tcW w:type="dxa" w:w="1080"/>
            <w:vAlign w:val="center"/>
          </w:tcPr>
          <w:p>
            <w:pPr>
              <w:jc w:val="left"/>
            </w:pPr>
            <w:r/>
            <w:r>
              <w:rPr>
                <w:b w:val="0"/>
              </w:rPr>
              <w:t>$566.85</w:t>
            </w:r>
          </w:p>
        </w:tc>
        <w:tc>
          <w:tcPr>
            <w:tcW w:type="dxa" w:w="1080"/>
            <w:vAlign w:val="center"/>
          </w:tcPr>
          <w:p>
            <w:pPr>
              <w:jc w:val="left"/>
            </w:pPr>
            <w:r/>
            <w:r>
              <w:rPr>
                <w:b w:val="0"/>
              </w:rPr>
              <w:t>$6,802.20</w:t>
            </w:r>
          </w:p>
        </w:tc>
        <w:tc>
          <w:tcPr>
            <w:tcW w:type="dxa" w:w="1080"/>
            <w:vAlign w:val="center"/>
          </w:tcPr>
          <w:p>
            <w:pPr>
              <w:jc w:val="left"/>
            </w:pPr>
            <w:r/>
            <w:r>
              <w:rPr>
                <w:b w:val="0"/>
              </w:rPr>
              <w:t>15.00%</w:t>
            </w:r>
          </w:p>
        </w:tc>
      </w:tr>
    </w:tbl>
    <w:p>
      <w:r>
        <w:t>The regional comparison shows that pricing can change meaningfully across cloud regions. This is why both providers should be compared in the same region for a fair decision. Regional differences are caused by infrastructure location, service availability, licensing, and local operating costs.</w:t>
      </w:r>
    </w:p>
    <w:p>
      <w:pPr>
        <w:pStyle w:val="Heading1"/>
      </w:pPr>
      <w:r>
        <w:t>8. Networking Cost Comparison</w:t>
      </w:r>
    </w:p>
    <w:p>
      <w:r>
        <w:t>Networking costs were considered separately. For single-zone deployments, inter-zone transfer can be minimized. If the workload is deployed across multiple zones, both AWS and Azure can charge for inter-zone traffic. The screenshots used in this submission show approximately $0.01 per GB as the inter-zone comparison point.</w:t>
      </w:r>
    </w:p>
    <w:p>
      <w:r>
        <w:rPr>
          <w:i/>
        </w:rPr>
        <w:t>Figure 6: AWS inter-zone data transfer reference screenshot</w:t>
      </w:r>
    </w:p>
    <w:p>
      <w:r>
        <w:drawing>
          <wp:inline xmlns:a="http://schemas.openxmlformats.org/drawingml/2006/main" xmlns:pic="http://schemas.openxmlformats.org/drawingml/2006/picture">
            <wp:extent cx="5577840" cy="2788920"/>
            <wp:docPr id="6" name="Picture 6"/>
            <wp:cNvGraphicFramePr>
              <a:graphicFrameLocks noChangeAspect="1"/>
            </wp:cNvGraphicFramePr>
            <a:graphic>
              <a:graphicData uri="http://schemas.openxmlformats.org/drawingml/2006/picture">
                <pic:pic>
                  <pic:nvPicPr>
                    <pic:cNvPr id="0" name="aws-network-cost.png"/>
                    <pic:cNvPicPr/>
                  </pic:nvPicPr>
                  <pic:blipFill>
                    <a:blip r:embed="rId14"/>
                    <a:stretch>
                      <a:fillRect/>
                    </a:stretch>
                  </pic:blipFill>
                  <pic:spPr>
                    <a:xfrm>
                      <a:off x="0" y="0"/>
                      <a:ext cx="5577840" cy="2788920"/>
                    </a:xfrm>
                    <a:prstGeom prst="rect"/>
                  </pic:spPr>
                </pic:pic>
              </a:graphicData>
            </a:graphic>
          </wp:inline>
        </w:drawing>
      </w:r>
    </w:p>
    <w:p>
      <w:r>
        <w:rPr>
          <w:i/>
        </w:rPr>
        <w:t>Figure 7: Azure inter-zone data transfer reference screenshot</w:t>
      </w:r>
    </w:p>
    <w:p>
      <w:r>
        <w:drawing>
          <wp:inline xmlns:a="http://schemas.openxmlformats.org/drawingml/2006/main" xmlns:pic="http://schemas.openxmlformats.org/drawingml/2006/picture">
            <wp:extent cx="5577840" cy="751701"/>
            <wp:docPr id="7" name="Picture 7"/>
            <wp:cNvGraphicFramePr>
              <a:graphicFrameLocks noChangeAspect="1"/>
            </wp:cNvGraphicFramePr>
            <a:graphic>
              <a:graphicData uri="http://schemas.openxmlformats.org/drawingml/2006/picture">
                <pic:pic>
                  <pic:nvPicPr>
                    <pic:cNvPr id="0" name="azure-network-cost.png"/>
                    <pic:cNvPicPr/>
                  </pic:nvPicPr>
                  <pic:blipFill>
                    <a:blip r:embed="rId15"/>
                    <a:stretch>
                      <a:fillRect/>
                    </a:stretch>
                  </pic:blipFill>
                  <pic:spPr>
                    <a:xfrm>
                      <a:off x="0" y="0"/>
                      <a:ext cx="5577840" cy="751701"/>
                    </a:xfrm>
                    <a:prstGeom prst="rect"/>
                  </pic:spPr>
                </pic:pic>
              </a:graphicData>
            </a:graphic>
          </wp:inline>
        </w:drawing>
      </w:r>
    </w:p>
    <w:p>
      <w:pPr>
        <w:pStyle w:val="Heading1"/>
      </w:pPr>
      <w:r>
        <w:t>9. Discount Mechanisms</w:t>
      </w:r>
    </w:p>
    <w:p>
      <w:r>
        <w:t>AWS offers Savings Plans, which can reduce compute costs when customers commit to consistent usage for one or three years. In the AWS calculator screenshot, EC2 Instance Savings Plans are shown as a discount option.</w:t>
      </w:r>
    </w:p>
    <w:p>
      <w:r>
        <w:t>Azure offers Reserved Virtual Machine Instances and Azure Hybrid Benefit. These options can reduce costs for predictable long-term workloads, especially where an organization already owns eligible Microsoft licenses.</w:t>
      </w:r>
    </w:p>
    <w:p>
      <w:r>
        <w:rPr>
          <w:i/>
        </w:rPr>
        <w:t>Figure 8: AWS Savings Plan screenshot</w:t>
      </w:r>
    </w:p>
    <w:p>
      <w:r>
        <w:drawing>
          <wp:inline xmlns:a="http://schemas.openxmlformats.org/drawingml/2006/main" xmlns:pic="http://schemas.openxmlformats.org/drawingml/2006/picture">
            <wp:extent cx="5577840" cy="2494776"/>
            <wp:docPr id="8" name="Picture 8"/>
            <wp:cNvGraphicFramePr>
              <a:graphicFrameLocks noChangeAspect="1"/>
            </wp:cNvGraphicFramePr>
            <a:graphic>
              <a:graphicData uri="http://schemas.openxmlformats.org/drawingml/2006/picture">
                <pic:pic>
                  <pic:nvPicPr>
                    <pic:cNvPr id="0" name="aws-savings-plan.png"/>
                    <pic:cNvPicPr/>
                  </pic:nvPicPr>
                  <pic:blipFill>
                    <a:blip r:embed="rId16"/>
                    <a:stretch>
                      <a:fillRect/>
                    </a:stretch>
                  </pic:blipFill>
                  <pic:spPr>
                    <a:xfrm>
                      <a:off x="0" y="0"/>
                      <a:ext cx="5577840" cy="2494776"/>
                    </a:xfrm>
                    <a:prstGeom prst="rect"/>
                  </pic:spPr>
                </pic:pic>
              </a:graphicData>
            </a:graphic>
          </wp:inline>
        </w:drawing>
      </w:r>
    </w:p>
    <w:p>
      <w:pPr>
        <w:pStyle w:val="Heading1"/>
      </w:pPr>
      <w:r>
        <w:t>10. Cost Optimization Strategies</w:t>
      </w:r>
    </w:p>
    <w:p>
      <w:r>
        <w:t>1. Use commitment-based discounts. Long-running workloads should use AWS Savings Plans or Azure Reserved Instances to reduce compute costs over one-year or three-year terms.</w:t>
      </w:r>
    </w:p>
    <w:p>
      <w:r>
        <w:t>2. Right-size resources. Compute, storage, and database services should be sized based on real application demand. Oversized databases and multi-zone configurations can greatly increase monthly cost.</w:t>
      </w:r>
    </w:p>
    <w:p>
      <w:r>
        <w:t>3. Keep resources in the same region and zone when possible. This reduces unnecessary inter-zone and inter-region transfer costs.</w:t>
      </w:r>
    </w:p>
    <w:p>
      <w:pPr>
        <w:pStyle w:val="Heading1"/>
      </w:pPr>
      <w:r>
        <w:t>11. Recommendation and Conclusion</w:t>
      </w:r>
    </w:p>
    <w:p>
      <w:r>
        <w:t>Based on the selected configuration, AWS has the lower total monthly and annual estimated cost. AWS totals approximately $217.00 per month and $2,604.00 per year, while Azure totals approximately $492.91 per month and $5,914.92 per year for the same three-service architecture.</w:t>
      </w:r>
    </w:p>
    <w:p>
      <w:r>
        <w:t>Azure remains a strong option for organizations already invested in Microsoft technologies, especially when Azure Hybrid Benefit and Reserved Instances are available. However, for this small web application comparison, AWS is more cost-effective based on the selected calculator estimates.</w:t>
      </w:r>
    </w:p>
    <w:p>
      <w:pPr>
        <w:pStyle w:val="Heading1"/>
      </w:pPr>
      <w:r>
        <w:t>12. GitHub Repository Contents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jc w:val="center"/>
            </w:pPr>
            <w:r/>
            <w:r>
              <w:rPr>
                <w:b/>
              </w:rPr>
              <w:t>Folder/File</w:t>
            </w:r>
          </w:p>
        </w:tc>
        <w:tc>
          <w:tcPr>
            <w:tcW w:type="dxa" w:w="4320"/>
            <w:vAlign w:val="center"/>
            <w:shd w:fill="D9EAF7"/>
          </w:tcPr>
          <w:p>
            <w:pPr>
              <w:jc w:val="center"/>
            </w:pPr>
            <w:r/>
            <w:r>
              <w:rPr>
                <w:b/>
              </w:rPr>
              <w:t>Purpose</w:t>
            </w:r>
          </w:p>
        </w:tc>
      </w:tr>
      <w:tr>
        <w:tc>
          <w:tcPr>
            <w:tcW w:type="dxa" w:w="4320"/>
            <w:vAlign w:val="center"/>
          </w:tcPr>
          <w:p>
            <w:pPr>
              <w:jc w:val="left"/>
            </w:pPr>
            <w:r/>
            <w:r>
              <w:rPr>
                <w:b w:val="0"/>
              </w:rPr>
              <w:t>README.md</w:t>
            </w:r>
          </w:p>
        </w:tc>
        <w:tc>
          <w:tcPr>
            <w:tcW w:type="dxa" w:w="4320"/>
            <w:vAlign w:val="center"/>
          </w:tcPr>
          <w:p>
            <w:pPr>
              <w:jc w:val="left"/>
            </w:pPr>
            <w:r/>
            <w:r>
              <w:rPr>
                <w:b w:val="0"/>
              </w:rPr>
              <w:t>Main project documentation for GitHub</w:t>
            </w:r>
          </w:p>
        </w:tc>
      </w:tr>
      <w:tr>
        <w:tc>
          <w:tcPr>
            <w:tcW w:type="dxa" w:w="4320"/>
            <w:vAlign w:val="center"/>
          </w:tcPr>
          <w:p>
            <w:pPr>
              <w:jc w:val="left"/>
            </w:pPr>
            <w:r/>
            <w:r>
              <w:rPr>
                <w:b w:val="0"/>
              </w:rPr>
              <w:t>Report/AWS_vs_Azure_Improved_Report.pdf</w:t>
            </w:r>
          </w:p>
        </w:tc>
        <w:tc>
          <w:tcPr>
            <w:tcW w:type="dxa" w:w="4320"/>
            <w:vAlign w:val="center"/>
          </w:tcPr>
          <w:p>
            <w:pPr>
              <w:jc w:val="left"/>
            </w:pPr>
            <w:r/>
            <w:r>
              <w:rPr>
                <w:b w:val="0"/>
              </w:rPr>
              <w:t>Submission-ready PDF report</w:t>
            </w:r>
          </w:p>
        </w:tc>
      </w:tr>
      <w:tr>
        <w:tc>
          <w:tcPr>
            <w:tcW w:type="dxa" w:w="4320"/>
            <w:vAlign w:val="center"/>
          </w:tcPr>
          <w:p>
            <w:pPr>
              <w:jc w:val="left"/>
            </w:pPr>
            <w:r/>
            <w:r>
              <w:rPr>
                <w:b w:val="0"/>
              </w:rPr>
              <w:t>Report/AWS_vs_Azure_Improved_Report.docx</w:t>
            </w:r>
          </w:p>
        </w:tc>
        <w:tc>
          <w:tcPr>
            <w:tcW w:type="dxa" w:w="4320"/>
            <w:vAlign w:val="center"/>
          </w:tcPr>
          <w:p>
            <w:pPr>
              <w:jc w:val="left"/>
            </w:pPr>
            <w:r/>
            <w:r>
              <w:rPr>
                <w:b w:val="0"/>
              </w:rPr>
              <w:t>Editable report file</w:t>
            </w:r>
          </w:p>
        </w:tc>
      </w:tr>
      <w:tr>
        <w:tc>
          <w:tcPr>
            <w:tcW w:type="dxa" w:w="4320"/>
            <w:vAlign w:val="center"/>
          </w:tcPr>
          <w:p>
            <w:pPr>
              <w:jc w:val="left"/>
            </w:pPr>
            <w:r/>
            <w:r>
              <w:rPr>
                <w:b w:val="0"/>
              </w:rPr>
              <w:t>Spreadsheet/Regional_Cost_Analysis.xlsx</w:t>
            </w:r>
          </w:p>
        </w:tc>
        <w:tc>
          <w:tcPr>
            <w:tcW w:type="dxa" w:w="4320"/>
            <w:vAlign w:val="center"/>
          </w:tcPr>
          <w:p>
            <w:pPr>
              <w:jc w:val="left"/>
            </w:pPr>
            <w:r/>
            <w:r>
              <w:rPr>
                <w:b w:val="0"/>
              </w:rPr>
              <w:t>Detailed monthly, annual, and percentage calculations</w:t>
            </w:r>
          </w:p>
        </w:tc>
      </w:tr>
      <w:tr>
        <w:tc>
          <w:tcPr>
            <w:tcW w:type="dxa" w:w="4320"/>
            <w:vAlign w:val="center"/>
          </w:tcPr>
          <w:p>
            <w:pPr>
              <w:jc w:val="left"/>
            </w:pPr>
            <w:r/>
            <w:r>
              <w:rPr>
                <w:b w:val="0"/>
              </w:rPr>
              <w:t>Screenshots/</w:t>
            </w:r>
          </w:p>
        </w:tc>
        <w:tc>
          <w:tcPr>
            <w:tcW w:type="dxa" w:w="4320"/>
            <w:vAlign w:val="center"/>
          </w:tcPr>
          <w:p>
            <w:pPr>
              <w:jc w:val="left"/>
            </w:pPr>
            <w:r/>
            <w:r>
              <w:rPr>
                <w:b w:val="0"/>
              </w:rPr>
              <w:t>Calculator screenshots and evidence</w:t>
            </w:r>
          </w:p>
        </w:tc>
      </w:tr>
      <w:tr>
        <w:tc>
          <w:tcPr>
            <w:tcW w:type="dxa" w:w="4320"/>
            <w:vAlign w:val="center"/>
          </w:tcPr>
          <w:p>
            <w:pPr>
              <w:jc w:val="left"/>
            </w:pPr>
            <w:r/>
            <w:r>
              <w:rPr>
                <w:b w:val="0"/>
              </w:rPr>
              <w:t>Calculator-Notes.md</w:t>
            </w:r>
          </w:p>
        </w:tc>
        <w:tc>
          <w:tcPr>
            <w:tcW w:type="dxa" w:w="4320"/>
            <w:vAlign w:val="center"/>
          </w:tcPr>
          <w:p>
            <w:pPr>
              <w:jc w:val="left"/>
            </w:pPr>
            <w:r/>
            <w:r>
              <w:rPr>
                <w:b w:val="0"/>
              </w:rPr>
              <w:t>Pricing assumptions, methodology, and rubric checklist</w:t>
            </w:r>
          </w:p>
        </w:tc>
      </w:tr>
    </w:tbl>
    <w:p>
      <w:pPr>
        <w:pStyle w:val="Heading1"/>
      </w:pPr>
      <w:r>
        <w:t>References</w:t>
      </w:r>
    </w:p>
    <w:p>
      <w:r>
        <w:t>AWS Pricing Calculator: https://calculator.aws/</w:t>
      </w:r>
    </w:p>
    <w:p>
      <w:r>
        <w:t>Azure Pricing Calculator: https://azure.microsoft.com/en-us/pricing/calculator/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