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Urban heat islands occur when a city becomes noticeably hotter than the countryside surrounding it. The cause is not mysterious. Asphalt and dark roofing absorb sunlight that grass and tree canopy would otherwise reflect, and the stored heat bleeds back out long after sunset. Anyone who has walked across a parking lot at nine in the evening has felt this directly.</w:t>
      </w:r>
    </w:p>
    <w:p>
      <w:r>
        <w:t>Measurements in mid-sized cities typically show a difference of three to five degrees Celsius between the dense core and the outlying suburbs, although the gap widens on still, cloudless nights when there is no wind to mix the air. The effect is worst in neighbourhoods that were paved early and planted late.</w:t>
      </w:r>
    </w:p>
    <w:p>
      <w:r>
        <w:t>Who absorbs the cost is what makes this more than a simple inconvenience. Older housing stock rarely has central cooling, and the residents of those blocks are frequently the ones least able to pay for retrofits. Heat deaths cluster there. So while the physics is straightforward, the solution is not purely technical; it involves deciding which streets get shade trees first.</w:t>
      </w:r>
    </w:p>
    <w:p>
      <w:r>
        <w:t>Cities that have taken the problem seriously tend to do three unglamorous things. They expand the tree canopy along pedestrian corridors, they require reflective or vegetated roofing on new construction, and they replace impervious paving with permeable surfaces where drainage allows. None of these is a silver bullet. Together they measurably reduce the 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