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city becomes an urban heat island when it grows significantly hotter than the rural areas nearby. There's nothing puzzling about why. Dark roofing and asphalt soak up sunlight that grass and trees would normally bounce back, and that trapped warmth escapes slowly after the sun goes down. Walking across a parking lot late in the evening makes this obvious to anyone.</w:t>
      </w:r>
    </w:p>
    <w:p>
      <w:r>
        <w:t>Studies of mid-sized cities show a difference of three to five degrees Celsius between downtown areas and the suburbs further out, and this gap grows even larger on calm, clear nights without wind. Neighborhoods that were paved decades ago but never got new trees suffer the most.</w:t>
      </w:r>
    </w:p>
    <w:p>
      <w:r>
        <w:t>The bigger issue here is who ends up paying the price. Many older homes lack air conditioning, and the people living there often can't afford to install it. Heat deaths cluster there. The science behind this is simple enough, but fixing it isn't purely a technical matter — someone has to decide which streets get shade trees first.</w:t>
      </w:r>
    </w:p>
    <w:p>
      <w:r>
        <w:t>Cities serious about tackling this problem generally focus on three unglamorous fixes. They plant more trees along walking paths, mandate reflective or green roofing for new buildings, and swap out solid pavement for permeable materials wherever drainage permits it. None of these alone solves everything, but together they noticeably cut the worst temperatures.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