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Heat Islands</w:t>
      </w:r>
    </w:p>
    <w:p>
      <w:r>
        <w:t>Urban heat islands form when a city runs measurably warmer than the countryside around it. The cause is not mysterious. Asphalt and dark roofing absorb sunlight that grass and tree canopy would otherwise reflect, and the stored heat bleeds back out long after sunset. Anyone who has walked across a parking lot at nine in the evening has felt this directly.</w:t>
      </w:r>
    </w:p>
    <w:p>
      <w:r>
        <w:t>Measurements in mid-sized cities typically show a difference of three to five degrees Celsius between the dense core and the outlying suburbs, though the gap widens on still, cloudless nights when there is no wind to mix the air. The effect is worst in neighbourhoods that were paved early and planted late.</w:t>
      </w:r>
    </w:p>
    <w:p>
      <w:r>
        <w:t>What makes this more than an inconvenience is who absorbs the cost. Older housing stock rarely has central cooling, and the residents of those blocks are frequently the ones least able to pay for retrofits. Heat deaths cluster there. So while the physics is straightforward, the remedy is not purely technical; it involves deciding which streets get shade trees first.</w:t>
      </w:r>
    </w:p>
    <w:p>
      <w:r>
        <w:t>Cities that have taken the problem seriously tend to do three unglamorous things. They widen the tree canopy along pedestrian corridors, they require reflective or vegetated roofing on new construction, and they replace impervious paving with permeable surfaces where drainage allows. None of these is a silver bullet. Together they measurably shave the peak.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