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Warming Effects</w:t>
      </w:r>
    </w:p>
    <w:p>
      <w:r>
        <w:t>Cities become noticeably hotter than the rural land surrounding them, and the reason is well understood. Dark roofing and asphalt soak up solar radiation that vegetation would have bounced away, and that trapped warmth continues radiating well into the night. Crossing a car park late in the evening makes the effect obvious.</w:t>
      </w:r>
    </w:p>
    <w:p>
      <w:r>
        <w:t>Readings taken in medium-sized urban areas usually reveal a three to five degree Celsius spread between the built-up centre and the outer suburbs. That spread grows on calm, clear nights when no breeze stirs the air. Districts paved long before anyone thought to plant trees suffer most.</w:t>
      </w:r>
    </w:p>
    <w:p>
      <w:r>
        <w:t>The reason this matters beyond mere discomfort is the distribution of harm. Older buildings seldom include air conditioning, and the people living in them are often those with the least money for upgrades. Fatalities from heat concentrate in exactly those blocks. The underlying physics may be simple, but the fix is political as much as engineering: someone must choose which streets receive shade first.</w:t>
      </w:r>
    </w:p>
    <w:p>
      <w:r>
        <w:t>Municipalities that treat this seriously usually pursue three undramatic measures. They extend tree cover along walking routes, they mandate reflective or planted roofs on new builds, and they swap sealed paving for permeable materials wherever drainage permits. No single measure solves it. In combination they demonstrably reduce the 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