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Siamion Danko </w:t>
      </w:r>
      <w:r w:rsidDel="00000000" w:rsidR="00000000" w:rsidRPr="00000000">
        <w:rPr>
          <w:color w:val="444444"/>
          <w:rtl w:val="0"/>
        </w:rPr>
        <w:t xml:space="preserve">- siadan@alum.us.es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sxeuz85dw9k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byhscizjfu">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TI-S5-F14-OperationByAuditorsOnAudits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6s07in2un2">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TI-S5-F15-OperationByAuditorsOnAuditingRecords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p6yl81fjxq">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TI-S5-F16-ShowAuditorDashboard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color w:val="990000"/>
        </w:rPr>
      </w:pPr>
      <w:bookmarkStart w:colFirst="0" w:colLast="0" w:name="_roabcp2qpsd6"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990000"/>
        </w:rPr>
      </w:pPr>
      <w:bookmarkStart w:colFirst="0" w:colLast="0" w:name="_t2hnhs7byfhu"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j9ree11d6ag2" w:id="6"/>
      <w:bookmarkEnd w:id="6"/>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Se ha llevado a cabo un análisis de los requisitos funcionales que se han considerado más complejos. En este análisis se ha justificado la creación de un nuevo atributo en AuditingRecord usado para distinguir los registros de corrección de los regulares, restricciones a la hora de publicar una auditoría sin registros y la restricción del uso del valor “NA” como nota a la hora de crear un registro de auditoría.</w:t>
      </w:r>
    </w:p>
    <w:p w:rsidR="00000000" w:rsidDel="00000000" w:rsidP="00000000" w:rsidRDefault="00000000" w:rsidRPr="00000000" w14:paraId="0000001D">
      <w:pPr>
        <w:pStyle w:val="Heading1"/>
        <w:rPr/>
      </w:pPr>
      <w:bookmarkStart w:colFirst="0" w:colLast="0" w:name="_qkiqqr86wlgs" w:id="7"/>
      <w:bookmarkEnd w:id="7"/>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Siamion Danko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6">
      <w:pPr>
        <w:pStyle w:val="Heading1"/>
        <w:rPr/>
      </w:pPr>
      <w:bookmarkStart w:colFirst="0" w:colLast="0" w:name="_7z01vu6ghs6p" w:id="8"/>
      <w:bookmarkEnd w:id="8"/>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Se va a realizar un análisis de los requisitos dados para el estudiante 5 en el entregable D3, reflexionando sobre cómo se concibe tal requisito y las decisiones, si hubiese, de implementación.</w:t>
      </w:r>
    </w:p>
    <w:p w:rsidR="00000000" w:rsidDel="00000000" w:rsidP="00000000" w:rsidRDefault="00000000" w:rsidRPr="00000000" w14:paraId="00000028">
      <w:pPr>
        <w:pStyle w:val="Heading1"/>
        <w:rPr/>
      </w:pPr>
      <w:bookmarkStart w:colFirst="0" w:colLast="0" w:name="_9nhxzbyxxbky" w:id="9"/>
      <w:bookmarkEnd w:id="9"/>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En este entregable se ha procedido a realizar un análisis de los requisitos funcionales más complejos a implementar. También se ha actualizado el modelo UML del estudiante 5 conforme a los cambios que se han realizado en las clases modificadas.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pStyle w:val="Heading2"/>
        <w:rPr>
          <w:color w:val="741b47"/>
        </w:rPr>
      </w:pPr>
      <w:bookmarkStart w:colFirst="0" w:colLast="0" w:name="_uwbyhscizjfu" w:id="10"/>
      <w:bookmarkEnd w:id="10"/>
      <w:r w:rsidDel="00000000" w:rsidR="00000000" w:rsidRPr="00000000">
        <w:rPr>
          <w:color w:val="741b47"/>
          <w:rtl w:val="0"/>
        </w:rPr>
        <w:t xml:space="preserve">TI-S5-F14-OperationByAuditorsOnAudits</w:t>
      </w:r>
    </w:p>
    <w:p w:rsidR="00000000" w:rsidDel="00000000" w:rsidP="00000000" w:rsidRDefault="00000000" w:rsidRPr="00000000" w14:paraId="0000002D">
      <w:pPr>
        <w:ind w:firstLine="720"/>
        <w:rPr/>
      </w:pPr>
      <w:r w:rsidDel="00000000" w:rsidR="00000000" w:rsidRPr="00000000">
        <w:rPr>
          <w:rtl w:val="0"/>
        </w:rPr>
        <w:t xml:space="preserve">En este requisito se han tomado las siguientes decisiones:</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El sistema no permite publicar una auditoría que no tenga ningún registro de auditoría asociado pues no se le ve el sentido a una auditoría vacía. Esto se ha conseguido comprobando el número de registros asociados a dicha auditoría en el método validate de AuditorAuditPublishService.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pStyle w:val="Heading2"/>
        <w:rPr>
          <w:color w:val="741b47"/>
        </w:rPr>
      </w:pPr>
      <w:bookmarkStart w:colFirst="0" w:colLast="0" w:name="_s86s07in2un2" w:id="11"/>
      <w:bookmarkEnd w:id="11"/>
      <w:r w:rsidDel="00000000" w:rsidR="00000000" w:rsidRPr="00000000">
        <w:rPr>
          <w:color w:val="741b47"/>
          <w:rtl w:val="0"/>
        </w:rPr>
        <w:t xml:space="preserve">TI-S5-F15-OperationByAuditorsOnAuditingRecords</w:t>
      </w:r>
    </w:p>
    <w:p w:rsidR="00000000" w:rsidDel="00000000" w:rsidP="00000000" w:rsidRDefault="00000000" w:rsidRPr="00000000" w14:paraId="00000036">
      <w:pPr>
        <w:ind w:firstLine="720"/>
        <w:rPr/>
      </w:pPr>
      <w:r w:rsidDel="00000000" w:rsidR="00000000" w:rsidRPr="00000000">
        <w:rPr>
          <w:rtl w:val="0"/>
        </w:rPr>
        <w:t xml:space="preserve">Se han tomado las siguientes decisiones con respecto a este requisito:</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Se ha añadido un nuevo atributo tipo Boolean a AuditingRecord llamado correction para señalar si se trata de un registro de auditoría de corrección. Este atributo toma el valor “true” si la auditoría asociada está publicada en el momento de creación del registro.</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 ha prohibido asignar el valor “NA” a la nota de un registro de auditoría a la hora de crear o actualizar dicho registro. El valor “NA” queda así restringido a las auditorías que no tienen un registro asociado.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2"/>
        <w:rPr>
          <w:color w:val="741b47"/>
        </w:rPr>
      </w:pPr>
      <w:bookmarkStart w:colFirst="0" w:colLast="0" w:name="_okp6yl81fjxq" w:id="12"/>
      <w:bookmarkEnd w:id="12"/>
      <w:r w:rsidDel="00000000" w:rsidR="00000000" w:rsidRPr="00000000">
        <w:rPr>
          <w:color w:val="741b47"/>
          <w:rtl w:val="0"/>
        </w:rPr>
        <w:t xml:space="preserve">TI-S5-F16-ShowAuditorDashboard</w:t>
      </w:r>
    </w:p>
    <w:p w:rsidR="00000000" w:rsidDel="00000000" w:rsidP="00000000" w:rsidRDefault="00000000" w:rsidRPr="00000000" w14:paraId="0000003C">
      <w:pPr>
        <w:ind w:firstLine="720"/>
        <w:rPr/>
      </w:pPr>
      <w:r w:rsidDel="00000000" w:rsidR="00000000" w:rsidRPr="00000000">
        <w:rPr>
          <w:rtl w:val="0"/>
        </w:rPr>
        <w:t xml:space="preserve">Se han tomado las siguientes decisiones con respecto a este requisito:</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Debido a ciertas dificultades originadas por intentar mostrar un Map en las vistas jsp, se ha decidido dividir el atributo tipo Map&lt;String,Integer&gt; que representa el número de auditorías existentes para cada tipo de clase en dos atributos tipo Integer correspondientes a los dos tipos de clases posibles.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pStyle w:val="Heading1"/>
        <w:rPr/>
      </w:pPr>
      <w:bookmarkStart w:colFirst="0" w:colLast="0" w:name="_9ztgg3bz314c" w:id="13"/>
      <w:bookmarkEnd w:id="13"/>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42">
      <w:pPr>
        <w:spacing w:after="240" w:before="240" w:lineRule="auto"/>
        <w:ind w:firstLine="720"/>
        <w:rPr/>
      </w:pPr>
      <w:r w:rsidDel="00000000" w:rsidR="00000000" w:rsidRPr="00000000">
        <w:rPr>
          <w:rtl w:val="0"/>
        </w:rPr>
        <w:t xml:space="preserve">En este documento se han tomado algunas decisiones de código en relación a los requisitos funcionales de este entregable. No han sido decisiones muy importantes, sino más bien pequeños matices sobre los requisitos que se nos han proporcionado.</w:t>
      </w:r>
    </w:p>
    <w:p w:rsidR="00000000" w:rsidDel="00000000" w:rsidP="00000000" w:rsidRDefault="00000000" w:rsidRPr="00000000" w14:paraId="00000043">
      <w:pPr>
        <w:pStyle w:val="Heading1"/>
        <w:rPr>
          <w:color w:val="990000"/>
        </w:rPr>
      </w:pPr>
      <w:bookmarkStart w:colFirst="0" w:colLast="0" w:name="_drdvlov4w6ol" w:id="14"/>
      <w:bookmarkEnd w:id="14"/>
      <w:r w:rsidDel="00000000" w:rsidR="00000000" w:rsidRPr="00000000">
        <w:rPr>
          <w:color w:val="990000"/>
          <w:rtl w:val="0"/>
        </w:rPr>
        <w:t xml:space="preserve">Bibliografía</w:t>
      </w:r>
    </w:p>
    <w:p w:rsidR="00000000" w:rsidDel="00000000" w:rsidP="00000000" w:rsidRDefault="00000000" w:rsidRPr="00000000" w14:paraId="00000044">
      <w:pPr>
        <w:rPr/>
      </w:pPr>
      <w:r w:rsidDel="00000000" w:rsidR="00000000" w:rsidRPr="00000000">
        <w:rPr>
          <w:rtl w:val="0"/>
        </w:rPr>
        <w:t xml:space="preserve">Intencionalmente en blanco</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0" w:firstLine="0"/>
      <w:rPr/>
    </w:pPr>
    <w:r w:rsidDel="00000000" w:rsidR="00000000" w:rsidRPr="00000000">
      <w:rPr>
        <w:rtl w:val="0"/>
      </w:rPr>
      <w:t xml:space="preserve">C1.04.08</w:t>
      <w:tab/>
      <w:tab/>
      <w:tab/>
      <w:tab/>
      <w:t xml:space="preserve">     </w:t>
    </w:r>
    <w:r w:rsidDel="00000000" w:rsidR="00000000" w:rsidRPr="00000000">
      <w:rPr>
        <w:rtl w:val="0"/>
      </w:rPr>
      <w:t xml:space="preserve">21 abr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