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qjtcpk3ugxtr" w:id="0"/>
      <w:bookmarkEnd w:id="0"/>
      <w:r w:rsidDel="00000000" w:rsidR="00000000" w:rsidRPr="00000000">
        <w:rPr>
          <w:color w:val="990000"/>
          <w:rtl w:val="0"/>
        </w:rPr>
        <w:t xml:space="preserve">Analysis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supr2z9mt799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/>
      </w:pPr>
      <w:r w:rsidDel="00000000" w:rsidR="00000000" w:rsidRPr="00000000">
        <w:rPr>
          <w:color w:val="444444"/>
          <w:rtl w:val="0"/>
        </w:rPr>
        <w:t xml:space="preserve">Ignacio Planas Thiriet - ignplathi@alum.us.es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990000"/>
        </w:rPr>
      </w:pPr>
      <w:bookmarkStart w:colFirst="0" w:colLast="0" w:name="_37r7h05bbigu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Heading1"/>
        <w:rPr>
          <w:color w:val="990000"/>
        </w:rPr>
      </w:pPr>
      <w:bookmarkStart w:colFirst="0" w:colLast="0" w:name="_sxeuz85dw9k6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7r7h05bbig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ree11d6a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iqqr86wl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01vu6ghs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hxzbyxxbk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ob9s9dem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 T19TestSuite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12dh1xla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managerial 21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5qhui50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41b4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managerial 22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tgg3bz314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dvlov4w6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Heading1"/>
        <w:rPr>
          <w:color w:val="990000"/>
        </w:rPr>
      </w:pPr>
      <w:bookmarkStart w:colFirst="0" w:colLast="0" w:name="_roabcp2qpsd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990000"/>
        </w:rPr>
      </w:pPr>
      <w:bookmarkStart w:colFirst="0" w:colLast="0" w:name="_t2hnhs7byfh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9ree11d6ag2" w:id="6"/>
      <w:bookmarkEnd w:id="6"/>
      <w:r w:rsidDel="00000000" w:rsidR="00000000" w:rsidRPr="00000000">
        <w:rPr>
          <w:color w:val="990000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han comentado decisiones de baja importancia. De igual manera se han tomado algunas decisiones sobre cómo implementar algunos tests. No se ha encontrado mucha incertidumbre y los requisitos son bastante claros con lo que quieren e igualmente las diapositivas explican debidamente lo que se solicita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qkiqqr86wlgs" w:id="7"/>
      <w:bookmarkEnd w:id="7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470"/>
        <w:gridCol w:w="2325"/>
        <w:gridCol w:w="3945"/>
        <w:tblGridChange w:id="0">
          <w:tblGrid>
            <w:gridCol w:w="1200"/>
            <w:gridCol w:w="1470"/>
            <w:gridCol w:w="23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Planas Thiriet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7z01vu6ghs6p" w:id="8"/>
      <w:bookmarkEnd w:id="8"/>
      <w:r w:rsidDel="00000000" w:rsidR="00000000" w:rsidRPr="00000000">
        <w:rPr>
          <w:color w:val="99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va a realizar un análisis de los requisitos dados para el estudiante 3 en el entregable D4, reflexionando sobre cómo se conciben dichos requisitos y las decisiones de implementación adoptadas.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9nhxzbyxxbky" w:id="9"/>
      <w:bookmarkEnd w:id="9"/>
      <w:r w:rsidDel="00000000" w:rsidR="00000000" w:rsidRPr="00000000">
        <w:rPr>
          <w:color w:val="99000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análisis en este entregable reside en cómo se van a implementar los tests y qué se debe testear exactamente. De nuevo para los demás requisitos(principalmente informes) no se realiza un análisis al tener ya plantillas y guías de cómo realizarlos. El análisis se va a estructurar por tareas, no por requisitos, siendo el requisito T19 y T20 unificados en </w:t>
      </w:r>
      <w:r w:rsidDel="00000000" w:rsidR="00000000" w:rsidRPr="00000000">
        <w:rPr>
          <w:rtl w:val="0"/>
        </w:rPr>
        <w:t xml:space="preserve">T19TestSuite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rPr>
          <w:color w:val="741b47"/>
        </w:rPr>
      </w:pPr>
      <w:bookmarkStart w:colFirst="0" w:colLast="0" w:name="_utob9s9demdk" w:id="10"/>
      <w:bookmarkEnd w:id="10"/>
      <w:r w:rsidDel="00000000" w:rsidR="00000000" w:rsidRPr="00000000">
        <w:rPr>
          <w:color w:val="741b47"/>
          <w:rtl w:val="0"/>
        </w:rPr>
        <w:t xml:space="preserve">Tarea </w:t>
      </w:r>
      <w:r w:rsidDel="00000000" w:rsidR="00000000" w:rsidRPr="00000000">
        <w:rPr>
          <w:color w:val="741b47"/>
          <w:rtl w:val="0"/>
        </w:rPr>
        <w:t xml:space="preserve">T19TestSuite</w:t>
      </w:r>
      <w:r w:rsidDel="00000000" w:rsidR="00000000" w:rsidRPr="00000000">
        <w:rPr>
          <w:color w:val="741b47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los tests de publish(tutorial) y delete(tutorial y sus sesiones),los datos no se han implementado a través de archivos .csv, sino de consultas a un repositorio para obtener los registros correspondientes a los casos de prueba positivos, negativos y hacking.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Además, ya que se solicita generar tests sólo para los requisitos mencionados, no se tiene en cuenta el acceso por parte de los autenticados a los tutoriales y sus sesiones, siendo ese otro requisito.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 lo relativo a los datos de testing, se han implementado ejemplos de los límites aceptables por los valores(por ejemplo un sólo carácter si el límite es 1 para el caso positivo y 0 para el negativo), para las cadenas de caracteres, fechas y números.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color w:val="741b47"/>
        </w:rPr>
      </w:pPr>
      <w:bookmarkStart w:colFirst="0" w:colLast="0" w:name="_by12dh1xlad7" w:id="11"/>
      <w:bookmarkEnd w:id="11"/>
      <w:r w:rsidDel="00000000" w:rsidR="00000000" w:rsidRPr="00000000">
        <w:rPr>
          <w:color w:val="741b47"/>
          <w:rtl w:val="0"/>
        </w:rPr>
        <w:t xml:space="preserve">Requisito managerial 21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Este requisito no requiere de análisis al ser el análisis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5q5qhui503w" w:id="12"/>
      <w:bookmarkEnd w:id="12"/>
      <w:r w:rsidDel="00000000" w:rsidR="00000000" w:rsidRPr="00000000">
        <w:rPr>
          <w:color w:val="741b47"/>
          <w:rtl w:val="0"/>
        </w:rPr>
        <w:t xml:space="preserve">Requisito managerial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Este requisito no requiere de análisis al ser el planning report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9ztgg3bz314c" w:id="13"/>
      <w:bookmarkEnd w:id="13"/>
      <w:r w:rsidDel="00000000" w:rsidR="00000000" w:rsidRPr="00000000">
        <w:rPr>
          <w:color w:val="990000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se han tomado decisiones de interés en este análisis, ya que lo solicitado en los requisitos junto a lo explicado en las diapositivas no deja margen apenas a incertidumbre</w:t>
      </w:r>
    </w:p>
    <w:p w:rsidR="00000000" w:rsidDel="00000000" w:rsidP="00000000" w:rsidRDefault="00000000" w:rsidRPr="00000000" w14:paraId="00000039">
      <w:pPr>
        <w:pStyle w:val="Heading1"/>
        <w:rPr>
          <w:color w:val="990000"/>
        </w:rPr>
      </w:pPr>
      <w:bookmarkStart w:colFirst="0" w:colLast="0" w:name="_drdvlov4w6ol" w:id="14"/>
      <w:bookmarkEnd w:id="14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Intencionalmente en blanco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0" w:firstLine="0"/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</w:t>
    </w:r>
    <w:r w:rsidDel="00000000" w:rsidR="00000000" w:rsidRPr="00000000">
      <w:rPr>
        <w:rtl w:val="0"/>
      </w:rPr>
      <w:t xml:space="preserve">8 may 2023</w:t>
    </w:r>
    <w:r w:rsidDel="00000000" w:rsidR="00000000" w:rsidRPr="00000000">
      <w:rPr>
        <w:rtl w:val="0"/>
      </w:rPr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p2-C1-04-08/Dp2-C1-04-08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