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de Comunicação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