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75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Serviços de Atenção Domiciliar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75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75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