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Título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Quantum Oracles - Como transformar problemas clássicos em quânticos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Resumo: Com a chegada dos computadores quânticos, áreas, como: química</w:t>
      </w:r>
      <w:r w:rsidDel="00000000" w:rsidR="00000000" w:rsidRPr="00000000">
        <w:rPr>
          <w:b w:val="1"/>
          <w:rtl w:val="0"/>
        </w:rPr>
        <w:t xml:space="preserve">; física</w:t>
      </w:r>
      <w:r w:rsidDel="00000000" w:rsidR="00000000" w:rsidRPr="00000000">
        <w:rPr>
          <w:b w:val="1"/>
          <w:rtl w:val="0"/>
        </w:rPr>
        <w:t xml:space="preserve">;  medicina</w:t>
      </w:r>
      <w:r w:rsidDel="00000000" w:rsidR="00000000" w:rsidRPr="00000000">
        <w:rPr>
          <w:b w:val="1"/>
          <w:rtl w:val="0"/>
        </w:rPr>
        <w:t xml:space="preserve">; entre outras, se aproveitaram dos efeitos quânticos para resolver problemas. Contudo, como é possível tirar o foco apenas dessas áreas e resolver problemas de uma forma mais abrangente? Essa resposta pode estar escondida dentro de uma caixa preta.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Conhecidos como quantum oracles, essas máquinas são capazes de desempenhar diversas funções. Devido a isso, sua implementação em problemas gerais é indispensável.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