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Sovereign AI Constitution Template</w:t>
      </w:r>
    </w:p>
    <w:p>
      <w:r>
        <w:t>A Governance Framework for Creators, Ministries, Founders &amp; Organizations</w:t>
      </w:r>
    </w:p>
    <w:p>
      <w:pPr>
        <w:pStyle w:val="Heading2"/>
      </w:pPr>
      <w:r>
        <w:t>Introduction</w:t>
      </w:r>
    </w:p>
    <w:p>
      <w:r>
        <w:br/>
        <w:t>Most AI systems fail because they are built without governance, memory discipline,</w:t>
        <w:br/>
        <w:t>clear boundaries, or operational consistency. This constitution establishes</w:t>
        <w:br/>
        <w:t>clarity before automation, accountability before scale, and wisdom before speed.</w:t>
        <w:br/>
      </w:r>
    </w:p>
    <w:p>
      <w:pPr>
        <w:pStyle w:val="Heading2"/>
      </w:pPr>
      <w:r>
        <w:t>Core Sovereign Principles</w:t>
      </w:r>
    </w:p>
    <w:p>
      <w:pPr>
        <w:pStyle w:val="ListBullet"/>
      </w:pPr>
      <w:r>
        <w:t>AI must serve human flourishing, wisdom, truth, and accountability.</w:t>
      </w:r>
    </w:p>
    <w:p>
      <w:pPr>
        <w:pStyle w:val="ListBullet"/>
      </w:pPr>
      <w:r>
        <w:t>No automation may bypass human oversight on sensitive decisions.</w:t>
      </w:r>
    </w:p>
    <w:p>
      <w:pPr>
        <w:pStyle w:val="ListBullet"/>
      </w:pPr>
      <w:r>
        <w:t>Institutional memory must remain governed and auditable.</w:t>
      </w:r>
    </w:p>
    <w:p>
      <w:pPr>
        <w:pStyle w:val="ListBullet"/>
      </w:pPr>
      <w:r>
        <w:t>AI systems should simplify operations rather than create chaos.</w:t>
      </w:r>
    </w:p>
    <w:p>
      <w:pPr>
        <w:pStyle w:val="ListBullet"/>
      </w:pPr>
      <w:r>
        <w:t>Owned infrastructure should be prioritized over fragile platform dependency.</w:t>
      </w:r>
    </w:p>
    <w:p>
      <w:pPr>
        <w:pStyle w:val="Heading2"/>
      </w:pPr>
      <w:r>
        <w:t>The Three-Layer Operating Model</w:t>
      </w:r>
    </w:p>
    <w:p>
      <w:pPr>
        <w:pStyle w:val="ListBullet"/>
      </w:pPr>
      <w:r>
        <w:t>Capture → Inputs, forms, conversations, and operational signals.</w:t>
      </w:r>
    </w:p>
    <w:p>
      <w:pPr>
        <w:pStyle w:val="ListBullet"/>
      </w:pPr>
      <w:r>
        <w:t>Memory → Knowledge graph, semantic records, governed truth sources.</w:t>
      </w:r>
    </w:p>
    <w:p>
      <w:pPr>
        <w:pStyle w:val="ListBullet"/>
      </w:pPr>
      <w:r>
        <w:t>Execution → Workflows, agents, automations, publishing, and actions.</w:t>
      </w:r>
    </w:p>
    <w:p>
      <w:pPr>
        <w:pStyle w:val="Heading2"/>
      </w:pPr>
      <w:r>
        <w:t>Human-in-the-Loop Governance</w:t>
      </w:r>
    </w:p>
    <w:p>
      <w:pPr>
        <w:pStyle w:val="ListBullet"/>
      </w:pPr>
      <w:r>
        <w:t>High-risk actions require approval gates.</w:t>
      </w:r>
    </w:p>
    <w:p>
      <w:pPr>
        <w:pStyle w:val="ListBullet"/>
      </w:pPr>
      <w:r>
        <w:t>Financial, legal, theological, and sensitive operations must remain supervised.</w:t>
      </w:r>
    </w:p>
    <w:p>
      <w:pPr>
        <w:pStyle w:val="ListBullet"/>
      </w:pPr>
      <w:r>
        <w:t>Every automated workflow should maintain logs and audit history.</w:t>
      </w:r>
    </w:p>
    <w:p>
      <w:pPr>
        <w:pStyle w:val="ListBullet"/>
      </w:pPr>
      <w:r>
        <w:t>No autonomous system should operate without rollback capability.</w:t>
      </w:r>
    </w:p>
    <w:p>
      <w:pPr>
        <w:pStyle w:val="Heading2"/>
      </w:pPr>
      <w:r>
        <w:t>AI Usage Rules</w:t>
      </w:r>
    </w:p>
    <w:p>
      <w:pPr>
        <w:pStyle w:val="ListBullet"/>
      </w:pPr>
      <w:r>
        <w:t>Never upload confidential counseling or private ministry conversations into public AI systems.</w:t>
      </w:r>
    </w:p>
    <w:p>
      <w:pPr>
        <w:pStyle w:val="ListBullet"/>
      </w:pPr>
      <w:r>
        <w:t>Do not automate doctrinal authority without review.</w:t>
      </w:r>
    </w:p>
    <w:p>
      <w:pPr>
        <w:pStyle w:val="ListBullet"/>
      </w:pPr>
      <w:r>
        <w:t>Avoid excessive tool sprawl and overlapping systems.</w:t>
      </w:r>
    </w:p>
    <w:p>
      <w:pPr>
        <w:pStyle w:val="ListBullet"/>
      </w:pPr>
      <w:r>
        <w:t>Use AI to augment judgment, not replace wisdom.</w:t>
      </w:r>
    </w:p>
    <w:p>
      <w:pPr>
        <w:pStyle w:val="Heading2"/>
      </w:pPr>
      <w:r>
        <w:t>Content &amp; Publishing Doctrine</w:t>
      </w:r>
    </w:p>
    <w:p>
      <w:pPr>
        <w:pStyle w:val="ListBullet"/>
      </w:pPr>
      <w:r>
        <w:t>Consistency beats intensity.</w:t>
      </w:r>
    </w:p>
    <w:p>
      <w:pPr>
        <w:pStyle w:val="ListBullet"/>
      </w:pPr>
      <w:r>
        <w:t>One flagship ecosystem should unify all content.</w:t>
      </w:r>
    </w:p>
    <w:p>
      <w:pPr>
        <w:pStyle w:val="ListBullet"/>
      </w:pPr>
      <w:r>
        <w:t>Every piece of content should point toward owned audience infrastructure.</w:t>
      </w:r>
    </w:p>
    <w:p>
      <w:pPr>
        <w:pStyle w:val="ListBullet"/>
      </w:pPr>
      <w:r>
        <w:t>Publishing cadence should be sustainable and measurable.</w:t>
      </w:r>
    </w:p>
    <w:p>
      <w:pPr>
        <w:pStyle w:val="Heading2"/>
      </w:pPr>
      <w:r>
        <w:t>Operational Cadence</w:t>
      </w:r>
    </w:p>
    <w:p>
      <w:pPr>
        <w:pStyle w:val="ListBullet"/>
      </w:pPr>
      <w:r>
        <w:t>1 excellent Short per day.</w:t>
      </w:r>
    </w:p>
    <w:p>
      <w:pPr>
        <w:pStyle w:val="ListBullet"/>
      </w:pPr>
      <w:r>
        <w:t>2 long-form videos per week.</w:t>
      </w:r>
    </w:p>
    <w:p>
      <w:pPr>
        <w:pStyle w:val="ListBullet"/>
      </w:pPr>
      <w:r>
        <w:t>1 newsletter per week.</w:t>
      </w:r>
    </w:p>
    <w:p>
      <w:pPr>
        <w:pStyle w:val="ListBullet"/>
      </w:pPr>
      <w:r>
        <w:t>1 flagship resource or lead magnet per month.</w:t>
      </w:r>
    </w:p>
    <w:p>
      <w:pPr>
        <w:pStyle w:val="Heading2"/>
      </w:pPr>
      <w:r>
        <w:t>Sovereign Risk Matrix</w:t>
      </w:r>
    </w:p>
    <w:p>
      <w:r>
        <w:t>Risk Area | Mitigation Strategy</w:t>
      </w:r>
    </w:p>
    <w:p>
      <w:r>
        <w:t>Tool Chaos | Reduce stack complexity and centralize workflows</w:t>
      </w:r>
    </w:p>
    <w:p>
      <w:r>
        <w:t>Platform Dependency | Build owned audience infrastructure</w:t>
      </w:r>
    </w:p>
    <w:p>
      <w:r>
        <w:t>AI Drift | Use constitutions, approval gates, and memory rules</w:t>
      </w:r>
    </w:p>
    <w:p>
      <w:r>
        <w:t>Operational Burnout | Protect cadence and simplify execution</w:t>
      </w:r>
    </w:p>
    <w:p>
      <w:r>
        <w:t>Data Exposure | Restrict sensitive uploads and govern access</w:t>
      </w:r>
    </w:p>
    <w:p>
      <w:pPr>
        <w:pStyle w:val="Heading2"/>
      </w:pPr>
      <w:r>
        <w:t>Closing Vision</w:t>
      </w:r>
    </w:p>
    <w:p>
      <w:r>
        <w:t>A sovereign AI ecosystem is built on governance, consistency, trust, clarity, and sustainable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