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80" w:after="360"/>
        <w:jc w:val="center"/>
      </w:pPr>
      <w:r>
        <w:rPr>
          <w:rFonts w:ascii="Calibri" w:hAnsi="Calibri"/>
          <w:b/>
          <w:color w:val="7A5A00"/>
          <w:sz w:val="21"/>
        </w:rPr>
        <w:t>SAP WORLD</w:t>
      </w:r>
    </w:p>
    <w:p>
      <w:pPr>
        <w:spacing w:after="200"/>
        <w:jc w:val="center"/>
      </w:pPr>
      <w:r>
        <w:rPr>
          <w:rFonts w:ascii="Calibri" w:hAnsi="Calibri"/>
          <w:b/>
          <w:color w:val="0B2545"/>
          <w:sz w:val="58"/>
        </w:rPr>
        <w:t>Public Launch &amp; Monetisation Handbook</w:t>
      </w:r>
    </w:p>
    <w:p>
      <w:pPr>
        <w:spacing w:after="600"/>
        <w:jc w:val="center"/>
      </w:pPr>
      <w:r>
        <w:rPr>
          <w:rFonts w:ascii="Calibri" w:hAnsi="Calibri"/>
          <w:color w:val="1F4D78"/>
          <w:sz w:val="30"/>
        </w:rPr>
        <w:t>A UK-first route from live preview to safe, public, revenue-ready service</w:t>
      </w:r>
    </w:p>
    <w:p>
      <w:pPr>
        <w:spacing w:after="1560"/>
        <w:jc w:val="center"/>
      </w:pPr>
      <w:r>
        <w:rPr>
          <w:rFonts w:ascii="Calibri" w:hAnsi="Calibri"/>
          <w:i/>
          <w:color w:val="7A5A00"/>
          <w:sz w:val="21"/>
        </w:rPr>
        <w:t>A practical, step-by-step field guide</w:t>
      </w:r>
    </w:p>
    <w:p>
      <w:pPr>
        <w:spacing w:after="80"/>
        <w:jc w:val="center"/>
      </w:pPr>
      <w:r>
        <w:rPr>
          <w:rFonts w:ascii="Calibri" w:hAnsi="Calibri"/>
          <w:b/>
          <w:color w:val="0B2545"/>
          <w:sz w:val="22"/>
        </w:rPr>
        <w:t>Version 1.0 | 30 June 2026</w:t>
      </w:r>
    </w:p>
    <w:p>
      <w:pPr>
        <w:spacing w:after="80"/>
        <w:jc w:val="center"/>
      </w:pPr>
      <w:r>
        <w:rPr>
          <w:rFonts w:ascii="Calibri" w:hAnsi="Calibri"/>
          <w:b w:val="0"/>
          <w:color w:val="5F6B7A"/>
          <w:sz w:val="19"/>
        </w:rPr>
        <w:t>For the product owner, administrator, legal adviser, and launch partners</w:t>
      </w:r>
    </w:p>
    <w:p>
      <w:pPr>
        <w:spacing w:after="80"/>
        <w:jc w:val="center"/>
      </w:pPr>
      <w:r>
        <w:rPr>
          <w:rFonts w:ascii="Calibri" w:hAnsi="Calibri"/>
          <w:b w:val="0"/>
          <w:color w:val="5F6B7A"/>
          <w:sz w:val="19"/>
        </w:rPr>
        <w:t>Live app: https://sap-world-pi.vercel.app</w:t>
      </w:r>
    </w:p>
    <w:p>
      <w:r>
        <w:br w:type="page"/>
      </w:r>
    </w:p>
    <w:p>
      <w:pPr>
        <w:pStyle w:val="Heading1"/>
      </w:pPr>
      <w:r>
        <w:t>Executive decision</w:t>
      </w:r>
    </w:p>
    <w:p>
      <w:pPr>
        <w:spacing w:after="200"/>
      </w:pPr>
      <w:r>
        <w:rPr>
          <w:rFonts w:ascii="Calibri" w:hAnsi="Calibri"/>
          <w:i/>
          <w:color w:val="1F4D78"/>
          <w:sz w:val="23"/>
        </w:rPr>
        <w:t>The site can be viewed publicly today, but it should not accept real users or payments until the P0 launch gates below are closed.</w:t>
      </w:r>
    </w:p>
    <w:p>
      <w:pPr>
        <w:spacing w:before="60" w:after="160"/>
        <w:ind w:left="115" w:right="115"/>
        <w:shd w:fill="FFF5F5"/>
        <w:pBdr>
          <w:top w:val="single" w:sz="4" w:space="6" w:color="D7DBE2"/>
          <w:left w:val="single" w:sz="4" w:space="6" w:color="D7DBE2"/>
          <w:bottom w:val="single" w:sz="4" w:space="6" w:color="D7DBE2"/>
          <w:right w:val="single" w:sz="4" w:space="6" w:color="D7DBE2"/>
        </w:pBdr>
      </w:pPr>
      <w:r>
        <w:rPr>
          <w:rFonts w:ascii="Calibri" w:hAnsi="Calibri"/>
          <w:b/>
          <w:color w:val="9B1C1C"/>
          <w:sz w:val="21"/>
        </w:rPr>
        <w:t xml:space="preserve">Current state: </w:t>
      </w:r>
      <w:r>
        <w:rPr>
          <w:rFonts w:ascii="Calibri" w:hAnsi="Calibri"/>
          <w:color w:val="0B2545"/>
          <w:sz w:val="21"/>
        </w:rPr>
        <w:t>The Vercel production deployment is live at https://sap-world-pi.vercel.app. The latest verified health response reported local-file storage with durable=false. That storage can disappear or diverge in a serverless environment, so production PostgreSQL is the first launch blocker.</w:t>
      </w:r>
    </w:p>
    <w:p>
      <w:r>
        <w:t>This handbook is an operational plan, not legal, tax, accounting, cybersecurity, or trademark advice. Use a UK solicitor, accountant/tax adviser, and security professional before taking payments or entering new countries.</w:t>
      </w:r>
    </w:p>
    <w:p>
      <w:pPr>
        <w:pStyle w:val="Heading2"/>
      </w:pPr>
      <w:r>
        <w:t>Go / no-go rule</w:t>
      </w:r>
    </w:p>
    <w:tbl>
      <w:tblPr>
        <w:tblStyle w:val="TableGrid"/>
        <w:tblW w:type="dxa" w:w="9360"/>
        <w:tblLayout w:type="fixed"/>
        <w:tblLook w:firstColumn="1" w:firstRow="1" w:lastColumn="0" w:lastRow="0" w:noHBand="0" w:noVBand="1" w:val="04A0"/>
        <w:jc w:val="left"/>
        <w:tblInd w:w="120" w:type="dxa"/>
      </w:tblPr>
      <w:tblGrid>
        <w:gridCol w:w="1700"/>
        <w:gridCol w:w="5200"/>
        <w:gridCol w:w="2460"/>
      </w:tblGrid>
      <w:tr>
        <w:trPr>
          <w:tblHeader w:val="true"/>
        </w:trPr>
        <w:tc>
          <w:tcPr>
            <w:tcW w:type="dxa" w:w="1700"/>
            <w:vAlign w:val="center"/>
            <w:tcMar>
              <w:top w:w="80" w:type="dxa"/>
              <w:start w:w="120" w:type="dxa"/>
              <w:bottom w:w="80" w:type="dxa"/>
              <w:end w:w="120" w:type="dxa"/>
            </w:tcMar>
            <w:shd w:fill="E8EEF5"/>
          </w:tcPr>
          <w:p>
            <w:pPr>
              <w:jc w:val="center"/>
            </w:pPr>
            <w:r>
              <w:rPr>
                <w:rFonts w:ascii="Calibri" w:hAnsi="Calibri"/>
                <w:b/>
                <w:color w:val="0B2545"/>
                <w:sz w:val="19"/>
              </w:rPr>
              <w:t>Gate</w:t>
            </w:r>
          </w:p>
        </w:tc>
        <w:tc>
          <w:tcPr>
            <w:tcW w:type="dxa" w:w="5200"/>
            <w:vAlign w:val="center"/>
            <w:tcMar>
              <w:top w:w="80" w:type="dxa"/>
              <w:start w:w="120" w:type="dxa"/>
              <w:bottom w:w="80" w:type="dxa"/>
              <w:end w:w="120" w:type="dxa"/>
            </w:tcMar>
            <w:shd w:fill="E8EEF5"/>
          </w:tcPr>
          <w:p>
            <w:pPr>
              <w:jc w:val="left"/>
            </w:pPr>
            <w:r>
              <w:rPr>
                <w:rFonts w:ascii="Calibri" w:hAnsi="Calibri"/>
                <w:b/>
                <w:color w:val="0B2545"/>
                <w:sz w:val="19"/>
              </w:rPr>
              <w:t>Minimum evidence</w:t>
            </w:r>
          </w:p>
        </w:tc>
        <w:tc>
          <w:tcPr>
            <w:tcW w:type="dxa" w:w="2460"/>
            <w:vAlign w:val="center"/>
            <w:tcMar>
              <w:top w:w="80" w:type="dxa"/>
              <w:start w:w="120" w:type="dxa"/>
              <w:bottom w:w="80" w:type="dxa"/>
              <w:end w:w="120" w:type="dxa"/>
            </w:tcMar>
            <w:shd w:fill="E8EEF5"/>
          </w:tcPr>
          <w:p>
            <w:pPr>
              <w:jc w:val="center"/>
            </w:pPr>
            <w:r>
              <w:rPr>
                <w:rFonts w:ascii="Calibri" w:hAnsi="Calibri"/>
                <w:b/>
                <w:color w:val="0B2545"/>
                <w:sz w:val="19"/>
              </w:rPr>
              <w:t>Decision</w:t>
            </w:r>
          </w:p>
        </w:tc>
      </w:tr>
      <w:tr>
        <w:tc>
          <w:tcPr>
            <w:tcW w:type="dxa" w:w="1700"/>
            <w:vAlign w:val="center"/>
            <w:tcMar>
              <w:top w:w="80" w:type="dxa"/>
              <w:start w:w="120" w:type="dxa"/>
              <w:bottom w:w="80" w:type="dxa"/>
              <w:end w:w="120" w:type="dxa"/>
            </w:tcMar>
          </w:tcPr>
          <w:p>
            <w:pPr>
              <w:spacing w:after="0"/>
              <w:jc w:val="center"/>
            </w:pPr>
            <w:r>
              <w:rPr>
                <w:rFonts w:ascii="Calibri" w:hAnsi="Calibri"/>
                <w:color w:val="0B2545"/>
                <w:sz w:val="19"/>
              </w:rPr>
              <w:t>P0 - must close</w:t>
            </w:r>
          </w:p>
        </w:tc>
        <w:tc>
          <w:tcPr>
            <w:tcW w:type="dxa" w:w="5200"/>
            <w:vAlign w:val="center"/>
            <w:tcMar>
              <w:top w:w="80" w:type="dxa"/>
              <w:start w:w="120" w:type="dxa"/>
              <w:bottom w:w="80" w:type="dxa"/>
              <w:end w:w="120" w:type="dxa"/>
            </w:tcMar>
          </w:tcPr>
          <w:p>
            <w:pPr>
              <w:spacing w:after="0"/>
              <w:jc w:val="left"/>
            </w:pPr>
            <w:r>
              <w:rPr>
                <w:rFonts w:ascii="Calibri" w:hAnsi="Calibri"/>
                <w:color w:val="0B2545"/>
                <w:sz w:val="19"/>
              </w:rPr>
              <w:t>Durable database; tested backup/restore; legal pages; support contact; incident plan; security tests; payment design; SAP trademark review</w:t>
            </w:r>
          </w:p>
        </w:tc>
        <w:tc>
          <w:tcPr>
            <w:tcW w:type="dxa" w:w="2460"/>
            <w:vAlign w:val="center"/>
            <w:tcMar>
              <w:top w:w="80" w:type="dxa"/>
              <w:start w:w="120" w:type="dxa"/>
              <w:bottom w:w="80" w:type="dxa"/>
              <w:end w:w="120" w:type="dxa"/>
            </w:tcMar>
          </w:tcPr>
          <w:p>
            <w:pPr>
              <w:spacing w:after="0"/>
              <w:jc w:val="left"/>
            </w:pPr>
            <w:r>
              <w:rPr>
                <w:rFonts w:ascii="Calibri" w:hAnsi="Calibri"/>
                <w:color w:val="0B2545"/>
                <w:sz w:val="19"/>
              </w:rPr>
              <w:t>No public user acquisition or payment until all pass</w:t>
            </w:r>
          </w:p>
        </w:tc>
      </w:tr>
      <w:tr>
        <w:tc>
          <w:tcPr>
            <w:tcW w:type="dxa" w:w="1700"/>
            <w:vAlign w:val="center"/>
            <w:tcMar>
              <w:top w:w="80" w:type="dxa"/>
              <w:start w:w="120" w:type="dxa"/>
              <w:bottom w:w="80" w:type="dxa"/>
              <w:end w:w="120" w:type="dxa"/>
            </w:tcMar>
          </w:tcPr>
          <w:p>
            <w:pPr>
              <w:spacing w:after="0"/>
              <w:jc w:val="left"/>
            </w:pPr>
            <w:r>
              <w:rPr>
                <w:rFonts w:ascii="Calibri" w:hAnsi="Calibri"/>
                <w:color w:val="0B2545"/>
                <w:sz w:val="19"/>
              </w:rPr>
              <w:t>P1 - launch quality</w:t>
            </w:r>
          </w:p>
        </w:tc>
        <w:tc>
          <w:tcPr>
            <w:tcW w:type="dxa" w:w="5200"/>
            <w:vAlign w:val="center"/>
            <w:tcMar>
              <w:top w:w="80" w:type="dxa"/>
              <w:start w:w="120" w:type="dxa"/>
              <w:bottom w:w="80" w:type="dxa"/>
              <w:end w:w="120" w:type="dxa"/>
            </w:tcMar>
          </w:tcPr>
          <w:p>
            <w:pPr>
              <w:spacing w:after="0"/>
              <w:jc w:val="left"/>
            </w:pPr>
            <w:r>
              <w:rPr>
                <w:rFonts w:ascii="Calibri" w:hAnsi="Calibri"/>
                <w:color w:val="0B2545"/>
                <w:sz w:val="19"/>
              </w:rPr>
              <w:t>Custom domain; accessibility review; monitoring/alerts; onboarding; analytics consent; refund workflow; beta feedback</w:t>
            </w:r>
          </w:p>
        </w:tc>
        <w:tc>
          <w:tcPr>
            <w:tcW w:type="dxa" w:w="2460"/>
            <w:vAlign w:val="center"/>
            <w:tcMar>
              <w:top w:w="80" w:type="dxa"/>
              <w:start w:w="120" w:type="dxa"/>
              <w:bottom w:w="80" w:type="dxa"/>
              <w:end w:w="120" w:type="dxa"/>
            </w:tcMar>
          </w:tcPr>
          <w:p>
            <w:pPr>
              <w:spacing w:after="0"/>
              <w:jc w:val="left"/>
            </w:pPr>
            <w:r>
              <w:rPr>
                <w:rFonts w:ascii="Calibri" w:hAnsi="Calibri"/>
                <w:color w:val="0B2545"/>
                <w:sz w:val="19"/>
              </w:rPr>
              <w:t>Required for controlled public beta</w:t>
            </w:r>
          </w:p>
        </w:tc>
      </w:tr>
      <w:tr>
        <w:tc>
          <w:tcPr>
            <w:tcW w:type="dxa" w:w="1700"/>
            <w:vAlign w:val="center"/>
            <w:tcMar>
              <w:top w:w="80" w:type="dxa"/>
              <w:start w:w="120" w:type="dxa"/>
              <w:bottom w:w="80" w:type="dxa"/>
              <w:end w:w="120" w:type="dxa"/>
            </w:tcMar>
          </w:tcPr>
          <w:p>
            <w:pPr>
              <w:spacing w:after="0"/>
              <w:jc w:val="center"/>
            </w:pPr>
            <w:r>
              <w:rPr>
                <w:rFonts w:ascii="Calibri" w:hAnsi="Calibri"/>
                <w:color w:val="0B2545"/>
                <w:sz w:val="19"/>
              </w:rPr>
              <w:t>P2 - scale</w:t>
            </w:r>
          </w:p>
        </w:tc>
        <w:tc>
          <w:tcPr>
            <w:tcW w:type="dxa" w:w="5200"/>
            <w:vAlign w:val="center"/>
            <w:tcMar>
              <w:top w:w="80" w:type="dxa"/>
              <w:start w:w="120" w:type="dxa"/>
              <w:bottom w:w="80" w:type="dxa"/>
              <w:end w:w="120" w:type="dxa"/>
            </w:tcMar>
          </w:tcPr>
          <w:p>
            <w:pPr>
              <w:spacing w:after="0"/>
              <w:jc w:val="left"/>
            </w:pPr>
            <w:r>
              <w:rPr>
                <w:rFonts w:ascii="Calibri" w:hAnsi="Calibri"/>
                <w:color w:val="0B2545"/>
                <w:sz w:val="19"/>
              </w:rPr>
              <w:t>Enterprise SSO; external AI provider controls; service targets; advanced billing/tax; credential partnerships</w:t>
            </w:r>
          </w:p>
        </w:tc>
        <w:tc>
          <w:tcPr>
            <w:tcW w:type="dxa" w:w="2460"/>
            <w:vAlign w:val="center"/>
            <w:tcMar>
              <w:top w:w="80" w:type="dxa"/>
              <w:start w:w="120" w:type="dxa"/>
              <w:bottom w:w="80" w:type="dxa"/>
              <w:end w:w="120" w:type="dxa"/>
            </w:tcMar>
          </w:tcPr>
          <w:p>
            <w:pPr>
              <w:spacing w:after="0"/>
              <w:jc w:val="left"/>
            </w:pPr>
            <w:r>
              <w:rPr>
                <w:rFonts w:ascii="Calibri" w:hAnsi="Calibri"/>
                <w:color w:val="0B2545"/>
                <w:sz w:val="19"/>
              </w:rPr>
              <w:t>Complete as demand and risk grow</w:t>
            </w:r>
          </w:p>
        </w:tc>
      </w:tr>
    </w:tbl>
    <w:p>
      <w:pPr>
        <w:spacing w:after="20"/>
      </w:pPr>
    </w:p>
    <w:p>
      <w:pPr>
        <w:pStyle w:val="Heading2"/>
      </w:pPr>
      <w:r>
        <w:t>Recommended release sequence</w:t>
      </w:r>
    </w:p>
    <w:p>
      <w:pPr>
        <w:pStyle w:val="ListNumber"/>
      </w:pPr>
      <w:r>
        <w:t>Private production hardening: durable data, backups, secrets, monitoring, rate limits, legal drafts, and security testing.</w:t>
      </w:r>
    </w:p>
    <w:p>
      <w:pPr>
        <w:pStyle w:val="ListNumber"/>
      </w:pPr>
      <w:r>
        <w:t>Invitation-only beta: 20-50 adults, free access, support-led onboarding, no public advertising, weekly issue review.</w:t>
      </w:r>
    </w:p>
    <w:p>
      <w:pPr>
        <w:pStyle w:val="ListNumber"/>
      </w:pPr>
      <w:r>
        <w:t>Public free launch: open registration with clear legal acceptance, privacy controls, support, and capacity monitoring.</w:t>
      </w:r>
    </w:p>
    <w:p>
      <w:pPr>
        <w:pStyle w:val="ListNumber"/>
      </w:pPr>
      <w:r>
        <w:t>Paid pilot: hosted checkout, self-service cancellation, receipts, refund process, tax review, and limited paid cohort.</w:t>
      </w:r>
    </w:p>
    <w:p>
      <w:pPr>
        <w:pStyle w:val="ListNumber"/>
      </w:pPr>
      <w:r>
        <w:t>General paid launch: publish validated pricing, annual plans, team administration, service commitments, and mature operations.</w:t>
      </w:r>
    </w:p>
    <w:p>
      <w:r>
        <w:br w:type="page"/>
      </w:r>
    </w:p>
    <w:p>
      <w:pPr>
        <w:pStyle w:val="Heading1"/>
      </w:pPr>
      <w:r>
        <w:t>1. Current product and launch scope</w:t>
      </w:r>
    </w:p>
    <w:p>
      <w:pPr>
        <w:spacing w:after="200"/>
      </w:pPr>
      <w:r>
        <w:rPr>
          <w:rFonts w:ascii="Calibri" w:hAnsi="Calibri"/>
          <w:i/>
          <w:color w:val="1F4D78"/>
          <w:sz w:val="23"/>
        </w:rPr>
        <w:t>Define exactly what the public is buying before writing legal copy, pricing, or marketing claims.</w:t>
      </w:r>
    </w:p>
    <w:p>
      <w:pPr>
        <w:pStyle w:val="Heading2"/>
      </w:pPr>
      <w:r>
        <w:t>Public product description</w:t>
      </w:r>
    </w:p>
    <w:p>
      <w:r>
        <w:t>SAP World is an independent enterprise simulation and tutoring platform for learning connected SAP S/4HANA business processes through guided transactions, troubleshooting, simulations, evidence coaching, capstones, and portfolio review.</w:t>
      </w:r>
    </w:p>
    <w:p>
      <w:pPr>
        <w:spacing w:before="60" w:after="160"/>
        <w:ind w:left="115" w:right="115"/>
        <w:shd w:fill="E8EEF5"/>
        <w:pBdr>
          <w:top w:val="single" w:sz="4" w:space="6" w:color="D7DBE2"/>
          <w:left w:val="single" w:sz="4" w:space="6" w:color="D7DBE2"/>
          <w:bottom w:val="single" w:sz="4" w:space="6" w:color="D7DBE2"/>
          <w:right w:val="single" w:sz="4" w:space="6" w:color="D7DBE2"/>
        </w:pBdr>
      </w:pPr>
      <w:r>
        <w:rPr>
          <w:rFonts w:ascii="Calibri" w:hAnsi="Calibri"/>
          <w:b/>
          <w:color w:val="2E74B5"/>
          <w:sz w:val="21"/>
        </w:rPr>
        <w:t xml:space="preserve">App reference: </w:t>
      </w:r>
      <w:r>
        <w:rPr>
          <w:rFonts w:ascii="Calibri" w:hAnsi="Calibri"/>
          <w:color w:val="0B2545"/>
          <w:sz w:val="21"/>
        </w:rPr>
        <w:t>Live product surfaces: Sign-in -&gt; Enterprise overview -&gt; Learning centre -&gt; Transaction tutor -&gt; Portfolio</w:t>
      </w:r>
    </w:p>
    <w:p>
      <w:pPr>
        <w:pStyle w:val="Heading2"/>
      </w:pPr>
      <w:r>
        <w:t>Claims you can make carefully</w:t>
      </w:r>
    </w:p>
    <w:p>
      <w:pPr>
        <w:pStyle w:val="ListBullet"/>
      </w:pPr>
      <w:r>
        <w:t>Practice connected SAP process reasoning through a simulated enterprise.</w:t>
      </w:r>
    </w:p>
    <w:p>
      <w:pPr>
        <w:pStyle w:val="ListBullet"/>
      </w:pPr>
      <w:r>
        <w:t>Follow guided pathways across eight end-to-end processes and multiple modules.</w:t>
      </w:r>
    </w:p>
    <w:p>
      <w:pPr>
        <w:pStyle w:val="ListBullet"/>
      </w:pPr>
      <w:r>
        <w:t>Build a learning portfolio from saved progress, diagnostics, evidence notes, and capstone outcomes.</w:t>
      </w:r>
    </w:p>
    <w:p>
      <w:pPr>
        <w:pStyle w:val="ListBullet"/>
      </w:pPr>
      <w:r>
        <w:t>Use deterministic simulations and document chains to connect operations with financial and management outcomes.</w:t>
      </w:r>
    </w:p>
    <w:p>
      <w:pPr>
        <w:pStyle w:val="Heading2"/>
      </w:pPr>
      <w:r>
        <w:t>Claims to avoid without formal authority and evidence</w:t>
      </w:r>
    </w:p>
    <w:p>
      <w:pPr>
        <w:pStyle w:val="ListBullet"/>
      </w:pPr>
      <w:r>
        <w:t>Official SAP training, official SAP certification, SAP-approved, SAP partner, or affiliated with SAP SE.</w:t>
      </w:r>
    </w:p>
    <w:p>
      <w:pPr>
        <w:pStyle w:val="ListBullet"/>
      </w:pPr>
      <w:r>
        <w:t>Guaranteed employment, promotion, salary, certification pass, audit compliance, or production competence.</w:t>
      </w:r>
    </w:p>
    <w:p>
      <w:pPr>
        <w:pStyle w:val="ListBullet"/>
      </w:pPr>
      <w:r>
        <w:t>Exact reproduction of every SAP S/4HANA screen, configuration, country localisation, or customer implementation.</w:t>
      </w:r>
    </w:p>
    <w:p>
      <w:pPr>
        <w:pStyle w:val="ListBullet"/>
      </w:pPr>
      <w:r>
        <w:t>AI answers that are always correct, complete, or suitable for professional decisions.</w:t>
      </w:r>
    </w:p>
    <w:p>
      <w:pPr>
        <w:spacing w:before="60" w:after="160"/>
        <w:ind w:left="115" w:right="115"/>
        <w:shd w:fill="FFF5F5"/>
        <w:pBdr>
          <w:top w:val="single" w:sz="4" w:space="6" w:color="D7DBE2"/>
          <w:left w:val="single" w:sz="4" w:space="6" w:color="D7DBE2"/>
          <w:bottom w:val="single" w:sz="4" w:space="6" w:color="D7DBE2"/>
          <w:right w:val="single" w:sz="4" w:space="6" w:color="D7DBE2"/>
        </w:pBdr>
      </w:pPr>
      <w:r>
        <w:rPr>
          <w:rFonts w:ascii="Calibri" w:hAnsi="Calibri"/>
          <w:b/>
          <w:color w:val="9B1C1C"/>
          <w:sz w:val="21"/>
        </w:rPr>
        <w:t xml:space="preserve">Important: </w:t>
      </w:r>
      <w:r>
        <w:rPr>
          <w:rFonts w:ascii="Calibri" w:hAnsi="Calibri"/>
          <w:color w:val="0B2545"/>
          <w:sz w:val="21"/>
        </w:rPr>
        <w:t>Use an independent-brand disclaimer in the site footer, Terms, About page, course pages, certificates/exports, and marketing material. Ask an IP solicitor to review the product name and all SAP mark usage before a paid launch.</w:t>
      </w:r>
    </w:p>
    <w:p>
      <w:r>
        <w:br w:type="page"/>
      </w:r>
    </w:p>
    <w:p>
      <w:pPr>
        <w:pStyle w:val="Heading1"/>
      </w:pPr>
      <w:r>
        <w:t>2. P0 technical work before real users</w:t>
      </w:r>
    </w:p>
    <w:p>
      <w:pPr>
        <w:spacing w:after="200"/>
      </w:pPr>
      <w:r>
        <w:rPr>
          <w:rFonts w:ascii="Calibri" w:hAnsi="Calibri"/>
          <w:i/>
          <w:color w:val="1F4D78"/>
          <w:sz w:val="23"/>
        </w:rPr>
        <w:t>The public site must preserve accounts, progress, evidence, decisions, and audit records across deployments and server restarts.</w:t>
      </w:r>
    </w:p>
    <w:p>
      <w:pPr>
        <w:pStyle w:val="Heading2"/>
      </w:pPr>
      <w:r>
        <w:t>2.1 Durable production data</w:t>
      </w:r>
    </w:p>
    <w:p>
      <w:pPr>
        <w:pStyle w:val="ListNumber"/>
      </w:pPr>
      <w:r>
        <w:t>Provision managed PostgreSQL in a UK or appropriate regional location and obtain the production DATABASE_URL.</w:t>
      </w:r>
    </w:p>
    <w:p>
      <w:pPr>
        <w:pStyle w:val="ListNumber"/>
      </w:pPr>
      <w:r>
        <w:t>Add DATABASE_URL only to Vercel Production environment variables; do not commit it to Git or expose it to the browser.</w:t>
      </w:r>
    </w:p>
    <w:p>
      <w:pPr>
        <w:pStyle w:val="ListNumber"/>
      </w:pPr>
      <w:r>
        <w:t>Deploy the existing aggregate migration and verify all repositories use PostgreSQL rather than local JSON.</w:t>
      </w:r>
    </w:p>
    <w:p>
      <w:pPr>
        <w:pStyle w:val="ListNumber"/>
      </w:pPr>
      <w:r>
        <w:t>Create test learner/admin records, progress, simulation, decision, mentor, and certification data.</w:t>
      </w:r>
    </w:p>
    <w:p>
      <w:pPr>
        <w:pStyle w:val="ListNumber"/>
      </w:pPr>
      <w:r>
        <w:t>Redeploy and restart; confirm every record survives and /api/health reports durable storage.</w:t>
      </w:r>
    </w:p>
    <w:p>
      <w:pPr>
        <w:pStyle w:val="ListNumber"/>
      </w:pPr>
      <w:r>
        <w:t>Enable automated backups and point-in-time recovery where offered. Document retention and perform a restore drill.</w:t>
      </w:r>
    </w:p>
    <w:p>
      <w:pPr>
        <w:pStyle w:val="ListNumber"/>
      </w:pPr>
      <w:r>
        <w:t>Create a database access matrix: production application, named administrators, backup operator, and emergency access only.</w:t>
      </w:r>
    </w:p>
    <w:p>
      <w:pPr>
        <w:spacing w:before="60" w:after="160"/>
        <w:ind w:left="115" w:right="115"/>
        <w:shd w:fill="E8EEF5"/>
        <w:pBdr>
          <w:top w:val="single" w:sz="4" w:space="6" w:color="D7DBE2"/>
          <w:left w:val="single" w:sz="4" w:space="6" w:color="D7DBE2"/>
          <w:bottom w:val="single" w:sz="4" w:space="6" w:color="D7DBE2"/>
          <w:right w:val="single" w:sz="4" w:space="6" w:color="D7DBE2"/>
        </w:pBdr>
      </w:pPr>
      <w:r>
        <w:rPr>
          <w:rFonts w:ascii="Calibri" w:hAnsi="Calibri"/>
          <w:b/>
          <w:color w:val="2E74B5"/>
          <w:sz w:val="21"/>
        </w:rPr>
        <w:t xml:space="preserve">App reference: </w:t>
      </w:r>
      <w:r>
        <w:rPr>
          <w:rFonts w:ascii="Calibri" w:hAnsi="Calibri"/>
          <w:color w:val="0B2545"/>
          <w:sz w:val="21"/>
        </w:rPr>
        <w:t>Public health check: /api/health; Admin evidence: Control plane -&gt; Deployment gate summary</w:t>
      </w:r>
    </w:p>
    <w:p>
      <w:pPr>
        <w:spacing w:before="60" w:after="160"/>
        <w:ind w:left="115" w:right="115"/>
        <w:shd w:fill="EEF7F1"/>
        <w:pBdr>
          <w:top w:val="single" w:sz="4" w:space="6" w:color="D7DBE2"/>
          <w:left w:val="single" w:sz="4" w:space="6" w:color="D7DBE2"/>
          <w:bottom w:val="single" w:sz="4" w:space="6" w:color="D7DBE2"/>
          <w:right w:val="single" w:sz="4" w:space="6" w:color="D7DBE2"/>
        </w:pBdr>
      </w:pPr>
      <w:r>
        <w:rPr>
          <w:rFonts w:ascii="Calibri" w:hAnsi="Calibri"/>
          <w:b/>
          <w:color w:val="276749"/>
          <w:sz w:val="21"/>
        </w:rPr>
        <w:t xml:space="preserve">Acceptance test: </w:t>
      </w:r>
      <w:r>
        <w:rPr>
          <w:rFonts w:ascii="Calibri" w:hAnsi="Calibri"/>
          <w:color w:val="0B2545"/>
          <w:sz w:val="21"/>
        </w:rPr>
        <w:t>After a full redeploy, the same learner can sign in and see identical progress, evidence, simulations, approval history, and certification state; the admin readiness gate no longer fails durable storage.</w:t>
      </w:r>
    </w:p>
    <w:p>
      <w:pPr>
        <w:pStyle w:val="Heading2"/>
      </w:pPr>
      <w:r>
        <w:t>2.2 Authentication and identity</w:t>
      </w:r>
    </w:p>
    <w:p>
      <w:pPr>
        <w:pStyle w:val="ListBullet"/>
      </w:pPr>
      <w:r>
        <w:t>Keep passwords hashed using the existing server-side implementation; never log passwords or reset tokens.</w:t>
      </w:r>
    </w:p>
    <w:p>
      <w:pPr>
        <w:pStyle w:val="ListBullet"/>
      </w:pPr>
      <w:r>
        <w:t>Set secure, HttpOnly, SameSite session cookies and rotate/revoke sessions after suspension, password reset, and privilege change.</w:t>
      </w:r>
    </w:p>
    <w:p>
      <w:pPr>
        <w:pStyle w:val="ListBullet"/>
      </w:pPr>
      <w:r>
        <w:t>Rate-limit sign-in, registration, password recovery, mentor, simulation generation, and admin mutation endpoints.</w:t>
      </w:r>
    </w:p>
    <w:p>
      <w:pPr>
        <w:pStyle w:val="ListBullet"/>
      </w:pPr>
      <w:r>
        <w:t>Add bot protection to registration and recovery if abuse appears; preserve an accessible alternative.</w:t>
      </w:r>
    </w:p>
    <w:p>
      <w:pPr>
        <w:pStyle w:val="ListBullet"/>
      </w:pPr>
      <w:r>
        <w:t>Connect transactional recovery email with a verified sending domain, short token expiry, single use, and generic responses that do not reveal whether an email exists.</w:t>
      </w:r>
    </w:p>
    <w:p>
      <w:pPr>
        <w:pStyle w:val="ListBullet"/>
      </w:pPr>
      <w:r>
        <w:t>Require multi-factor authentication for production administrators, Vercel, GitHub, database, email, payment, and domain accounts.</w:t>
      </w:r>
    </w:p>
    <w:p>
      <w:pPr>
        <w:pStyle w:val="ListBullet"/>
      </w:pPr>
      <w:r>
        <w:t>Use OIDC/SAML for enterprise customers when sold; keep app roles and least-privilege authorisation server-side.</w:t>
      </w:r>
    </w:p>
    <w:p>
      <w:pPr>
        <w:spacing w:before="60" w:after="160"/>
        <w:ind w:left="115" w:right="115"/>
        <w:shd w:fill="E8EEF5"/>
        <w:pBdr>
          <w:top w:val="single" w:sz="4" w:space="6" w:color="D7DBE2"/>
          <w:left w:val="single" w:sz="4" w:space="6" w:color="D7DBE2"/>
          <w:bottom w:val="single" w:sz="4" w:space="6" w:color="D7DBE2"/>
          <w:right w:val="single" w:sz="4" w:space="6" w:color="D7DBE2"/>
        </w:pBdr>
      </w:pPr>
      <w:r>
        <w:rPr>
          <w:rFonts w:ascii="Calibri" w:hAnsi="Calibri"/>
          <w:b/>
          <w:color w:val="2E74B5"/>
          <w:sz w:val="21"/>
        </w:rPr>
        <w:t xml:space="preserve">App reference: </w:t>
      </w:r>
      <w:r>
        <w:rPr>
          <w:rFonts w:ascii="Calibri" w:hAnsi="Calibri"/>
          <w:color w:val="0B2545"/>
          <w:sz w:val="21"/>
        </w:rPr>
        <w:t>Sign-in / Forgot password; Control plane -&gt; Identity management / Access lifecycle</w:t>
      </w:r>
    </w:p>
    <w:p>
      <w:pPr>
        <w:pStyle w:val="Heading2"/>
      </w:pPr>
      <w:r>
        <w:t>2.3 API and application safety</w:t>
      </w:r>
    </w:p>
    <w:tbl>
      <w:tblPr>
        <w:tblStyle w:val="TableGrid"/>
        <w:tblW w:type="dxa" w:w="9360"/>
        <w:tblLayout w:type="fixed"/>
        <w:tblLook w:firstColumn="1" w:firstRow="1" w:lastColumn="0" w:lastRow="0" w:noHBand="0" w:noVBand="1" w:val="04A0"/>
        <w:jc w:val="left"/>
        <w:tblInd w:w="120" w:type="dxa"/>
      </w:tblPr>
      <w:tblGrid>
        <w:gridCol w:w="1600"/>
        <w:gridCol w:w="5200"/>
        <w:gridCol w:w="2560"/>
      </w:tblGrid>
      <w:tr>
        <w:trPr>
          <w:tblHeader w:val="true"/>
        </w:trPr>
        <w:tc>
          <w:tcPr>
            <w:tcW w:type="dxa" w:w="1600"/>
            <w:vAlign w:val="center"/>
            <w:tcMar>
              <w:top w:w="80" w:type="dxa"/>
              <w:start w:w="120" w:type="dxa"/>
              <w:bottom w:w="80" w:type="dxa"/>
              <w:end w:w="120" w:type="dxa"/>
            </w:tcMar>
            <w:shd w:fill="E8EEF5"/>
          </w:tcPr>
          <w:p>
            <w:pPr>
              <w:jc w:val="center"/>
            </w:pPr>
            <w:r>
              <w:rPr>
                <w:rFonts w:ascii="Calibri" w:hAnsi="Calibri"/>
                <w:b/>
                <w:color w:val="0B2545"/>
                <w:sz w:val="19"/>
              </w:rPr>
              <w:t>Control</w:t>
            </w:r>
          </w:p>
        </w:tc>
        <w:tc>
          <w:tcPr>
            <w:tcW w:type="dxa" w:w="5200"/>
            <w:vAlign w:val="center"/>
            <w:tcMar>
              <w:top w:w="80" w:type="dxa"/>
              <w:start w:w="120" w:type="dxa"/>
              <w:bottom w:w="80" w:type="dxa"/>
              <w:end w:w="120" w:type="dxa"/>
            </w:tcMar>
            <w:shd w:fill="E8EEF5"/>
          </w:tcPr>
          <w:p>
            <w:pPr>
              <w:jc w:val="left"/>
            </w:pPr>
            <w:r>
              <w:rPr>
                <w:rFonts w:ascii="Calibri" w:hAnsi="Calibri"/>
                <w:b/>
                <w:color w:val="0B2545"/>
                <w:sz w:val="19"/>
              </w:rPr>
              <w:t>Required implementation</w:t>
            </w:r>
          </w:p>
        </w:tc>
        <w:tc>
          <w:tcPr>
            <w:tcW w:type="dxa" w:w="2560"/>
            <w:vAlign w:val="center"/>
            <w:tcMar>
              <w:top w:w="80" w:type="dxa"/>
              <w:start w:w="120" w:type="dxa"/>
              <w:bottom w:w="80" w:type="dxa"/>
              <w:end w:w="120" w:type="dxa"/>
            </w:tcMar>
            <w:shd w:fill="E8EEF5"/>
          </w:tcPr>
          <w:p>
            <w:pPr>
              <w:jc w:val="center"/>
            </w:pPr>
            <w:r>
              <w:rPr>
                <w:rFonts w:ascii="Calibri" w:hAnsi="Calibri"/>
                <w:b/>
                <w:color w:val="0B2545"/>
                <w:sz w:val="19"/>
              </w:rPr>
              <w:t>Evidence</w:t>
            </w:r>
          </w:p>
        </w:tc>
      </w:tr>
      <w:tr>
        <w:tc>
          <w:tcPr>
            <w:tcW w:type="dxa" w:w="1600"/>
            <w:vAlign w:val="center"/>
            <w:tcMar>
              <w:top w:w="80" w:type="dxa"/>
              <w:start w:w="120" w:type="dxa"/>
              <w:bottom w:w="80" w:type="dxa"/>
              <w:end w:w="120" w:type="dxa"/>
            </w:tcMar>
          </w:tcPr>
          <w:p>
            <w:pPr>
              <w:spacing w:after="0"/>
              <w:jc w:val="center"/>
            </w:pPr>
            <w:r>
              <w:rPr>
                <w:rFonts w:ascii="Calibri" w:hAnsi="Calibri"/>
                <w:color w:val="0B2545"/>
                <w:sz w:val="19"/>
              </w:rPr>
              <w:t>Authorisation</w:t>
            </w:r>
          </w:p>
        </w:tc>
        <w:tc>
          <w:tcPr>
            <w:tcW w:type="dxa" w:w="5200"/>
            <w:vAlign w:val="center"/>
            <w:tcMar>
              <w:top w:w="80" w:type="dxa"/>
              <w:start w:w="120" w:type="dxa"/>
              <w:bottom w:w="80" w:type="dxa"/>
              <w:end w:w="120" w:type="dxa"/>
            </w:tcMar>
          </w:tcPr>
          <w:p>
            <w:pPr>
              <w:spacing w:after="0"/>
              <w:jc w:val="left"/>
            </w:pPr>
            <w:r>
              <w:rPr>
                <w:rFonts w:ascii="Calibri" w:hAnsi="Calibri"/>
                <w:color w:val="0B2545"/>
                <w:sz w:val="19"/>
              </w:rPr>
              <w:t>Check learner/admin role in every protected route; prevent object-ID access to another learner's records.</w:t>
            </w:r>
          </w:p>
        </w:tc>
        <w:tc>
          <w:tcPr>
            <w:tcW w:type="dxa" w:w="2560"/>
            <w:vAlign w:val="center"/>
            <w:tcMar>
              <w:top w:w="80" w:type="dxa"/>
              <w:start w:w="120" w:type="dxa"/>
              <w:bottom w:w="80" w:type="dxa"/>
              <w:end w:w="120" w:type="dxa"/>
            </w:tcMar>
          </w:tcPr>
          <w:p>
            <w:pPr>
              <w:spacing w:after="0"/>
              <w:jc w:val="left"/>
            </w:pPr>
            <w:r>
              <w:rPr>
                <w:rFonts w:ascii="Calibri" w:hAnsi="Calibri"/>
                <w:color w:val="0B2545"/>
                <w:sz w:val="19"/>
              </w:rPr>
              <w:t>Automated negative API tests</w:t>
            </w:r>
          </w:p>
        </w:tc>
      </w:tr>
      <w:tr>
        <w:tc>
          <w:tcPr>
            <w:tcW w:type="dxa" w:w="1600"/>
            <w:vAlign w:val="center"/>
            <w:tcMar>
              <w:top w:w="80" w:type="dxa"/>
              <w:start w:w="120" w:type="dxa"/>
              <w:bottom w:w="80" w:type="dxa"/>
              <w:end w:w="120" w:type="dxa"/>
            </w:tcMar>
          </w:tcPr>
          <w:p>
            <w:pPr>
              <w:spacing w:after="0"/>
              <w:jc w:val="center"/>
            </w:pPr>
            <w:r>
              <w:rPr>
                <w:rFonts w:ascii="Calibri" w:hAnsi="Calibri"/>
                <w:color w:val="0B2545"/>
                <w:sz w:val="19"/>
              </w:rPr>
              <w:t>Validation</w:t>
            </w:r>
          </w:p>
        </w:tc>
        <w:tc>
          <w:tcPr>
            <w:tcW w:type="dxa" w:w="5200"/>
            <w:vAlign w:val="center"/>
            <w:tcMar>
              <w:top w:w="80" w:type="dxa"/>
              <w:start w:w="120" w:type="dxa"/>
              <w:bottom w:w="80" w:type="dxa"/>
              <w:end w:w="120" w:type="dxa"/>
            </w:tcMar>
          </w:tcPr>
          <w:p>
            <w:pPr>
              <w:spacing w:after="0"/>
              <w:jc w:val="left"/>
            </w:pPr>
            <w:r>
              <w:rPr>
                <w:rFonts w:ascii="Calibri" w:hAnsi="Calibri"/>
                <w:color w:val="0B2545"/>
                <w:sz w:val="19"/>
              </w:rPr>
              <w:t>Validate type, length, format, allowed values, and ownership on every server input.</w:t>
            </w:r>
          </w:p>
        </w:tc>
        <w:tc>
          <w:tcPr>
            <w:tcW w:type="dxa" w:w="2560"/>
            <w:vAlign w:val="center"/>
            <w:tcMar>
              <w:top w:w="80" w:type="dxa"/>
              <w:start w:w="120" w:type="dxa"/>
              <w:bottom w:w="80" w:type="dxa"/>
              <w:end w:w="120" w:type="dxa"/>
            </w:tcMar>
          </w:tcPr>
          <w:p>
            <w:pPr>
              <w:spacing w:after="0"/>
              <w:jc w:val="left"/>
            </w:pPr>
            <w:r>
              <w:rPr>
                <w:rFonts w:ascii="Calibri" w:hAnsi="Calibri"/>
                <w:color w:val="0B2545"/>
                <w:sz w:val="19"/>
              </w:rPr>
              <w:t>Schema tests and rejected payload logs</w:t>
            </w:r>
          </w:p>
        </w:tc>
      </w:tr>
      <w:tr>
        <w:tc>
          <w:tcPr>
            <w:tcW w:type="dxa" w:w="1600"/>
            <w:vAlign w:val="center"/>
            <w:tcMar>
              <w:top w:w="80" w:type="dxa"/>
              <w:start w:w="120" w:type="dxa"/>
              <w:bottom w:w="80" w:type="dxa"/>
              <w:end w:w="120" w:type="dxa"/>
            </w:tcMar>
          </w:tcPr>
          <w:p>
            <w:pPr>
              <w:spacing w:after="0"/>
              <w:jc w:val="center"/>
            </w:pPr>
            <w:r>
              <w:rPr>
                <w:rFonts w:ascii="Calibri" w:hAnsi="Calibri"/>
                <w:color w:val="0B2545"/>
                <w:sz w:val="19"/>
              </w:rPr>
              <w:t>CSRF</w:t>
            </w:r>
          </w:p>
        </w:tc>
        <w:tc>
          <w:tcPr>
            <w:tcW w:type="dxa" w:w="5200"/>
            <w:vAlign w:val="center"/>
            <w:tcMar>
              <w:top w:w="80" w:type="dxa"/>
              <w:start w:w="120" w:type="dxa"/>
              <w:bottom w:w="80" w:type="dxa"/>
              <w:end w:w="120" w:type="dxa"/>
            </w:tcMar>
          </w:tcPr>
          <w:p>
            <w:pPr>
              <w:spacing w:after="0"/>
              <w:jc w:val="left"/>
            </w:pPr>
            <w:r>
              <w:rPr>
                <w:rFonts w:ascii="Calibri" w:hAnsi="Calibri"/>
                <w:color w:val="0B2545"/>
                <w:sz w:val="19"/>
              </w:rPr>
              <w:t>Protect state-changing cookie-authenticated requests with origin checks and an anti-CSRF design.</w:t>
            </w:r>
          </w:p>
        </w:tc>
        <w:tc>
          <w:tcPr>
            <w:tcW w:type="dxa" w:w="2560"/>
            <w:vAlign w:val="center"/>
            <w:tcMar>
              <w:top w:w="80" w:type="dxa"/>
              <w:start w:w="120" w:type="dxa"/>
              <w:bottom w:w="80" w:type="dxa"/>
              <w:end w:w="120" w:type="dxa"/>
            </w:tcMar>
          </w:tcPr>
          <w:p>
            <w:pPr>
              <w:spacing w:after="0"/>
              <w:jc w:val="left"/>
            </w:pPr>
            <w:r>
              <w:rPr>
                <w:rFonts w:ascii="Calibri" w:hAnsi="Calibri"/>
                <w:color w:val="0B2545"/>
                <w:sz w:val="19"/>
              </w:rPr>
              <w:t>Cross-site request test</w:t>
            </w:r>
          </w:p>
        </w:tc>
      </w:tr>
      <w:tr>
        <w:tc>
          <w:tcPr>
            <w:tcW w:type="dxa" w:w="1600"/>
            <w:vAlign w:val="center"/>
            <w:tcMar>
              <w:top w:w="80" w:type="dxa"/>
              <w:start w:w="120" w:type="dxa"/>
              <w:bottom w:w="80" w:type="dxa"/>
              <w:end w:w="120" w:type="dxa"/>
            </w:tcMar>
          </w:tcPr>
          <w:p>
            <w:pPr>
              <w:spacing w:after="0"/>
              <w:jc w:val="center"/>
            </w:pPr>
            <w:r>
              <w:rPr>
                <w:rFonts w:ascii="Calibri" w:hAnsi="Calibri"/>
                <w:color w:val="0B2545"/>
                <w:sz w:val="19"/>
              </w:rPr>
              <w:t>XSS</w:t>
            </w:r>
          </w:p>
        </w:tc>
        <w:tc>
          <w:tcPr>
            <w:tcW w:type="dxa" w:w="5200"/>
            <w:vAlign w:val="center"/>
            <w:tcMar>
              <w:top w:w="80" w:type="dxa"/>
              <w:start w:w="120" w:type="dxa"/>
              <w:bottom w:w="80" w:type="dxa"/>
              <w:end w:w="120" w:type="dxa"/>
            </w:tcMar>
          </w:tcPr>
          <w:p>
            <w:pPr>
              <w:spacing w:after="0"/>
              <w:jc w:val="left"/>
            </w:pPr>
            <w:r>
              <w:rPr>
                <w:rFonts w:ascii="Calibri" w:hAnsi="Calibri"/>
                <w:color w:val="0B2545"/>
                <w:sz w:val="19"/>
              </w:rPr>
              <w:t>Escape user content; do not render raw HTML from notes, capstones, mentor responses, or admin fields.</w:t>
            </w:r>
          </w:p>
        </w:tc>
        <w:tc>
          <w:tcPr>
            <w:tcW w:type="dxa" w:w="2560"/>
            <w:vAlign w:val="center"/>
            <w:tcMar>
              <w:top w:w="80" w:type="dxa"/>
              <w:start w:w="120" w:type="dxa"/>
              <w:bottom w:w="80" w:type="dxa"/>
              <w:end w:w="120" w:type="dxa"/>
            </w:tcMar>
          </w:tcPr>
          <w:p>
            <w:pPr>
              <w:spacing w:after="0"/>
              <w:jc w:val="left"/>
            </w:pPr>
            <w:r>
              <w:rPr>
                <w:rFonts w:ascii="Calibri" w:hAnsi="Calibri"/>
                <w:color w:val="0B2545"/>
                <w:sz w:val="19"/>
              </w:rPr>
              <w:t>Security test and code review</w:t>
            </w:r>
          </w:p>
        </w:tc>
      </w:tr>
      <w:tr>
        <w:tc>
          <w:tcPr>
            <w:tcW w:type="dxa" w:w="1600"/>
            <w:vAlign w:val="center"/>
            <w:tcMar>
              <w:top w:w="80" w:type="dxa"/>
              <w:start w:w="120" w:type="dxa"/>
              <w:bottom w:w="80" w:type="dxa"/>
              <w:end w:w="120" w:type="dxa"/>
            </w:tcMar>
          </w:tcPr>
          <w:p>
            <w:pPr>
              <w:spacing w:after="0"/>
              <w:jc w:val="center"/>
            </w:pPr>
            <w:r>
              <w:rPr>
                <w:rFonts w:ascii="Calibri" w:hAnsi="Calibri"/>
                <w:color w:val="0B2545"/>
                <w:sz w:val="19"/>
              </w:rPr>
              <w:t>Rate limits</w:t>
            </w:r>
          </w:p>
        </w:tc>
        <w:tc>
          <w:tcPr>
            <w:tcW w:type="dxa" w:w="5200"/>
            <w:vAlign w:val="center"/>
            <w:tcMar>
              <w:top w:w="80" w:type="dxa"/>
              <w:start w:w="120" w:type="dxa"/>
              <w:bottom w:w="80" w:type="dxa"/>
              <w:end w:w="120" w:type="dxa"/>
            </w:tcMar>
          </w:tcPr>
          <w:p>
            <w:pPr>
              <w:spacing w:after="0"/>
              <w:jc w:val="left"/>
            </w:pPr>
            <w:r>
              <w:rPr>
                <w:rFonts w:ascii="Calibri" w:hAnsi="Calibri"/>
                <w:color w:val="0B2545"/>
                <w:sz w:val="19"/>
              </w:rPr>
              <w:t>Limit costly, sensitive, and abuse-prone routes by account and network signal.</w:t>
            </w:r>
          </w:p>
        </w:tc>
        <w:tc>
          <w:tcPr>
            <w:tcW w:type="dxa" w:w="2560"/>
            <w:vAlign w:val="center"/>
            <w:tcMar>
              <w:top w:w="80" w:type="dxa"/>
              <w:start w:w="120" w:type="dxa"/>
              <w:bottom w:w="80" w:type="dxa"/>
              <w:end w:w="120" w:type="dxa"/>
            </w:tcMar>
          </w:tcPr>
          <w:p>
            <w:pPr>
              <w:spacing w:after="0"/>
              <w:jc w:val="left"/>
            </w:pPr>
            <w:r>
              <w:rPr>
                <w:rFonts w:ascii="Calibri" w:hAnsi="Calibri"/>
                <w:color w:val="0B2545"/>
                <w:sz w:val="19"/>
              </w:rPr>
              <w:t>429 tests and alert</w:t>
            </w:r>
          </w:p>
        </w:tc>
      </w:tr>
      <w:tr>
        <w:tc>
          <w:tcPr>
            <w:tcW w:type="dxa" w:w="1600"/>
            <w:vAlign w:val="center"/>
            <w:tcMar>
              <w:top w:w="80" w:type="dxa"/>
              <w:start w:w="120" w:type="dxa"/>
              <w:bottom w:w="80" w:type="dxa"/>
              <w:end w:w="120" w:type="dxa"/>
            </w:tcMar>
          </w:tcPr>
          <w:p>
            <w:pPr>
              <w:spacing w:after="0"/>
              <w:jc w:val="center"/>
            </w:pPr>
            <w:r>
              <w:rPr>
                <w:rFonts w:ascii="Calibri" w:hAnsi="Calibri"/>
                <w:color w:val="0B2545"/>
                <w:sz w:val="19"/>
              </w:rPr>
              <w:t>Secrets</w:t>
            </w:r>
          </w:p>
        </w:tc>
        <w:tc>
          <w:tcPr>
            <w:tcW w:type="dxa" w:w="5200"/>
            <w:vAlign w:val="center"/>
            <w:tcMar>
              <w:top w:w="80" w:type="dxa"/>
              <w:start w:w="120" w:type="dxa"/>
              <w:bottom w:w="80" w:type="dxa"/>
              <w:end w:w="120" w:type="dxa"/>
            </w:tcMar>
          </w:tcPr>
          <w:p>
            <w:pPr>
              <w:spacing w:after="0"/>
              <w:jc w:val="left"/>
            </w:pPr>
            <w:r>
              <w:rPr>
                <w:rFonts w:ascii="Calibri" w:hAnsi="Calibri"/>
                <w:color w:val="0B2545"/>
                <w:sz w:val="19"/>
              </w:rPr>
              <w:t>Keep database, email, AI, payment, and webhook secrets in environment variables; rotate on exposure.</w:t>
            </w:r>
          </w:p>
        </w:tc>
        <w:tc>
          <w:tcPr>
            <w:tcW w:type="dxa" w:w="2560"/>
            <w:vAlign w:val="center"/>
            <w:tcMar>
              <w:top w:w="80" w:type="dxa"/>
              <w:start w:w="120" w:type="dxa"/>
              <w:bottom w:w="80" w:type="dxa"/>
              <w:end w:w="120" w:type="dxa"/>
            </w:tcMar>
          </w:tcPr>
          <w:p>
            <w:pPr>
              <w:spacing w:after="0"/>
              <w:jc w:val="left"/>
            </w:pPr>
            <w:r>
              <w:rPr>
                <w:rFonts w:ascii="Calibri" w:hAnsi="Calibri"/>
                <w:color w:val="0B2545"/>
                <w:sz w:val="19"/>
              </w:rPr>
              <w:t>Secret inventory and rotation log</w:t>
            </w:r>
          </w:p>
        </w:tc>
      </w:tr>
      <w:tr>
        <w:tc>
          <w:tcPr>
            <w:tcW w:type="dxa" w:w="1600"/>
            <w:vAlign w:val="center"/>
            <w:tcMar>
              <w:top w:w="80" w:type="dxa"/>
              <w:start w:w="120" w:type="dxa"/>
              <w:bottom w:w="80" w:type="dxa"/>
              <w:end w:w="120" w:type="dxa"/>
            </w:tcMar>
          </w:tcPr>
          <w:p>
            <w:pPr>
              <w:spacing w:after="0"/>
              <w:jc w:val="center"/>
            </w:pPr>
            <w:r>
              <w:rPr>
                <w:rFonts w:ascii="Calibri" w:hAnsi="Calibri"/>
                <w:color w:val="0B2545"/>
                <w:sz w:val="19"/>
              </w:rPr>
              <w:t>Dependencies</w:t>
            </w:r>
          </w:p>
        </w:tc>
        <w:tc>
          <w:tcPr>
            <w:tcW w:type="dxa" w:w="5200"/>
            <w:vAlign w:val="center"/>
            <w:tcMar>
              <w:top w:w="80" w:type="dxa"/>
              <w:start w:w="120" w:type="dxa"/>
              <w:bottom w:w="80" w:type="dxa"/>
              <w:end w:w="120" w:type="dxa"/>
            </w:tcMar>
          </w:tcPr>
          <w:p>
            <w:pPr>
              <w:spacing w:after="0"/>
              <w:jc w:val="left"/>
            </w:pPr>
            <w:r>
              <w:rPr>
                <w:rFonts w:ascii="Calibri" w:hAnsi="Calibri"/>
                <w:color w:val="0B2545"/>
                <w:sz w:val="19"/>
              </w:rPr>
              <w:t>Run lockfile audit and update policy; remediate exploitable production vulnerabilities.</w:t>
            </w:r>
          </w:p>
        </w:tc>
        <w:tc>
          <w:tcPr>
            <w:tcW w:type="dxa" w:w="2560"/>
            <w:vAlign w:val="center"/>
            <w:tcMar>
              <w:top w:w="80" w:type="dxa"/>
              <w:start w:w="120" w:type="dxa"/>
              <w:bottom w:w="80" w:type="dxa"/>
              <w:end w:w="120" w:type="dxa"/>
            </w:tcMar>
          </w:tcPr>
          <w:p>
            <w:pPr>
              <w:spacing w:after="0"/>
              <w:jc w:val="left"/>
            </w:pPr>
            <w:r>
              <w:rPr>
                <w:rFonts w:ascii="Calibri" w:hAnsi="Calibri"/>
                <w:color w:val="0B2545"/>
                <w:sz w:val="19"/>
              </w:rPr>
              <w:t>CI report and owner</w:t>
            </w:r>
          </w:p>
        </w:tc>
      </w:tr>
      <w:tr>
        <w:tc>
          <w:tcPr>
            <w:tcW w:type="dxa" w:w="1600"/>
            <w:vAlign w:val="center"/>
            <w:tcMar>
              <w:top w:w="80" w:type="dxa"/>
              <w:start w:w="120" w:type="dxa"/>
              <w:bottom w:w="80" w:type="dxa"/>
              <w:end w:w="120" w:type="dxa"/>
            </w:tcMar>
          </w:tcPr>
          <w:p>
            <w:pPr>
              <w:spacing w:after="0"/>
              <w:jc w:val="center"/>
            </w:pPr>
            <w:r>
              <w:rPr>
                <w:rFonts w:ascii="Calibri" w:hAnsi="Calibri"/>
                <w:color w:val="0B2545"/>
                <w:sz w:val="19"/>
              </w:rPr>
              <w:t>Logs</w:t>
            </w:r>
          </w:p>
        </w:tc>
        <w:tc>
          <w:tcPr>
            <w:tcW w:type="dxa" w:w="5200"/>
            <w:vAlign w:val="center"/>
            <w:tcMar>
              <w:top w:w="80" w:type="dxa"/>
              <w:start w:w="120" w:type="dxa"/>
              <w:bottom w:w="80" w:type="dxa"/>
              <w:end w:w="120" w:type="dxa"/>
            </w:tcMar>
          </w:tcPr>
          <w:p>
            <w:pPr>
              <w:spacing w:after="0"/>
              <w:jc w:val="left"/>
            </w:pPr>
            <w:r>
              <w:rPr>
                <w:rFonts w:ascii="Calibri" w:hAnsi="Calibri"/>
                <w:color w:val="0B2545"/>
                <w:sz w:val="19"/>
              </w:rPr>
              <w:t>Exclude credentials, tokens, raw notes, capstone responses, payment data, and unnecessary personal data.</w:t>
            </w:r>
          </w:p>
        </w:tc>
        <w:tc>
          <w:tcPr>
            <w:tcW w:type="dxa" w:w="2560"/>
            <w:vAlign w:val="center"/>
            <w:tcMar>
              <w:top w:w="80" w:type="dxa"/>
              <w:start w:w="120" w:type="dxa"/>
              <w:bottom w:w="80" w:type="dxa"/>
              <w:end w:w="120" w:type="dxa"/>
            </w:tcMar>
          </w:tcPr>
          <w:p>
            <w:pPr>
              <w:spacing w:after="0"/>
              <w:jc w:val="left"/>
            </w:pPr>
            <w:r>
              <w:rPr>
                <w:rFonts w:ascii="Calibri" w:hAnsi="Calibri"/>
                <w:color w:val="0B2545"/>
                <w:sz w:val="19"/>
              </w:rPr>
              <w:t>Log sampling review</w:t>
            </w:r>
          </w:p>
        </w:tc>
      </w:tr>
    </w:tbl>
    <w:p>
      <w:pPr>
        <w:spacing w:after="20"/>
      </w:pPr>
    </w:p>
    <w:p>
      <w:pPr>
        <w:pStyle w:val="Heading2"/>
      </w:pPr>
      <w:r>
        <w:t>2.4 Infrastructure, firewall, and observability</w:t>
      </w:r>
    </w:p>
    <w:p>
      <w:pPr>
        <w:pStyle w:val="ListBullet"/>
      </w:pPr>
      <w:r>
        <w:t>Keep HTTPS enforced. Review the existing security headers and introduce a tested Content Security Policy that allows only required sources.</w:t>
      </w:r>
    </w:p>
    <w:p>
      <w:pPr>
        <w:pStyle w:val="ListBullet"/>
      </w:pPr>
      <w:r>
        <w:t>Configure Vercel WAF/custom rules for admin endpoints, abusive clients, and high-risk traffic; start in log mode where blocking risk exists.</w:t>
      </w:r>
    </w:p>
    <w:p>
      <w:pPr>
        <w:pStyle w:val="ListBullet"/>
      </w:pPr>
      <w:r>
        <w:t>Enable production runtime error, latency, traffic, function-cost, and firewall alerts with a named on-call owner.</w:t>
      </w:r>
    </w:p>
    <w:p>
      <w:pPr>
        <w:pStyle w:val="ListBullet"/>
      </w:pPr>
      <w:r>
        <w:t>Send structured security and application events to a durable log service with retention and access control.</w:t>
      </w:r>
    </w:p>
    <w:p>
      <w:pPr>
        <w:pStyle w:val="ListBullet"/>
      </w:pPr>
      <w:r>
        <w:t>Create service-level indicators: availability, error rate, sign-in success, database latency, mentor failures, and payment webhook failures.</w:t>
      </w:r>
    </w:p>
    <w:p>
      <w:pPr>
        <w:pStyle w:val="ListBullet"/>
      </w:pPr>
      <w:r>
        <w:t>Document rollback: identify last known good deployment, database compatibility, restore steps, decision owner, and communication template.</w:t>
      </w:r>
    </w:p>
    <w:p>
      <w:pPr>
        <w:spacing w:before="60" w:after="160"/>
        <w:ind w:left="115" w:right="115"/>
        <w:shd w:fill="E8EEF5"/>
        <w:pBdr>
          <w:top w:val="single" w:sz="4" w:space="6" w:color="D7DBE2"/>
          <w:left w:val="single" w:sz="4" w:space="6" w:color="D7DBE2"/>
          <w:bottom w:val="single" w:sz="4" w:space="6" w:color="D7DBE2"/>
          <w:right w:val="single" w:sz="4" w:space="6" w:color="D7DBE2"/>
        </w:pBdr>
      </w:pPr>
      <w:r>
        <w:rPr>
          <w:rFonts w:ascii="Calibri" w:hAnsi="Calibri"/>
          <w:b/>
          <w:color w:val="2E74B5"/>
          <w:sz w:val="21"/>
        </w:rPr>
        <w:t xml:space="preserve">App reference: </w:t>
      </w:r>
      <w:r>
        <w:rPr>
          <w:rFonts w:ascii="Calibri" w:hAnsi="Calibri"/>
          <w:color w:val="0B2545"/>
          <w:sz w:val="21"/>
        </w:rPr>
        <w:t>Control plane -&gt; Observability / Deployment gate / Release operations; Vercel -&gt; Observability / Firewall</w:t>
      </w:r>
    </w:p>
    <w:p>
      <w:r>
        <w:br w:type="page"/>
      </w:r>
    </w:p>
    <w:p>
      <w:pPr>
        <w:pStyle w:val="Heading1"/>
      </w:pPr>
      <w:r>
        <w:t>3. Privacy and data protection</w:t>
      </w:r>
    </w:p>
    <w:p>
      <w:pPr>
        <w:spacing w:after="200"/>
      </w:pPr>
      <w:r>
        <w:rPr>
          <w:rFonts w:ascii="Calibri" w:hAnsi="Calibri"/>
          <w:i/>
          <w:color w:val="1F4D78"/>
          <w:sz w:val="23"/>
        </w:rPr>
        <w:t>Build the data map first; the privacy notice must describe the real system, not an aspirational template.</w:t>
      </w:r>
    </w:p>
    <w:p>
      <w:pPr>
        <w:pStyle w:val="Heading2"/>
      </w:pPr>
      <w:r>
        <w:t>3.1 Create the data inventory</w:t>
      </w:r>
    </w:p>
    <w:tbl>
      <w:tblPr>
        <w:tblStyle w:val="TableGrid"/>
        <w:tblW w:type="dxa" w:w="9360"/>
        <w:tblLayout w:type="fixed"/>
        <w:tblLook w:firstColumn="1" w:firstRow="1" w:lastColumn="0" w:lastRow="0" w:noHBand="0" w:noVBand="1" w:val="04A0"/>
        <w:jc w:val="left"/>
        <w:tblInd w:w="120" w:type="dxa"/>
      </w:tblPr>
      <w:tblGrid>
        <w:gridCol w:w="2200"/>
        <w:gridCol w:w="3400"/>
        <w:gridCol w:w="3760"/>
      </w:tblGrid>
      <w:tr>
        <w:trPr>
          <w:tblHeader w:val="true"/>
        </w:trPr>
        <w:tc>
          <w:tcPr>
            <w:tcW w:type="dxa" w:w="2200"/>
            <w:vAlign w:val="center"/>
            <w:tcMar>
              <w:top w:w="80" w:type="dxa"/>
              <w:start w:w="120" w:type="dxa"/>
              <w:bottom w:w="80" w:type="dxa"/>
              <w:end w:w="120" w:type="dxa"/>
            </w:tcMar>
            <w:shd w:fill="E8EEF5"/>
          </w:tcPr>
          <w:p>
            <w:pPr>
              <w:jc w:val="center"/>
            </w:pPr>
            <w:r>
              <w:rPr>
                <w:rFonts w:ascii="Calibri" w:hAnsi="Calibri"/>
                <w:b/>
                <w:color w:val="0B2545"/>
                <w:sz w:val="19"/>
              </w:rPr>
              <w:t>Data</w:t>
            </w:r>
          </w:p>
        </w:tc>
        <w:tc>
          <w:tcPr>
            <w:tcW w:type="dxa" w:w="3400"/>
            <w:vAlign w:val="center"/>
            <w:tcMar>
              <w:top w:w="80" w:type="dxa"/>
              <w:start w:w="120" w:type="dxa"/>
              <w:bottom w:w="80" w:type="dxa"/>
              <w:end w:w="120" w:type="dxa"/>
            </w:tcMar>
            <w:shd w:fill="E8EEF5"/>
          </w:tcPr>
          <w:p>
            <w:pPr>
              <w:jc w:val="center"/>
            </w:pPr>
            <w:r>
              <w:rPr>
                <w:rFonts w:ascii="Calibri" w:hAnsi="Calibri"/>
                <w:b/>
                <w:color w:val="0B2545"/>
                <w:sz w:val="19"/>
              </w:rPr>
              <w:t>Purpose</w:t>
            </w:r>
          </w:p>
        </w:tc>
        <w:tc>
          <w:tcPr>
            <w:tcW w:type="dxa" w:w="3760"/>
            <w:vAlign w:val="center"/>
            <w:tcMar>
              <w:top w:w="80" w:type="dxa"/>
              <w:start w:w="120" w:type="dxa"/>
              <w:bottom w:w="80" w:type="dxa"/>
              <w:end w:w="120" w:type="dxa"/>
            </w:tcMar>
            <w:shd w:fill="E8EEF5"/>
          </w:tcPr>
          <w:p>
            <w:pPr>
              <w:jc w:val="left"/>
            </w:pPr>
            <w:r>
              <w:rPr>
                <w:rFonts w:ascii="Calibri" w:hAnsi="Calibri"/>
                <w:b/>
                <w:color w:val="0B2545"/>
                <w:sz w:val="19"/>
              </w:rPr>
              <w:t>Likely retention decision</w:t>
            </w:r>
          </w:p>
        </w:tc>
      </w:tr>
      <w:tr>
        <w:tc>
          <w:tcPr>
            <w:tcW w:type="dxa" w:w="2200"/>
            <w:vAlign w:val="center"/>
            <w:tcMar>
              <w:top w:w="80" w:type="dxa"/>
              <w:start w:w="120" w:type="dxa"/>
              <w:bottom w:w="80" w:type="dxa"/>
              <w:end w:w="120" w:type="dxa"/>
            </w:tcMar>
          </w:tcPr>
          <w:p>
            <w:pPr>
              <w:spacing w:after="0"/>
              <w:jc w:val="left"/>
            </w:pPr>
            <w:r>
              <w:rPr>
                <w:rFonts w:ascii="Calibri" w:hAnsi="Calibri"/>
                <w:color w:val="0B2545"/>
                <w:sz w:val="19"/>
              </w:rPr>
              <w:t>Account identity and role</w:t>
            </w:r>
          </w:p>
        </w:tc>
        <w:tc>
          <w:tcPr>
            <w:tcW w:type="dxa" w:w="3400"/>
            <w:vAlign w:val="center"/>
            <w:tcMar>
              <w:top w:w="80" w:type="dxa"/>
              <w:start w:w="120" w:type="dxa"/>
              <w:bottom w:w="80" w:type="dxa"/>
              <w:end w:w="120" w:type="dxa"/>
            </w:tcMar>
          </w:tcPr>
          <w:p>
            <w:pPr>
              <w:spacing w:after="0"/>
              <w:jc w:val="left"/>
            </w:pPr>
            <w:r>
              <w:rPr>
                <w:rFonts w:ascii="Calibri" w:hAnsi="Calibri"/>
                <w:color w:val="0B2545"/>
                <w:sz w:val="19"/>
              </w:rPr>
              <w:t>Authentication, support, access control</w:t>
            </w:r>
          </w:p>
        </w:tc>
        <w:tc>
          <w:tcPr>
            <w:tcW w:type="dxa" w:w="3760"/>
            <w:vAlign w:val="center"/>
            <w:tcMar>
              <w:top w:w="80" w:type="dxa"/>
              <w:start w:w="120" w:type="dxa"/>
              <w:bottom w:w="80" w:type="dxa"/>
              <w:end w:w="120" w:type="dxa"/>
            </w:tcMar>
          </w:tcPr>
          <w:p>
            <w:pPr>
              <w:spacing w:after="0"/>
              <w:jc w:val="left"/>
            </w:pPr>
            <w:r>
              <w:rPr>
                <w:rFonts w:ascii="Calibri" w:hAnsi="Calibri"/>
                <w:color w:val="0B2545"/>
                <w:sz w:val="19"/>
              </w:rPr>
              <w:t>Account life plus a defined closure period</w:t>
            </w:r>
          </w:p>
        </w:tc>
      </w:tr>
      <w:tr>
        <w:tc>
          <w:tcPr>
            <w:tcW w:type="dxa" w:w="2200"/>
            <w:vAlign w:val="center"/>
            <w:tcMar>
              <w:top w:w="80" w:type="dxa"/>
              <w:start w:w="120" w:type="dxa"/>
              <w:bottom w:w="80" w:type="dxa"/>
              <w:end w:w="120" w:type="dxa"/>
            </w:tcMar>
          </w:tcPr>
          <w:p>
            <w:pPr>
              <w:spacing w:after="0"/>
              <w:jc w:val="left"/>
            </w:pPr>
            <w:r>
              <w:rPr>
                <w:rFonts w:ascii="Calibri" w:hAnsi="Calibri"/>
                <w:color w:val="0B2545"/>
                <w:sz w:val="19"/>
              </w:rPr>
              <w:t>Sessions and recovery</w:t>
            </w:r>
          </w:p>
        </w:tc>
        <w:tc>
          <w:tcPr>
            <w:tcW w:type="dxa" w:w="3400"/>
            <w:vAlign w:val="center"/>
            <w:tcMar>
              <w:top w:w="80" w:type="dxa"/>
              <w:start w:w="120" w:type="dxa"/>
              <w:bottom w:w="80" w:type="dxa"/>
              <w:end w:w="120" w:type="dxa"/>
            </w:tcMar>
          </w:tcPr>
          <w:p>
            <w:pPr>
              <w:spacing w:after="0"/>
              <w:jc w:val="left"/>
            </w:pPr>
            <w:r>
              <w:rPr>
                <w:rFonts w:ascii="Calibri" w:hAnsi="Calibri"/>
                <w:color w:val="0B2545"/>
                <w:sz w:val="19"/>
              </w:rPr>
              <w:t>Security and account recovery</w:t>
            </w:r>
          </w:p>
        </w:tc>
        <w:tc>
          <w:tcPr>
            <w:tcW w:type="dxa" w:w="3760"/>
            <w:vAlign w:val="center"/>
            <w:tcMar>
              <w:top w:w="80" w:type="dxa"/>
              <w:start w:w="120" w:type="dxa"/>
              <w:bottom w:w="80" w:type="dxa"/>
              <w:end w:w="120" w:type="dxa"/>
            </w:tcMar>
          </w:tcPr>
          <w:p>
            <w:pPr>
              <w:spacing w:after="0"/>
              <w:jc w:val="left"/>
            </w:pPr>
            <w:r>
              <w:rPr>
                <w:rFonts w:ascii="Calibri" w:hAnsi="Calibri"/>
                <w:color w:val="0B2545"/>
                <w:sz w:val="19"/>
              </w:rPr>
              <w:t>Short operational/security period</w:t>
            </w:r>
          </w:p>
        </w:tc>
      </w:tr>
      <w:tr>
        <w:tc>
          <w:tcPr>
            <w:tcW w:type="dxa" w:w="2200"/>
            <w:vAlign w:val="center"/>
            <w:tcMar>
              <w:top w:w="80" w:type="dxa"/>
              <w:start w:w="120" w:type="dxa"/>
              <w:bottom w:w="80" w:type="dxa"/>
              <w:end w:w="120" w:type="dxa"/>
            </w:tcMar>
          </w:tcPr>
          <w:p>
            <w:pPr>
              <w:spacing w:after="0"/>
              <w:jc w:val="left"/>
            </w:pPr>
            <w:r>
              <w:rPr>
                <w:rFonts w:ascii="Calibri" w:hAnsi="Calibri"/>
                <w:color w:val="0B2545"/>
                <w:sz w:val="19"/>
              </w:rPr>
              <w:t>Learning progress and evidence</w:t>
            </w:r>
          </w:p>
        </w:tc>
        <w:tc>
          <w:tcPr>
            <w:tcW w:type="dxa" w:w="3400"/>
            <w:vAlign w:val="center"/>
            <w:tcMar>
              <w:top w:w="80" w:type="dxa"/>
              <w:start w:w="120" w:type="dxa"/>
              <w:bottom w:w="80" w:type="dxa"/>
              <w:end w:w="120" w:type="dxa"/>
            </w:tcMar>
          </w:tcPr>
          <w:p>
            <w:pPr>
              <w:spacing w:after="0"/>
              <w:jc w:val="left"/>
            </w:pPr>
            <w:r>
              <w:rPr>
                <w:rFonts w:ascii="Calibri" w:hAnsi="Calibri"/>
                <w:color w:val="0B2545"/>
                <w:sz w:val="19"/>
              </w:rPr>
              <w:t>Deliver learning, portfolio, assessment</w:t>
            </w:r>
          </w:p>
        </w:tc>
        <w:tc>
          <w:tcPr>
            <w:tcW w:type="dxa" w:w="3760"/>
            <w:vAlign w:val="center"/>
            <w:tcMar>
              <w:top w:w="80" w:type="dxa"/>
              <w:start w:w="120" w:type="dxa"/>
              <w:bottom w:w="80" w:type="dxa"/>
              <w:end w:w="120" w:type="dxa"/>
            </w:tcMar>
          </w:tcPr>
          <w:p>
            <w:pPr>
              <w:spacing w:after="0"/>
              <w:jc w:val="left"/>
            </w:pPr>
            <w:r>
              <w:rPr>
                <w:rFonts w:ascii="Calibri" w:hAnsi="Calibri"/>
                <w:color w:val="0B2545"/>
                <w:sz w:val="19"/>
              </w:rPr>
              <w:t>Account life; provide deletion/export policy</w:t>
            </w:r>
          </w:p>
        </w:tc>
      </w:tr>
      <w:tr>
        <w:tc>
          <w:tcPr>
            <w:tcW w:type="dxa" w:w="2200"/>
            <w:vAlign w:val="center"/>
            <w:tcMar>
              <w:top w:w="80" w:type="dxa"/>
              <w:start w:w="120" w:type="dxa"/>
              <w:bottom w:w="80" w:type="dxa"/>
              <w:end w:w="120" w:type="dxa"/>
            </w:tcMar>
          </w:tcPr>
          <w:p>
            <w:pPr>
              <w:spacing w:after="0"/>
              <w:jc w:val="left"/>
            </w:pPr>
            <w:r>
              <w:rPr>
                <w:rFonts w:ascii="Calibri" w:hAnsi="Calibri"/>
                <w:color w:val="0B2545"/>
                <w:sz w:val="19"/>
              </w:rPr>
              <w:t>Simulations and ledgers</w:t>
            </w:r>
          </w:p>
        </w:tc>
        <w:tc>
          <w:tcPr>
            <w:tcW w:type="dxa" w:w="3400"/>
            <w:vAlign w:val="center"/>
            <w:tcMar>
              <w:top w:w="80" w:type="dxa"/>
              <w:start w:w="120" w:type="dxa"/>
              <w:bottom w:w="80" w:type="dxa"/>
              <w:end w:w="120" w:type="dxa"/>
            </w:tcMar>
          </w:tcPr>
          <w:p>
            <w:pPr>
              <w:spacing w:after="0"/>
              <w:jc w:val="left"/>
            </w:pPr>
            <w:r>
              <w:rPr>
                <w:rFonts w:ascii="Calibri" w:hAnsi="Calibri"/>
                <w:color w:val="0B2545"/>
                <w:sz w:val="19"/>
              </w:rPr>
              <w:t>Provide saved scenario learning</w:t>
            </w:r>
          </w:p>
        </w:tc>
        <w:tc>
          <w:tcPr>
            <w:tcW w:type="dxa" w:w="3760"/>
            <w:vAlign w:val="center"/>
            <w:tcMar>
              <w:top w:w="80" w:type="dxa"/>
              <w:start w:w="120" w:type="dxa"/>
              <w:bottom w:w="80" w:type="dxa"/>
              <w:end w:w="120" w:type="dxa"/>
            </w:tcMar>
          </w:tcPr>
          <w:p>
            <w:pPr>
              <w:spacing w:after="0"/>
              <w:jc w:val="left"/>
            </w:pPr>
            <w:r>
              <w:rPr>
                <w:rFonts w:ascii="Calibri" w:hAnsi="Calibri"/>
                <w:color w:val="0B2545"/>
                <w:sz w:val="19"/>
              </w:rPr>
              <w:t>Account life or user-controlled deletion</w:t>
            </w:r>
          </w:p>
        </w:tc>
      </w:tr>
      <w:tr>
        <w:tc>
          <w:tcPr>
            <w:tcW w:type="dxa" w:w="2200"/>
            <w:vAlign w:val="center"/>
            <w:tcMar>
              <w:top w:w="80" w:type="dxa"/>
              <w:start w:w="120" w:type="dxa"/>
              <w:bottom w:w="80" w:type="dxa"/>
              <w:end w:w="120" w:type="dxa"/>
            </w:tcMar>
          </w:tcPr>
          <w:p>
            <w:pPr>
              <w:spacing w:after="0"/>
              <w:jc w:val="left"/>
            </w:pPr>
            <w:r>
              <w:rPr>
                <w:rFonts w:ascii="Calibri" w:hAnsi="Calibri"/>
                <w:color w:val="0B2545"/>
                <w:sz w:val="19"/>
              </w:rPr>
              <w:t>Mentor prompts and responses</w:t>
            </w:r>
          </w:p>
        </w:tc>
        <w:tc>
          <w:tcPr>
            <w:tcW w:type="dxa" w:w="3400"/>
            <w:vAlign w:val="center"/>
            <w:tcMar>
              <w:top w:w="80" w:type="dxa"/>
              <w:start w:w="120" w:type="dxa"/>
              <w:bottom w:w="80" w:type="dxa"/>
              <w:end w:w="120" w:type="dxa"/>
            </w:tcMar>
          </w:tcPr>
          <w:p>
            <w:pPr>
              <w:spacing w:after="0"/>
              <w:jc w:val="left"/>
            </w:pPr>
            <w:r>
              <w:rPr>
                <w:rFonts w:ascii="Calibri" w:hAnsi="Calibri"/>
                <w:color w:val="0B2545"/>
                <w:sz w:val="19"/>
              </w:rPr>
              <w:t>Answer questions, quality and safety</w:t>
            </w:r>
          </w:p>
        </w:tc>
        <w:tc>
          <w:tcPr>
            <w:tcW w:type="dxa" w:w="3760"/>
            <w:vAlign w:val="center"/>
            <w:tcMar>
              <w:top w:w="80" w:type="dxa"/>
              <w:start w:w="120" w:type="dxa"/>
              <w:bottom w:w="80" w:type="dxa"/>
              <w:end w:w="120" w:type="dxa"/>
            </w:tcMar>
          </w:tcPr>
          <w:p>
            <w:pPr>
              <w:spacing w:after="0"/>
              <w:jc w:val="left"/>
            </w:pPr>
            <w:r>
              <w:rPr>
                <w:rFonts w:ascii="Calibri" w:hAnsi="Calibri"/>
                <w:color w:val="0B2545"/>
                <w:sz w:val="19"/>
              </w:rPr>
              <w:t>Minimise; short default unless user saves</w:t>
            </w:r>
          </w:p>
        </w:tc>
      </w:tr>
      <w:tr>
        <w:tc>
          <w:tcPr>
            <w:tcW w:type="dxa" w:w="2200"/>
            <w:vAlign w:val="center"/>
            <w:tcMar>
              <w:top w:w="80" w:type="dxa"/>
              <w:start w:w="120" w:type="dxa"/>
              <w:bottom w:w="80" w:type="dxa"/>
              <w:end w:w="120" w:type="dxa"/>
            </w:tcMar>
          </w:tcPr>
          <w:p>
            <w:pPr>
              <w:spacing w:after="0"/>
              <w:jc w:val="left"/>
            </w:pPr>
            <w:r>
              <w:rPr>
                <w:rFonts w:ascii="Calibri" w:hAnsi="Calibri"/>
                <w:color w:val="0B2545"/>
                <w:sz w:val="19"/>
              </w:rPr>
              <w:t>Admin/audit decisions</w:t>
            </w:r>
          </w:p>
        </w:tc>
        <w:tc>
          <w:tcPr>
            <w:tcW w:type="dxa" w:w="3400"/>
            <w:vAlign w:val="center"/>
            <w:tcMar>
              <w:top w:w="80" w:type="dxa"/>
              <w:start w:w="120" w:type="dxa"/>
              <w:bottom w:w="80" w:type="dxa"/>
              <w:end w:w="120" w:type="dxa"/>
            </w:tcMar>
          </w:tcPr>
          <w:p>
            <w:pPr>
              <w:spacing w:after="0"/>
              <w:jc w:val="left"/>
            </w:pPr>
            <w:r>
              <w:rPr>
                <w:rFonts w:ascii="Calibri" w:hAnsi="Calibri"/>
                <w:color w:val="0B2545"/>
                <w:sz w:val="19"/>
              </w:rPr>
              <w:t>Security, governance, certification review</w:t>
            </w:r>
          </w:p>
        </w:tc>
        <w:tc>
          <w:tcPr>
            <w:tcW w:type="dxa" w:w="3760"/>
            <w:vAlign w:val="center"/>
            <w:tcMar>
              <w:top w:w="80" w:type="dxa"/>
              <w:start w:w="120" w:type="dxa"/>
              <w:bottom w:w="80" w:type="dxa"/>
              <w:end w:w="120" w:type="dxa"/>
            </w:tcMar>
          </w:tcPr>
          <w:p>
            <w:pPr>
              <w:spacing w:after="0"/>
              <w:jc w:val="left"/>
            </w:pPr>
            <w:r>
              <w:rPr>
                <w:rFonts w:ascii="Calibri" w:hAnsi="Calibri"/>
                <w:color w:val="0B2545"/>
                <w:sz w:val="19"/>
              </w:rPr>
              <w:t>Longer justified period with restricted access</w:t>
            </w:r>
          </w:p>
        </w:tc>
      </w:tr>
      <w:tr>
        <w:tc>
          <w:tcPr>
            <w:tcW w:type="dxa" w:w="2200"/>
            <w:vAlign w:val="center"/>
            <w:tcMar>
              <w:top w:w="80" w:type="dxa"/>
              <w:start w:w="120" w:type="dxa"/>
              <w:bottom w:w="80" w:type="dxa"/>
              <w:end w:w="120" w:type="dxa"/>
            </w:tcMar>
          </w:tcPr>
          <w:p>
            <w:pPr>
              <w:spacing w:after="0"/>
              <w:jc w:val="center"/>
            </w:pPr>
            <w:r>
              <w:rPr>
                <w:rFonts w:ascii="Calibri" w:hAnsi="Calibri"/>
                <w:color w:val="0B2545"/>
                <w:sz w:val="19"/>
              </w:rPr>
              <w:t>Technical logs</w:t>
            </w:r>
          </w:p>
        </w:tc>
        <w:tc>
          <w:tcPr>
            <w:tcW w:type="dxa" w:w="3400"/>
            <w:vAlign w:val="center"/>
            <w:tcMar>
              <w:top w:w="80" w:type="dxa"/>
              <w:start w:w="120" w:type="dxa"/>
              <w:bottom w:w="80" w:type="dxa"/>
              <w:end w:w="120" w:type="dxa"/>
            </w:tcMar>
          </w:tcPr>
          <w:p>
            <w:pPr>
              <w:spacing w:after="0"/>
              <w:jc w:val="left"/>
            </w:pPr>
            <w:r>
              <w:rPr>
                <w:rFonts w:ascii="Calibri" w:hAnsi="Calibri"/>
                <w:color w:val="0B2545"/>
                <w:sz w:val="19"/>
              </w:rPr>
              <w:t>Security, debugging, reliability</w:t>
            </w:r>
          </w:p>
        </w:tc>
        <w:tc>
          <w:tcPr>
            <w:tcW w:type="dxa" w:w="3760"/>
            <w:vAlign w:val="center"/>
            <w:tcMar>
              <w:top w:w="80" w:type="dxa"/>
              <w:start w:w="120" w:type="dxa"/>
              <w:bottom w:w="80" w:type="dxa"/>
              <w:end w:w="120" w:type="dxa"/>
            </w:tcMar>
          </w:tcPr>
          <w:p>
            <w:pPr>
              <w:spacing w:after="0"/>
              <w:jc w:val="left"/>
            </w:pPr>
            <w:r>
              <w:rPr>
                <w:rFonts w:ascii="Calibri" w:hAnsi="Calibri"/>
                <w:color w:val="0B2545"/>
                <w:sz w:val="19"/>
              </w:rPr>
              <w:t>Short risk-based period; redact personal content</w:t>
            </w:r>
          </w:p>
        </w:tc>
      </w:tr>
      <w:tr>
        <w:tc>
          <w:tcPr>
            <w:tcW w:type="dxa" w:w="2200"/>
            <w:vAlign w:val="center"/>
            <w:tcMar>
              <w:top w:w="80" w:type="dxa"/>
              <w:start w:w="120" w:type="dxa"/>
              <w:bottom w:w="80" w:type="dxa"/>
              <w:end w:w="120" w:type="dxa"/>
            </w:tcMar>
          </w:tcPr>
          <w:p>
            <w:pPr>
              <w:spacing w:after="0"/>
              <w:jc w:val="left"/>
            </w:pPr>
            <w:r>
              <w:rPr>
                <w:rFonts w:ascii="Calibri" w:hAnsi="Calibri"/>
                <w:color w:val="0B2545"/>
                <w:sz w:val="19"/>
              </w:rPr>
              <w:t>Billing and invoices</w:t>
            </w:r>
          </w:p>
        </w:tc>
        <w:tc>
          <w:tcPr>
            <w:tcW w:type="dxa" w:w="3400"/>
            <w:vAlign w:val="center"/>
            <w:tcMar>
              <w:top w:w="80" w:type="dxa"/>
              <w:start w:w="120" w:type="dxa"/>
              <w:bottom w:w="80" w:type="dxa"/>
              <w:end w:w="120" w:type="dxa"/>
            </w:tcMar>
          </w:tcPr>
          <w:p>
            <w:pPr>
              <w:spacing w:after="0"/>
              <w:jc w:val="left"/>
            </w:pPr>
            <w:r>
              <w:rPr>
                <w:rFonts w:ascii="Calibri" w:hAnsi="Calibri"/>
                <w:color w:val="0B2545"/>
                <w:sz w:val="19"/>
              </w:rPr>
              <w:t>Contract, payment, tax, accounting</w:t>
            </w:r>
          </w:p>
        </w:tc>
        <w:tc>
          <w:tcPr>
            <w:tcW w:type="dxa" w:w="3760"/>
            <w:vAlign w:val="center"/>
            <w:tcMar>
              <w:top w:w="80" w:type="dxa"/>
              <w:start w:w="120" w:type="dxa"/>
              <w:bottom w:w="80" w:type="dxa"/>
              <w:end w:w="120" w:type="dxa"/>
            </w:tcMar>
          </w:tcPr>
          <w:p>
            <w:pPr>
              <w:spacing w:after="0"/>
              <w:jc w:val="left"/>
            </w:pPr>
            <w:r>
              <w:rPr>
                <w:rFonts w:ascii="Calibri" w:hAnsi="Calibri"/>
                <w:color w:val="0B2545"/>
                <w:sz w:val="19"/>
              </w:rPr>
              <w:t>Statutory/accounting period confirmed by adviser</w:t>
            </w:r>
          </w:p>
        </w:tc>
      </w:tr>
      <w:tr>
        <w:tc>
          <w:tcPr>
            <w:tcW w:type="dxa" w:w="2200"/>
            <w:vAlign w:val="center"/>
            <w:tcMar>
              <w:top w:w="80" w:type="dxa"/>
              <w:start w:w="120" w:type="dxa"/>
              <w:bottom w:w="80" w:type="dxa"/>
              <w:end w:w="120" w:type="dxa"/>
            </w:tcMar>
          </w:tcPr>
          <w:p>
            <w:pPr>
              <w:spacing w:after="0"/>
              <w:jc w:val="left"/>
            </w:pPr>
            <w:r>
              <w:rPr>
                <w:rFonts w:ascii="Calibri" w:hAnsi="Calibri"/>
                <w:color w:val="0B2545"/>
                <w:sz w:val="19"/>
              </w:rPr>
              <w:t>Marketing preferences</w:t>
            </w:r>
          </w:p>
        </w:tc>
        <w:tc>
          <w:tcPr>
            <w:tcW w:type="dxa" w:w="3400"/>
            <w:vAlign w:val="center"/>
            <w:tcMar>
              <w:top w:w="80" w:type="dxa"/>
              <w:start w:w="120" w:type="dxa"/>
              <w:bottom w:w="80" w:type="dxa"/>
              <w:end w:w="120" w:type="dxa"/>
            </w:tcMar>
          </w:tcPr>
          <w:p>
            <w:pPr>
              <w:spacing w:after="0"/>
              <w:jc w:val="left"/>
            </w:pPr>
            <w:r>
              <w:rPr>
                <w:rFonts w:ascii="Calibri" w:hAnsi="Calibri"/>
                <w:color w:val="0B2545"/>
                <w:sz w:val="19"/>
              </w:rPr>
              <w:t>Consent and communications</w:t>
            </w:r>
          </w:p>
        </w:tc>
        <w:tc>
          <w:tcPr>
            <w:tcW w:type="dxa" w:w="3760"/>
            <w:vAlign w:val="center"/>
            <w:tcMar>
              <w:top w:w="80" w:type="dxa"/>
              <w:start w:w="120" w:type="dxa"/>
              <w:bottom w:w="80" w:type="dxa"/>
              <w:end w:w="120" w:type="dxa"/>
            </w:tcMar>
          </w:tcPr>
          <w:p>
            <w:pPr>
              <w:spacing w:after="0"/>
              <w:jc w:val="left"/>
            </w:pPr>
            <w:r>
              <w:rPr>
                <w:rFonts w:ascii="Calibri" w:hAnsi="Calibri"/>
                <w:color w:val="0B2545"/>
                <w:sz w:val="19"/>
              </w:rPr>
              <w:t>Until withdrawal plus suppression evidence</w:t>
            </w:r>
          </w:p>
        </w:tc>
      </w:tr>
    </w:tbl>
    <w:p>
      <w:pPr>
        <w:spacing w:after="20"/>
      </w:pPr>
    </w:p>
    <w:p>
      <w:pPr>
        <w:pStyle w:val="Heading2"/>
      </w:pPr>
      <w:r>
        <w:t>3.2 Privacy notice checklist</w:t>
      </w:r>
    </w:p>
    <w:p>
      <w:pPr>
        <w:pStyle w:val="ListBullet"/>
      </w:pPr>
      <w:r>
        <w:t>Controller's legal name, trading name, postal address, privacy email, and representative/DPO details if applicable.</w:t>
      </w:r>
    </w:p>
    <w:p>
      <w:pPr>
        <w:pStyle w:val="ListBullet"/>
      </w:pPr>
      <w:r>
        <w:t>Each category of personal data, source, purpose, and lawful basis; distinguish service delivery, security, analytics, marketing, AI, and legal obligations.</w:t>
      </w:r>
    </w:p>
    <w:p>
      <w:pPr>
        <w:pStyle w:val="ListBullet"/>
      </w:pPr>
      <w:r>
        <w:t>Recipients/processors: Vercel, database, email, AI, analytics, support, payment, accounting, and professional advisers as actually used.</w:t>
      </w:r>
    </w:p>
    <w:p>
      <w:pPr>
        <w:pStyle w:val="ListBullet"/>
      </w:pPr>
      <w:r>
        <w:t>International transfers, safeguards, and where information is processed.</w:t>
      </w:r>
    </w:p>
    <w:p>
      <w:pPr>
        <w:pStyle w:val="ListBullet"/>
      </w:pPr>
      <w:r>
        <w:t>Retention criteria, deletion, backup expiry, and what must be retained by law or for claims/security.</w:t>
      </w:r>
    </w:p>
    <w:p>
      <w:pPr>
        <w:pStyle w:val="ListBullet"/>
      </w:pPr>
      <w:r>
        <w:t>Rights and how to exercise access, correction, deletion, restriction, objection, portability, and consent withdrawal where applicable.</w:t>
      </w:r>
    </w:p>
    <w:p>
      <w:pPr>
        <w:pStyle w:val="ListBullet"/>
      </w:pPr>
      <w:r>
        <w:t>Right to complain to the ICO, whether data is required for the contract, and consequences of not supplying it.</w:t>
      </w:r>
    </w:p>
    <w:p>
      <w:pPr>
        <w:pStyle w:val="ListBullet"/>
      </w:pPr>
      <w:r>
        <w:t>Meaningful information about automated assessment or profiling if decisions significantly affect people; keep human review for certification decisions.</w:t>
      </w:r>
    </w:p>
    <w:p>
      <w:pPr>
        <w:pStyle w:val="ListBullet"/>
      </w:pPr>
      <w:r>
        <w:t>Plain-language AI explanation: what context the mentor uses, whether prompts are sent to an external provider, and user safety instructions.</w:t>
      </w:r>
    </w:p>
    <w:p>
      <w:pPr>
        <w:spacing w:before="60" w:after="160"/>
        <w:ind w:left="115" w:right="115"/>
        <w:shd w:fill="E8EEF5"/>
        <w:pBdr>
          <w:top w:val="single" w:sz="4" w:space="6" w:color="D7DBE2"/>
          <w:left w:val="single" w:sz="4" w:space="6" w:color="D7DBE2"/>
          <w:bottom w:val="single" w:sz="4" w:space="6" w:color="D7DBE2"/>
          <w:right w:val="single" w:sz="4" w:space="6" w:color="D7DBE2"/>
        </w:pBdr>
      </w:pPr>
      <w:r>
        <w:rPr>
          <w:rFonts w:ascii="Calibri" w:hAnsi="Calibri"/>
          <w:b/>
          <w:color w:val="2E74B5"/>
          <w:sz w:val="21"/>
        </w:rPr>
        <w:t xml:space="preserve">App reference: </w:t>
      </w:r>
      <w:r>
        <w:rPr>
          <w:rFonts w:ascii="Calibri" w:hAnsi="Calibri"/>
          <w:color w:val="0B2545"/>
          <w:sz w:val="21"/>
        </w:rPr>
        <w:t>Required public pages: footer -&gt; Privacy; just-in-time notice at Register, Mentor, Capstone, Certification export, and Checkout</w:t>
      </w:r>
    </w:p>
    <w:p>
      <w:pPr>
        <w:pStyle w:val="Heading2"/>
      </w:pPr>
      <w:r>
        <w:t>3.3 Cookies, analytics, and marketing</w:t>
      </w:r>
    </w:p>
    <w:p>
      <w:pPr>
        <w:pStyle w:val="ListNumber"/>
      </w:pPr>
      <w:r>
        <w:t>Audit cookies, local storage, pixels, analytics scripts, and device-access technologies before adding a banner.</w:t>
      </w:r>
    </w:p>
    <w:p>
      <w:pPr>
        <w:pStyle w:val="ListNumber"/>
      </w:pPr>
      <w:r>
        <w:t>Classify strictly necessary items separately from analytics, personalisation, advertising, and marketing.</w:t>
      </w:r>
    </w:p>
    <w:p>
      <w:pPr>
        <w:pStyle w:val="ListNumber"/>
      </w:pPr>
      <w:r>
        <w:t>Do not load non-essential technologies before valid consent. Provide equally clear Accept and Reject choices and granular settings.</w:t>
      </w:r>
    </w:p>
    <w:p>
      <w:pPr>
        <w:pStyle w:val="ListNumber"/>
      </w:pPr>
      <w:r>
        <w:t>Record consent, allow withdrawal at any time, and retest after adding integrations.</w:t>
      </w:r>
    </w:p>
    <w:p>
      <w:pPr>
        <w:pStyle w:val="ListNumber"/>
      </w:pPr>
      <w:r>
        <w:t>Keep service messages separate from marketing. Obtain and record the correct permission for promotional email and include an easy unsubscribe.</w:t>
      </w:r>
    </w:p>
    <w:p>
      <w:pPr>
        <w:spacing w:before="60" w:after="160"/>
        <w:ind w:left="115" w:right="115"/>
        <w:shd w:fill="FFF5F5"/>
        <w:pBdr>
          <w:top w:val="single" w:sz="4" w:space="6" w:color="D7DBE2"/>
          <w:left w:val="single" w:sz="4" w:space="6" w:color="D7DBE2"/>
          <w:bottom w:val="single" w:sz="4" w:space="6" w:color="D7DBE2"/>
          <w:right w:val="single" w:sz="4" w:space="6" w:color="D7DBE2"/>
        </w:pBdr>
      </w:pPr>
      <w:r>
        <w:rPr>
          <w:rFonts w:ascii="Calibri" w:hAnsi="Calibri"/>
          <w:b/>
          <w:color w:val="9B1C1C"/>
          <w:sz w:val="21"/>
        </w:rPr>
        <w:t xml:space="preserve">Important: </w:t>
      </w:r>
      <w:r>
        <w:rPr>
          <w:rFonts w:ascii="Calibri" w:hAnsi="Calibri"/>
          <w:color w:val="0B2545"/>
          <w:sz w:val="21"/>
        </w:rPr>
        <w:t>A cookie banner does not make tracking lawful by itself. The implementation must actually block non-essential technologies until the user chooses.</w:t>
      </w:r>
    </w:p>
    <w:p>
      <w:pPr>
        <w:pStyle w:val="Heading2"/>
      </w:pPr>
      <w:r>
        <w:t>3.4 Governance actions</w:t>
      </w:r>
    </w:p>
    <w:p>
      <w:pPr>
        <w:pStyle w:val="ListBullet"/>
      </w:pPr>
      <w:r>
        <w:t>Use the ICO fee self-assessment and pay/register if required.</w:t>
      </w:r>
    </w:p>
    <w:p>
      <w:pPr>
        <w:pStyle w:val="ListBullet"/>
      </w:pPr>
      <w:r>
        <w:t>Maintain records of processing, processor contracts, subprocessor list, retention schedule, and rights-request procedure.</w:t>
      </w:r>
    </w:p>
    <w:p>
      <w:pPr>
        <w:pStyle w:val="ListBullet"/>
      </w:pPr>
      <w:r>
        <w:t>Complete a data protection impact assessment before high-risk profiling, extensive monitoring, children's access, or sensitive AI use.</w:t>
      </w:r>
    </w:p>
    <w:p>
      <w:pPr>
        <w:pStyle w:val="ListBullet"/>
      </w:pPr>
      <w:r>
        <w:t>Keep a breach log. Assess every personal-data incident; report a notifiable breach to the ICO without undue delay and, where feasible, within 72 hours.</w:t>
      </w:r>
    </w:p>
    <w:p>
      <w:pPr>
        <w:pStyle w:val="ListBullet"/>
      </w:pPr>
      <w:r>
        <w:t>Decide the minimum age. For a simple first launch, restrict accounts and purchases to adults (18+) unless a specialist review supports younger users and parental/school arrangements.</w:t>
      </w:r>
    </w:p>
    <w:p>
      <w:r>
        <w:br w:type="page"/>
      </w:r>
    </w:p>
    <w:p>
      <w:pPr>
        <w:pStyle w:val="Heading1"/>
      </w:pPr>
      <w:r>
        <w:t>4. Legal document pack</w:t>
      </w:r>
    </w:p>
    <w:p>
      <w:pPr>
        <w:spacing w:after="200"/>
      </w:pPr>
      <w:r>
        <w:rPr>
          <w:rFonts w:ascii="Calibri" w:hAnsi="Calibri"/>
          <w:i/>
          <w:color w:val="1F4D78"/>
          <w:sz w:val="23"/>
        </w:rPr>
        <w:t>Publish these documents through the footer and show the relevant version at registration and checkout.</w:t>
      </w:r>
    </w:p>
    <w:tbl>
      <w:tblPr>
        <w:tblStyle w:val="TableGrid"/>
        <w:tblW w:type="dxa" w:w="9360"/>
        <w:tblLayout w:type="fixed"/>
        <w:tblLook w:firstColumn="1" w:firstRow="1" w:lastColumn="0" w:lastRow="0" w:noHBand="0" w:noVBand="1" w:val="04A0"/>
        <w:jc w:val="left"/>
        <w:tblInd w:w="120" w:type="dxa"/>
      </w:tblPr>
      <w:tblGrid>
        <w:gridCol w:w="2100"/>
        <w:gridCol w:w="5100"/>
        <w:gridCol w:w="2160"/>
      </w:tblGrid>
      <w:tr>
        <w:trPr>
          <w:tblHeader w:val="true"/>
        </w:trPr>
        <w:tc>
          <w:tcPr>
            <w:tcW w:type="dxa" w:w="2100"/>
            <w:vAlign w:val="center"/>
            <w:tcMar>
              <w:top w:w="80" w:type="dxa"/>
              <w:start w:w="120" w:type="dxa"/>
              <w:bottom w:w="80" w:type="dxa"/>
              <w:end w:w="120" w:type="dxa"/>
            </w:tcMar>
            <w:shd w:fill="E8EEF5"/>
          </w:tcPr>
          <w:p>
            <w:pPr>
              <w:jc w:val="center"/>
            </w:pPr>
            <w:r>
              <w:rPr>
                <w:rFonts w:ascii="Calibri" w:hAnsi="Calibri"/>
                <w:b/>
                <w:color w:val="0B2545"/>
                <w:sz w:val="19"/>
              </w:rPr>
              <w:t>Document</w:t>
            </w:r>
          </w:p>
        </w:tc>
        <w:tc>
          <w:tcPr>
            <w:tcW w:type="dxa" w:w="5100"/>
            <w:vAlign w:val="center"/>
            <w:tcMar>
              <w:top w:w="80" w:type="dxa"/>
              <w:start w:w="120" w:type="dxa"/>
              <w:bottom w:w="80" w:type="dxa"/>
              <w:end w:w="120" w:type="dxa"/>
            </w:tcMar>
            <w:shd w:fill="E8EEF5"/>
          </w:tcPr>
          <w:p>
            <w:pPr>
              <w:jc w:val="center"/>
            </w:pPr>
            <w:r>
              <w:rPr>
                <w:rFonts w:ascii="Calibri" w:hAnsi="Calibri"/>
                <w:b/>
                <w:color w:val="0B2545"/>
                <w:sz w:val="19"/>
              </w:rPr>
              <w:t>Must cover</w:t>
            </w:r>
          </w:p>
        </w:tc>
        <w:tc>
          <w:tcPr>
            <w:tcW w:type="dxa" w:w="2160"/>
            <w:vAlign w:val="center"/>
            <w:tcMar>
              <w:top w:w="80" w:type="dxa"/>
              <w:start w:w="120" w:type="dxa"/>
              <w:bottom w:w="80" w:type="dxa"/>
              <w:end w:w="120" w:type="dxa"/>
            </w:tcMar>
            <w:shd w:fill="E8EEF5"/>
          </w:tcPr>
          <w:p>
            <w:pPr>
              <w:jc w:val="center"/>
            </w:pPr>
            <w:r>
              <w:rPr>
                <w:rFonts w:ascii="Calibri" w:hAnsi="Calibri"/>
                <w:b/>
                <w:color w:val="0B2545"/>
                <w:sz w:val="19"/>
              </w:rPr>
              <w:t>Launch point</w:t>
            </w:r>
          </w:p>
        </w:tc>
      </w:tr>
      <w:tr>
        <w:tc>
          <w:tcPr>
            <w:tcW w:type="dxa" w:w="2100"/>
            <w:vAlign w:val="center"/>
            <w:tcMar>
              <w:top w:w="80" w:type="dxa"/>
              <w:start w:w="120" w:type="dxa"/>
              <w:bottom w:w="80" w:type="dxa"/>
              <w:end w:w="120" w:type="dxa"/>
            </w:tcMar>
          </w:tcPr>
          <w:p>
            <w:pPr>
              <w:spacing w:after="0"/>
              <w:jc w:val="center"/>
            </w:pPr>
            <w:r>
              <w:rPr>
                <w:rFonts w:ascii="Calibri" w:hAnsi="Calibri"/>
                <w:color w:val="0B2545"/>
                <w:sz w:val="19"/>
              </w:rPr>
              <w:t>Terms of Service</w:t>
            </w:r>
          </w:p>
        </w:tc>
        <w:tc>
          <w:tcPr>
            <w:tcW w:type="dxa" w:w="5100"/>
            <w:vAlign w:val="center"/>
            <w:tcMar>
              <w:top w:w="80" w:type="dxa"/>
              <w:start w:w="120" w:type="dxa"/>
              <w:bottom w:w="80" w:type="dxa"/>
              <w:end w:w="120" w:type="dxa"/>
            </w:tcMar>
          </w:tcPr>
          <w:p>
            <w:pPr>
              <w:spacing w:after="0"/>
              <w:jc w:val="left"/>
            </w:pPr>
            <w:r>
              <w:rPr>
                <w:rFonts w:ascii="Calibri" w:hAnsi="Calibri"/>
                <w:color w:val="0B2545"/>
                <w:sz w:val="19"/>
              </w:rPr>
              <w:t>Eligibility; account; licence; acceptable use; fees; cancellation; IP; disclaimers; suspension; liability; law; changes</w:t>
            </w:r>
          </w:p>
        </w:tc>
        <w:tc>
          <w:tcPr>
            <w:tcW w:type="dxa" w:w="2160"/>
            <w:vAlign w:val="center"/>
            <w:tcMar>
              <w:top w:w="80" w:type="dxa"/>
              <w:start w:w="120" w:type="dxa"/>
              <w:bottom w:w="80" w:type="dxa"/>
              <w:end w:w="120" w:type="dxa"/>
            </w:tcMar>
          </w:tcPr>
          <w:p>
            <w:pPr>
              <w:spacing w:after="0"/>
              <w:jc w:val="left"/>
            </w:pPr>
            <w:r>
              <w:rPr>
                <w:rFonts w:ascii="Calibri" w:hAnsi="Calibri"/>
                <w:color w:val="0B2545"/>
                <w:sz w:val="19"/>
              </w:rPr>
              <w:t>Before public registration</w:t>
            </w:r>
          </w:p>
        </w:tc>
      </w:tr>
      <w:tr>
        <w:tc>
          <w:tcPr>
            <w:tcW w:type="dxa" w:w="2100"/>
            <w:vAlign w:val="center"/>
            <w:tcMar>
              <w:top w:w="80" w:type="dxa"/>
              <w:start w:w="120" w:type="dxa"/>
              <w:bottom w:w="80" w:type="dxa"/>
              <w:end w:w="120" w:type="dxa"/>
            </w:tcMar>
          </w:tcPr>
          <w:p>
            <w:pPr>
              <w:spacing w:after="0"/>
              <w:jc w:val="center"/>
            </w:pPr>
            <w:r>
              <w:rPr>
                <w:rFonts w:ascii="Calibri" w:hAnsi="Calibri"/>
                <w:color w:val="0B2545"/>
                <w:sz w:val="19"/>
              </w:rPr>
              <w:t>Privacy Notice</w:t>
            </w:r>
          </w:p>
        </w:tc>
        <w:tc>
          <w:tcPr>
            <w:tcW w:type="dxa" w:w="5100"/>
            <w:vAlign w:val="center"/>
            <w:tcMar>
              <w:top w:w="80" w:type="dxa"/>
              <w:start w:w="120" w:type="dxa"/>
              <w:bottom w:w="80" w:type="dxa"/>
              <w:end w:w="120" w:type="dxa"/>
            </w:tcMar>
          </w:tcPr>
          <w:p>
            <w:pPr>
              <w:spacing w:after="0"/>
              <w:jc w:val="left"/>
            </w:pPr>
            <w:r>
              <w:rPr>
                <w:rFonts w:ascii="Calibri" w:hAnsi="Calibri"/>
                <w:color w:val="0B2545"/>
                <w:sz w:val="19"/>
              </w:rPr>
              <w:t>Real data map, purposes, lawful bases, processors, transfers, retention, rights, ICO</w:t>
            </w:r>
          </w:p>
        </w:tc>
        <w:tc>
          <w:tcPr>
            <w:tcW w:type="dxa" w:w="2160"/>
            <w:vAlign w:val="center"/>
            <w:tcMar>
              <w:top w:w="80" w:type="dxa"/>
              <w:start w:w="120" w:type="dxa"/>
              <w:bottom w:w="80" w:type="dxa"/>
              <w:end w:w="120" w:type="dxa"/>
            </w:tcMar>
          </w:tcPr>
          <w:p>
            <w:pPr>
              <w:spacing w:after="0"/>
              <w:jc w:val="left"/>
            </w:pPr>
            <w:r>
              <w:rPr>
                <w:rFonts w:ascii="Calibri" w:hAnsi="Calibri"/>
                <w:color w:val="0B2545"/>
                <w:sz w:val="19"/>
              </w:rPr>
              <w:t>Before collecting any public data</w:t>
            </w:r>
          </w:p>
        </w:tc>
      </w:tr>
      <w:tr>
        <w:tc>
          <w:tcPr>
            <w:tcW w:type="dxa" w:w="2100"/>
            <w:vAlign w:val="center"/>
            <w:tcMar>
              <w:top w:w="80" w:type="dxa"/>
              <w:start w:w="120" w:type="dxa"/>
              <w:bottom w:w="80" w:type="dxa"/>
              <w:end w:w="120" w:type="dxa"/>
            </w:tcMar>
          </w:tcPr>
          <w:p>
            <w:pPr>
              <w:spacing w:after="0"/>
              <w:jc w:val="left"/>
            </w:pPr>
            <w:r>
              <w:rPr>
                <w:rFonts w:ascii="Calibri" w:hAnsi="Calibri"/>
                <w:color w:val="0B2545"/>
                <w:sz w:val="19"/>
              </w:rPr>
              <w:t>Cookie Notice / settings</w:t>
            </w:r>
          </w:p>
        </w:tc>
        <w:tc>
          <w:tcPr>
            <w:tcW w:type="dxa" w:w="5100"/>
            <w:vAlign w:val="center"/>
            <w:tcMar>
              <w:top w:w="80" w:type="dxa"/>
              <w:start w:w="120" w:type="dxa"/>
              <w:bottom w:w="80" w:type="dxa"/>
              <w:end w:w="120" w:type="dxa"/>
            </w:tcMar>
          </w:tcPr>
          <w:p>
            <w:pPr>
              <w:spacing w:after="0"/>
              <w:jc w:val="left"/>
            </w:pPr>
            <w:r>
              <w:rPr>
                <w:rFonts w:ascii="Calibri" w:hAnsi="Calibri"/>
                <w:color w:val="0B2545"/>
                <w:sz w:val="19"/>
              </w:rPr>
              <w:t>Technologies, providers, purposes, duration, consent, withdrawal</w:t>
            </w:r>
          </w:p>
        </w:tc>
        <w:tc>
          <w:tcPr>
            <w:tcW w:type="dxa" w:w="2160"/>
            <w:vAlign w:val="center"/>
            <w:tcMar>
              <w:top w:w="80" w:type="dxa"/>
              <w:start w:w="120" w:type="dxa"/>
              <w:bottom w:w="80" w:type="dxa"/>
              <w:end w:w="120" w:type="dxa"/>
            </w:tcMar>
          </w:tcPr>
          <w:p>
            <w:pPr>
              <w:spacing w:after="0"/>
              <w:jc w:val="left"/>
            </w:pPr>
            <w:r>
              <w:rPr>
                <w:rFonts w:ascii="Calibri" w:hAnsi="Calibri"/>
                <w:color w:val="0B2545"/>
                <w:sz w:val="19"/>
              </w:rPr>
              <w:t>Before non-essential tracking</w:t>
            </w:r>
          </w:p>
        </w:tc>
      </w:tr>
      <w:tr>
        <w:tc>
          <w:tcPr>
            <w:tcW w:type="dxa" w:w="2100"/>
            <w:vAlign w:val="center"/>
            <w:tcMar>
              <w:top w:w="80" w:type="dxa"/>
              <w:start w:w="120" w:type="dxa"/>
              <w:bottom w:w="80" w:type="dxa"/>
              <w:end w:w="120" w:type="dxa"/>
            </w:tcMar>
          </w:tcPr>
          <w:p>
            <w:pPr>
              <w:spacing w:after="0"/>
              <w:jc w:val="left"/>
            </w:pPr>
            <w:r>
              <w:rPr>
                <w:rFonts w:ascii="Calibri" w:hAnsi="Calibri"/>
                <w:color w:val="0B2545"/>
                <w:sz w:val="19"/>
              </w:rPr>
              <w:t>Acceptable Use Policy</w:t>
            </w:r>
          </w:p>
        </w:tc>
        <w:tc>
          <w:tcPr>
            <w:tcW w:type="dxa" w:w="5100"/>
            <w:vAlign w:val="center"/>
            <w:tcMar>
              <w:top w:w="80" w:type="dxa"/>
              <w:start w:w="120" w:type="dxa"/>
              <w:bottom w:w="80" w:type="dxa"/>
              <w:end w:w="120" w:type="dxa"/>
            </w:tcMar>
          </w:tcPr>
          <w:p>
            <w:pPr>
              <w:spacing w:after="0"/>
              <w:jc w:val="left"/>
            </w:pPr>
            <w:r>
              <w:rPr>
                <w:rFonts w:ascii="Calibri" w:hAnsi="Calibri"/>
                <w:color w:val="0B2545"/>
                <w:sz w:val="19"/>
              </w:rPr>
              <w:t>No abuse, unlawful content, attacks, scraping, credential sharing, harassment, IP infringement</w:t>
            </w:r>
          </w:p>
        </w:tc>
        <w:tc>
          <w:tcPr>
            <w:tcW w:type="dxa" w:w="2160"/>
            <w:vAlign w:val="center"/>
            <w:tcMar>
              <w:top w:w="80" w:type="dxa"/>
              <w:start w:w="120" w:type="dxa"/>
              <w:bottom w:w="80" w:type="dxa"/>
              <w:end w:w="120" w:type="dxa"/>
            </w:tcMar>
          </w:tcPr>
          <w:p>
            <w:pPr>
              <w:spacing w:after="0"/>
              <w:jc w:val="left"/>
            </w:pPr>
            <w:r>
              <w:rPr>
                <w:rFonts w:ascii="Calibri" w:hAnsi="Calibri"/>
                <w:color w:val="0B2545"/>
                <w:sz w:val="19"/>
              </w:rPr>
              <w:t>Before open registration</w:t>
            </w:r>
          </w:p>
        </w:tc>
      </w:tr>
      <w:tr>
        <w:tc>
          <w:tcPr>
            <w:tcW w:type="dxa" w:w="2100"/>
            <w:vAlign w:val="center"/>
            <w:tcMar>
              <w:top w:w="80" w:type="dxa"/>
              <w:start w:w="120" w:type="dxa"/>
              <w:bottom w:w="80" w:type="dxa"/>
              <w:end w:w="120" w:type="dxa"/>
            </w:tcMar>
          </w:tcPr>
          <w:p>
            <w:pPr>
              <w:spacing w:after="0"/>
              <w:jc w:val="left"/>
            </w:pPr>
            <w:r>
              <w:rPr>
                <w:rFonts w:ascii="Calibri" w:hAnsi="Calibri"/>
                <w:color w:val="0B2545"/>
                <w:sz w:val="19"/>
              </w:rPr>
              <w:t>Subscription terms</w:t>
            </w:r>
          </w:p>
        </w:tc>
        <w:tc>
          <w:tcPr>
            <w:tcW w:type="dxa" w:w="5100"/>
            <w:vAlign w:val="center"/>
            <w:tcMar>
              <w:top w:w="80" w:type="dxa"/>
              <w:start w:w="120" w:type="dxa"/>
              <w:bottom w:w="80" w:type="dxa"/>
              <w:end w:w="120" w:type="dxa"/>
            </w:tcMar>
          </w:tcPr>
          <w:p>
            <w:pPr>
              <w:spacing w:after="0"/>
              <w:jc w:val="left"/>
            </w:pPr>
            <w:r>
              <w:rPr>
                <w:rFonts w:ascii="Calibri" w:hAnsi="Calibri"/>
                <w:color w:val="0B2545"/>
                <w:sz w:val="19"/>
              </w:rPr>
              <w:t>Price/tax, billing period, trial, renewal, reminders, cancellation, refunds, access after cancellation</w:t>
            </w:r>
          </w:p>
        </w:tc>
        <w:tc>
          <w:tcPr>
            <w:tcW w:type="dxa" w:w="2160"/>
            <w:vAlign w:val="center"/>
            <w:tcMar>
              <w:top w:w="80" w:type="dxa"/>
              <w:start w:w="120" w:type="dxa"/>
              <w:bottom w:w="80" w:type="dxa"/>
              <w:end w:w="120" w:type="dxa"/>
            </w:tcMar>
          </w:tcPr>
          <w:p>
            <w:pPr>
              <w:spacing w:after="0"/>
              <w:jc w:val="left"/>
            </w:pPr>
            <w:r>
              <w:rPr>
                <w:rFonts w:ascii="Calibri" w:hAnsi="Calibri"/>
                <w:color w:val="0B2545"/>
                <w:sz w:val="19"/>
              </w:rPr>
              <w:t>Before taking payment</w:t>
            </w:r>
          </w:p>
        </w:tc>
      </w:tr>
      <w:tr>
        <w:tc>
          <w:tcPr>
            <w:tcW w:type="dxa" w:w="2100"/>
            <w:vAlign w:val="center"/>
            <w:tcMar>
              <w:top w:w="80" w:type="dxa"/>
              <w:start w:w="120" w:type="dxa"/>
              <w:bottom w:w="80" w:type="dxa"/>
              <w:end w:w="120" w:type="dxa"/>
            </w:tcMar>
          </w:tcPr>
          <w:p>
            <w:pPr>
              <w:spacing w:after="0"/>
              <w:jc w:val="left"/>
            </w:pPr>
            <w:r>
              <w:rPr>
                <w:rFonts w:ascii="Calibri" w:hAnsi="Calibri"/>
                <w:color w:val="0B2545"/>
                <w:sz w:val="19"/>
              </w:rPr>
              <w:t>Refund and cancellation policy</w:t>
            </w:r>
          </w:p>
        </w:tc>
        <w:tc>
          <w:tcPr>
            <w:tcW w:type="dxa" w:w="5100"/>
            <w:vAlign w:val="center"/>
            <w:tcMar>
              <w:top w:w="80" w:type="dxa"/>
              <w:start w:w="120" w:type="dxa"/>
              <w:bottom w:w="80" w:type="dxa"/>
              <w:end w:w="120" w:type="dxa"/>
            </w:tcMar>
          </w:tcPr>
          <w:p>
            <w:pPr>
              <w:spacing w:after="0"/>
              <w:jc w:val="left"/>
            </w:pPr>
            <w:r>
              <w:rPr>
                <w:rFonts w:ascii="Calibri" w:hAnsi="Calibri"/>
                <w:color w:val="0B2545"/>
                <w:sz w:val="19"/>
              </w:rPr>
              <w:t>Cooling-off and digital service rules, refund method/timing, support route</w:t>
            </w:r>
          </w:p>
        </w:tc>
        <w:tc>
          <w:tcPr>
            <w:tcW w:type="dxa" w:w="2160"/>
            <w:vAlign w:val="center"/>
            <w:tcMar>
              <w:top w:w="80" w:type="dxa"/>
              <w:start w:w="120" w:type="dxa"/>
              <w:bottom w:w="80" w:type="dxa"/>
              <w:end w:w="120" w:type="dxa"/>
            </w:tcMar>
          </w:tcPr>
          <w:p>
            <w:pPr>
              <w:spacing w:after="0"/>
              <w:jc w:val="left"/>
            </w:pPr>
            <w:r>
              <w:rPr>
                <w:rFonts w:ascii="Calibri" w:hAnsi="Calibri"/>
                <w:color w:val="0B2545"/>
                <w:sz w:val="19"/>
              </w:rPr>
              <w:t>Before taking payment</w:t>
            </w:r>
          </w:p>
        </w:tc>
      </w:tr>
      <w:tr>
        <w:tc>
          <w:tcPr>
            <w:tcW w:type="dxa" w:w="2100"/>
            <w:vAlign w:val="center"/>
            <w:tcMar>
              <w:top w:w="80" w:type="dxa"/>
              <w:start w:w="120" w:type="dxa"/>
              <w:bottom w:w="80" w:type="dxa"/>
              <w:end w:w="120" w:type="dxa"/>
            </w:tcMar>
          </w:tcPr>
          <w:p>
            <w:pPr>
              <w:spacing w:after="0"/>
              <w:jc w:val="left"/>
            </w:pPr>
            <w:r>
              <w:rPr>
                <w:rFonts w:ascii="Calibri" w:hAnsi="Calibri"/>
                <w:color w:val="0B2545"/>
                <w:sz w:val="19"/>
              </w:rPr>
              <w:t>AI and education disclaimer</w:t>
            </w:r>
          </w:p>
        </w:tc>
        <w:tc>
          <w:tcPr>
            <w:tcW w:type="dxa" w:w="5100"/>
            <w:vAlign w:val="center"/>
            <w:tcMar>
              <w:top w:w="80" w:type="dxa"/>
              <w:start w:w="120" w:type="dxa"/>
              <w:bottom w:w="80" w:type="dxa"/>
              <w:end w:w="120" w:type="dxa"/>
            </w:tcMar>
          </w:tcPr>
          <w:p>
            <w:pPr>
              <w:spacing w:after="0"/>
              <w:jc w:val="left"/>
            </w:pPr>
            <w:r>
              <w:rPr>
                <w:rFonts w:ascii="Calibri" w:hAnsi="Calibri"/>
                <w:color w:val="0B2545"/>
                <w:sz w:val="19"/>
              </w:rPr>
              <w:t>Mentor limitations; verify answers; no professional advice; simulation; no guaranteed outcome</w:t>
            </w:r>
          </w:p>
        </w:tc>
        <w:tc>
          <w:tcPr>
            <w:tcW w:type="dxa" w:w="2160"/>
            <w:vAlign w:val="center"/>
            <w:tcMar>
              <w:top w:w="80" w:type="dxa"/>
              <w:start w:w="120" w:type="dxa"/>
              <w:bottom w:w="80" w:type="dxa"/>
              <w:end w:w="120" w:type="dxa"/>
            </w:tcMar>
          </w:tcPr>
          <w:p>
            <w:pPr>
              <w:spacing w:after="0"/>
              <w:jc w:val="left"/>
            </w:pPr>
            <w:r>
              <w:rPr>
                <w:rFonts w:ascii="Calibri" w:hAnsi="Calibri"/>
                <w:color w:val="0B2545"/>
                <w:sz w:val="19"/>
              </w:rPr>
              <w:t>Before mentor and in Terms</w:t>
            </w:r>
          </w:p>
        </w:tc>
      </w:tr>
      <w:tr>
        <w:tc>
          <w:tcPr>
            <w:tcW w:type="dxa" w:w="2100"/>
            <w:vAlign w:val="center"/>
            <w:tcMar>
              <w:top w:w="80" w:type="dxa"/>
              <w:start w:w="120" w:type="dxa"/>
              <w:bottom w:w="80" w:type="dxa"/>
              <w:end w:w="120" w:type="dxa"/>
            </w:tcMar>
          </w:tcPr>
          <w:p>
            <w:pPr>
              <w:spacing w:after="0"/>
              <w:jc w:val="left"/>
            </w:pPr>
            <w:r>
              <w:rPr>
                <w:rFonts w:ascii="Calibri" w:hAnsi="Calibri"/>
                <w:color w:val="0B2545"/>
                <w:sz w:val="19"/>
              </w:rPr>
              <w:t>Trademark / affiliation notice</w:t>
            </w:r>
          </w:p>
        </w:tc>
        <w:tc>
          <w:tcPr>
            <w:tcW w:type="dxa" w:w="5100"/>
            <w:vAlign w:val="center"/>
            <w:tcMar>
              <w:top w:w="80" w:type="dxa"/>
              <w:start w:w="120" w:type="dxa"/>
              <w:bottom w:w="80" w:type="dxa"/>
              <w:end w:w="120" w:type="dxa"/>
            </w:tcMar>
          </w:tcPr>
          <w:p>
            <w:pPr>
              <w:spacing w:after="0"/>
              <w:jc w:val="left"/>
            </w:pPr>
            <w:r>
              <w:rPr>
                <w:rFonts w:ascii="Calibri" w:hAnsi="Calibri"/>
                <w:color w:val="0B2545"/>
                <w:sz w:val="19"/>
              </w:rPr>
              <w:t>Independent product; ownership of SAP marks; no endorsement or official credential</w:t>
            </w:r>
          </w:p>
        </w:tc>
        <w:tc>
          <w:tcPr>
            <w:tcW w:type="dxa" w:w="2160"/>
            <w:vAlign w:val="center"/>
            <w:tcMar>
              <w:top w:w="80" w:type="dxa"/>
              <w:start w:w="120" w:type="dxa"/>
              <w:bottom w:w="80" w:type="dxa"/>
              <w:end w:w="120" w:type="dxa"/>
            </w:tcMar>
          </w:tcPr>
          <w:p>
            <w:pPr>
              <w:spacing w:after="0"/>
              <w:jc w:val="left"/>
            </w:pPr>
            <w:r>
              <w:rPr>
                <w:rFonts w:ascii="Calibri" w:hAnsi="Calibri"/>
                <w:color w:val="0B2545"/>
                <w:sz w:val="19"/>
              </w:rPr>
              <w:t>Footer, About, Terms, exports</w:t>
            </w:r>
          </w:p>
        </w:tc>
      </w:tr>
      <w:tr>
        <w:tc>
          <w:tcPr>
            <w:tcW w:type="dxa" w:w="2100"/>
            <w:vAlign w:val="center"/>
            <w:tcMar>
              <w:top w:w="80" w:type="dxa"/>
              <w:start w:w="120" w:type="dxa"/>
              <w:bottom w:w="80" w:type="dxa"/>
              <w:end w:w="120" w:type="dxa"/>
            </w:tcMar>
          </w:tcPr>
          <w:p>
            <w:pPr>
              <w:spacing w:after="0"/>
              <w:jc w:val="left"/>
            </w:pPr>
            <w:r>
              <w:rPr>
                <w:rFonts w:ascii="Calibri" w:hAnsi="Calibri"/>
                <w:color w:val="0B2545"/>
                <w:sz w:val="19"/>
              </w:rPr>
              <w:t>Accessibility statement</w:t>
            </w:r>
          </w:p>
        </w:tc>
        <w:tc>
          <w:tcPr>
            <w:tcW w:type="dxa" w:w="5100"/>
            <w:vAlign w:val="center"/>
            <w:tcMar>
              <w:top w:w="80" w:type="dxa"/>
              <w:start w:w="120" w:type="dxa"/>
              <w:bottom w:w="80" w:type="dxa"/>
              <w:end w:w="120" w:type="dxa"/>
            </w:tcMar>
          </w:tcPr>
          <w:p>
            <w:pPr>
              <w:spacing w:after="0"/>
              <w:jc w:val="left"/>
            </w:pPr>
            <w:r>
              <w:rPr>
                <w:rFonts w:ascii="Calibri" w:hAnsi="Calibri"/>
                <w:color w:val="0B2545"/>
                <w:sz w:val="19"/>
              </w:rPr>
              <w:t>Target standard, known issues, contact, response, improvements</w:t>
            </w:r>
          </w:p>
        </w:tc>
        <w:tc>
          <w:tcPr>
            <w:tcW w:type="dxa" w:w="2160"/>
            <w:vAlign w:val="center"/>
            <w:tcMar>
              <w:top w:w="80" w:type="dxa"/>
              <w:start w:w="120" w:type="dxa"/>
              <w:bottom w:w="80" w:type="dxa"/>
              <w:end w:w="120" w:type="dxa"/>
            </w:tcMar>
          </w:tcPr>
          <w:p>
            <w:pPr>
              <w:spacing w:after="0"/>
              <w:jc w:val="left"/>
            </w:pPr>
            <w:r>
              <w:rPr>
                <w:rFonts w:ascii="Calibri" w:hAnsi="Calibri"/>
                <w:color w:val="0B2545"/>
                <w:sz w:val="19"/>
              </w:rPr>
              <w:t>Public beta</w:t>
            </w:r>
          </w:p>
        </w:tc>
      </w:tr>
      <w:tr>
        <w:tc>
          <w:tcPr>
            <w:tcW w:type="dxa" w:w="2100"/>
            <w:vAlign w:val="center"/>
            <w:tcMar>
              <w:top w:w="80" w:type="dxa"/>
              <w:start w:w="120" w:type="dxa"/>
              <w:bottom w:w="80" w:type="dxa"/>
              <w:end w:w="120" w:type="dxa"/>
            </w:tcMar>
          </w:tcPr>
          <w:p>
            <w:pPr>
              <w:spacing w:after="0"/>
              <w:jc w:val="center"/>
            </w:pPr>
            <w:r>
              <w:rPr>
                <w:rFonts w:ascii="Calibri" w:hAnsi="Calibri"/>
                <w:color w:val="0B2545"/>
                <w:sz w:val="19"/>
              </w:rPr>
              <w:t>Subprocessor list</w:t>
            </w:r>
          </w:p>
        </w:tc>
        <w:tc>
          <w:tcPr>
            <w:tcW w:type="dxa" w:w="5100"/>
            <w:vAlign w:val="center"/>
            <w:tcMar>
              <w:top w:w="80" w:type="dxa"/>
              <w:start w:w="120" w:type="dxa"/>
              <w:bottom w:w="80" w:type="dxa"/>
              <w:end w:w="120" w:type="dxa"/>
            </w:tcMar>
          </w:tcPr>
          <w:p>
            <w:pPr>
              <w:spacing w:after="0"/>
              <w:jc w:val="left"/>
            </w:pPr>
            <w:r>
              <w:rPr>
                <w:rFonts w:ascii="Calibri" w:hAnsi="Calibri"/>
                <w:color w:val="0B2545"/>
                <w:sz w:val="19"/>
              </w:rPr>
              <w:t>Provider, purpose, location/transfer, change notice</w:t>
            </w:r>
          </w:p>
        </w:tc>
        <w:tc>
          <w:tcPr>
            <w:tcW w:type="dxa" w:w="2160"/>
            <w:vAlign w:val="center"/>
            <w:tcMar>
              <w:top w:w="80" w:type="dxa"/>
              <w:start w:w="120" w:type="dxa"/>
              <w:bottom w:w="80" w:type="dxa"/>
              <w:end w:w="120" w:type="dxa"/>
            </w:tcMar>
          </w:tcPr>
          <w:p>
            <w:pPr>
              <w:spacing w:after="0"/>
              <w:jc w:val="left"/>
            </w:pPr>
            <w:r>
              <w:rPr>
                <w:rFonts w:ascii="Calibri" w:hAnsi="Calibri"/>
                <w:color w:val="0B2545"/>
                <w:sz w:val="19"/>
              </w:rPr>
              <w:t>Enterprise readiness</w:t>
            </w:r>
          </w:p>
        </w:tc>
      </w:tr>
      <w:tr>
        <w:tc>
          <w:tcPr>
            <w:tcW w:type="dxa" w:w="2100"/>
            <w:vAlign w:val="center"/>
            <w:tcMar>
              <w:top w:w="80" w:type="dxa"/>
              <w:start w:w="120" w:type="dxa"/>
              <w:bottom w:w="80" w:type="dxa"/>
              <w:end w:w="120" w:type="dxa"/>
            </w:tcMar>
          </w:tcPr>
          <w:p>
            <w:pPr>
              <w:spacing w:after="0"/>
              <w:jc w:val="left"/>
            </w:pPr>
            <w:r>
              <w:rPr>
                <w:rFonts w:ascii="Calibri" w:hAnsi="Calibri"/>
                <w:color w:val="0B2545"/>
                <w:sz w:val="19"/>
              </w:rPr>
              <w:t>Business information</w:t>
            </w:r>
          </w:p>
        </w:tc>
        <w:tc>
          <w:tcPr>
            <w:tcW w:type="dxa" w:w="5100"/>
            <w:vAlign w:val="center"/>
            <w:tcMar>
              <w:top w:w="80" w:type="dxa"/>
              <w:start w:w="120" w:type="dxa"/>
              <w:bottom w:w="80" w:type="dxa"/>
              <w:end w:w="120" w:type="dxa"/>
            </w:tcMar>
          </w:tcPr>
          <w:p>
            <w:pPr>
              <w:spacing w:after="0"/>
              <w:jc w:val="left"/>
            </w:pPr>
            <w:r>
              <w:rPr>
                <w:rFonts w:ascii="Calibri" w:hAnsi="Calibri"/>
                <w:color w:val="0B2545"/>
                <w:sz w:val="19"/>
              </w:rPr>
              <w:t>Legal/trading name, geographic address, email, company/VAT number if applicable</w:t>
            </w:r>
          </w:p>
        </w:tc>
        <w:tc>
          <w:tcPr>
            <w:tcW w:type="dxa" w:w="2160"/>
            <w:vAlign w:val="center"/>
            <w:tcMar>
              <w:top w:w="80" w:type="dxa"/>
              <w:start w:w="120" w:type="dxa"/>
              <w:bottom w:w="80" w:type="dxa"/>
              <w:end w:w="120" w:type="dxa"/>
            </w:tcMar>
          </w:tcPr>
          <w:p>
            <w:pPr>
              <w:spacing w:after="0"/>
              <w:jc w:val="left"/>
            </w:pPr>
            <w:r>
              <w:rPr>
                <w:rFonts w:ascii="Calibri" w:hAnsi="Calibri"/>
                <w:color w:val="0B2545"/>
                <w:sz w:val="19"/>
              </w:rPr>
              <w:t>Footer, checkout, receipts</w:t>
            </w:r>
          </w:p>
        </w:tc>
      </w:tr>
    </w:tbl>
    <w:p>
      <w:pPr>
        <w:spacing w:after="20"/>
      </w:pPr>
    </w:p>
    <w:p>
      <w:pPr>
        <w:pStyle w:val="Heading2"/>
      </w:pPr>
      <w:r>
        <w:t>Terms clause inventory</w:t>
      </w:r>
    </w:p>
    <w:p>
      <w:pPr>
        <w:pStyle w:val="ListBullet"/>
      </w:pPr>
      <w:r>
        <w:t>Contract identity and acceptance: who operates SAP World, which version applies, and when a contract begins.</w:t>
      </w:r>
    </w:p>
    <w:p>
      <w:pPr>
        <w:pStyle w:val="ListBullet"/>
      </w:pPr>
      <w:r>
        <w:t>Eligibility and account rules: adult launch, accurate details, unique account, security, no sharing, notice of compromise.</w:t>
      </w:r>
    </w:p>
    <w:p>
      <w:pPr>
        <w:pStyle w:val="ListBullet"/>
      </w:pPr>
      <w:r>
        <w:t>Service licence: personal, limited, non-exclusive, non-transferable learning use; enterprise terms for teams.</w:t>
      </w:r>
    </w:p>
    <w:p>
      <w:pPr>
        <w:pStyle w:val="ListBullet"/>
      </w:pPr>
      <w:r>
        <w:t>User content: learner retains ownership; grants only the licence needed to host, process, assess, and display it; prohibits confidential or unlawful uploads.</w:t>
      </w:r>
    </w:p>
    <w:p>
      <w:pPr>
        <w:pStyle w:val="ListBullet"/>
      </w:pPr>
      <w:r>
        <w:t>Acceptable use and enforcement: investigation, proportionate suspension, appeal/contact, and urgent security action.</w:t>
      </w:r>
    </w:p>
    <w:p>
      <w:pPr>
        <w:pStyle w:val="ListBullet"/>
      </w:pPr>
      <w:r>
        <w:t>Paid terms: complete price including tax, billing cycle, trial conversion, renewal, cancellation, refunds, failed payments, and access end date.</w:t>
      </w:r>
    </w:p>
    <w:p>
      <w:pPr>
        <w:pStyle w:val="ListBullet"/>
      </w:pPr>
      <w:r>
        <w:t>Learning/AI disclaimers: simulation, no official SAP credential, no professional advice, verify outputs, no employment outcome.</w:t>
      </w:r>
    </w:p>
    <w:p>
      <w:pPr>
        <w:pStyle w:val="ListBullet"/>
      </w:pPr>
      <w:r>
        <w:t>Intellectual property and feedback: ownership of platform/content, third-party marks, limited feedback licence, infringement contact.</w:t>
      </w:r>
    </w:p>
    <w:p>
      <w:pPr>
        <w:pStyle w:val="ListBullet"/>
      </w:pPr>
      <w:r>
        <w:t>Availability and changes: maintenance, feature changes, beta status, data export/closure, and material change notice.</w:t>
      </w:r>
    </w:p>
    <w:p>
      <w:pPr>
        <w:pStyle w:val="ListBullet"/>
      </w:pPr>
      <w:r>
        <w:t>Liability and consumer rights: preserve rights that cannot be excluded; solicitor drafts any cap/exclusion and governing-law wording.</w:t>
      </w:r>
    </w:p>
    <w:p>
      <w:pPr>
        <w:spacing w:before="60" w:after="160"/>
        <w:ind w:left="115" w:right="115"/>
        <w:shd w:fill="E8EEF5"/>
        <w:pBdr>
          <w:top w:val="single" w:sz="4" w:space="6" w:color="D7DBE2"/>
          <w:left w:val="single" w:sz="4" w:space="6" w:color="D7DBE2"/>
          <w:bottom w:val="single" w:sz="4" w:space="6" w:color="D7DBE2"/>
          <w:right w:val="single" w:sz="4" w:space="6" w:color="D7DBE2"/>
        </w:pBdr>
      </w:pPr>
      <w:r>
        <w:rPr>
          <w:rFonts w:ascii="Calibri" w:hAnsi="Calibri"/>
          <w:b/>
          <w:color w:val="1F4D78"/>
          <w:sz w:val="21"/>
        </w:rPr>
        <w:t xml:space="preserve">Legal review brief: </w:t>
      </w:r>
      <w:r>
        <w:rPr>
          <w:rFonts w:ascii="Calibri" w:hAnsi="Calibri"/>
          <w:color w:val="0B2545"/>
          <w:sz w:val="21"/>
        </w:rPr>
        <w:t>Give the solicitor the live app, this handbook, data inventory, processor list, planned countries, age limit, pricing, refund design, AI provider design, and every marketing claim. Ask for consumer, privacy, IP/trademark, and subscription review together.</w:t>
      </w:r>
    </w:p>
    <w:p>
      <w:r>
        <w:br w:type="page"/>
      </w:r>
    </w:p>
    <w:p>
      <w:pPr>
        <w:pStyle w:val="Heading1"/>
      </w:pPr>
      <w:r>
        <w:t>5. Consumer protection and subscription design</w:t>
      </w:r>
    </w:p>
    <w:p>
      <w:pPr>
        <w:spacing w:after="200"/>
      </w:pPr>
      <w:r>
        <w:rPr>
          <w:rFonts w:ascii="Calibri" w:hAnsi="Calibri"/>
          <w:i/>
          <w:color w:val="1F4D78"/>
          <w:sz w:val="23"/>
        </w:rPr>
        <w:t>Make joining, paying, renewing, and leaving equally understandable.</w:t>
      </w:r>
    </w:p>
    <w:p>
      <w:pPr>
        <w:pStyle w:val="ListBullet"/>
      </w:pPr>
      <w:r>
        <w:t>Show the full price, tax treatment, billing period, minimum term, renewal, trial conversion, cancellation method, and service description before the customer pays.</w:t>
      </w:r>
    </w:p>
    <w:p>
      <w:pPr>
        <w:pStyle w:val="ListBullet"/>
      </w:pPr>
      <w:r>
        <w:t>Use a clear final button such as 'Pay GBP X per month' rather than ambiguous wording.</w:t>
      </w:r>
    </w:p>
    <w:p>
      <w:pPr>
        <w:pStyle w:val="ListBullet"/>
      </w:pPr>
      <w:r>
        <w:t>Send a durable confirmation email containing the contract, price, plan, date, cancellation/refund information, and support details.</w:t>
      </w:r>
    </w:p>
    <w:p>
      <w:pPr>
        <w:pStyle w:val="ListBullet"/>
      </w:pPr>
      <w:r>
        <w:t>Provide a simple self-service cancellation route inside the account; do not force a phone call or hide it behind multiple screens.</w:t>
      </w:r>
    </w:p>
    <w:p>
      <w:pPr>
        <w:pStyle w:val="ListBullet"/>
      </w:pPr>
      <w:r>
        <w:t>Send renewal/reminder communications required by applicable subscription rules and good practice; keep evidence of delivery.</w:t>
      </w:r>
    </w:p>
    <w:p>
      <w:pPr>
        <w:pStyle w:val="ListBullet"/>
      </w:pPr>
      <w:r>
        <w:t>Avoid scarcity pressure, preselected add-ons, obstructive cancellation, disguised adverts, or interface choices that manipulate consent.</w:t>
      </w:r>
    </w:p>
    <w:p>
      <w:pPr>
        <w:pStyle w:val="ListBullet"/>
      </w:pPr>
      <w:r>
        <w:t>Map the 14-day cancellation rules and any service/digital-content exception with a UK consumer solicitor before launch.</w:t>
      </w:r>
    </w:p>
    <w:p>
      <w:pPr>
        <w:pStyle w:val="ListBullet"/>
      </w:pPr>
      <w:r>
        <w:t>Publish and operate a complaint process with response targets and escalation.</w:t>
      </w:r>
    </w:p>
    <w:p>
      <w:pPr>
        <w:spacing w:before="60" w:after="160"/>
        <w:ind w:left="115" w:right="115"/>
        <w:shd w:fill="E8EEF5"/>
        <w:pBdr>
          <w:top w:val="single" w:sz="4" w:space="6" w:color="D7DBE2"/>
          <w:left w:val="single" w:sz="4" w:space="6" w:color="D7DBE2"/>
          <w:bottom w:val="single" w:sz="4" w:space="6" w:color="D7DBE2"/>
          <w:right w:val="single" w:sz="4" w:space="6" w:color="D7DBE2"/>
        </w:pBdr>
      </w:pPr>
      <w:r>
        <w:rPr>
          <w:rFonts w:ascii="Calibri" w:hAnsi="Calibri"/>
          <w:b/>
          <w:color w:val="2E74B5"/>
          <w:sz w:val="21"/>
        </w:rPr>
        <w:t xml:space="preserve">App reference: </w:t>
      </w:r>
      <w:r>
        <w:rPr>
          <w:rFonts w:ascii="Calibri" w:hAnsi="Calibri"/>
          <w:color w:val="0B2545"/>
          <w:sz w:val="21"/>
        </w:rPr>
        <w:t>Future paid flow: Pricing -&gt; Plan summary -&gt; Checkout -&gt; Confirmation -&gt; Account -&gt; Billing / Cancel</w:t>
      </w:r>
    </w:p>
    <w:p>
      <w:r>
        <w:br w:type="page"/>
      </w:r>
    </w:p>
    <w:p>
      <w:pPr>
        <w:pStyle w:val="Heading1"/>
      </w:pPr>
      <w:r>
        <w:t>6. Payments, tax, and financial controls</w:t>
      </w:r>
    </w:p>
    <w:p>
      <w:pPr>
        <w:spacing w:after="200"/>
      </w:pPr>
      <w:r>
        <w:rPr>
          <w:rFonts w:ascii="Calibri" w:hAnsi="Calibri"/>
          <w:i/>
          <w:color w:val="1F4D78"/>
          <w:sz w:val="23"/>
        </w:rPr>
        <w:t>Use a hosted payment surface so SAP World does not collect or store card numbers.</w:t>
      </w:r>
    </w:p>
    <w:p>
      <w:pPr>
        <w:pStyle w:val="Heading2"/>
      </w:pPr>
      <w:r>
        <w:t>Recommended payment architecture</w:t>
      </w:r>
    </w:p>
    <w:p>
      <w:pPr>
        <w:pStyle w:val="ListNumber"/>
      </w:pPr>
      <w:r>
        <w:t>Create products and recurring prices in Stripe using test mode first.</w:t>
      </w:r>
    </w:p>
    <w:p>
      <w:pPr>
        <w:pStyle w:val="ListNumber"/>
      </w:pPr>
      <w:r>
        <w:t>Redirect the user to Stripe-hosted Checkout for payment.</w:t>
      </w:r>
    </w:p>
    <w:p>
      <w:pPr>
        <w:pStyle w:val="ListNumber"/>
      </w:pPr>
      <w:r>
        <w:t>Receive signed webhooks server-side and process them idempotently; never grant paid access from the browser redirect alone.</w:t>
      </w:r>
    </w:p>
    <w:p>
      <w:pPr>
        <w:pStyle w:val="ListNumber"/>
      </w:pPr>
      <w:r>
        <w:t>Store only provider/customer/subscription identifiers, entitlement, plan, status, and invoice references needed by the app.</w:t>
      </w:r>
    </w:p>
    <w:p>
      <w:pPr>
        <w:pStyle w:val="ListNumber"/>
      </w:pPr>
      <w:r>
        <w:t>Offer the Stripe-hosted customer portal for invoices, payment method updates, plan changes, and cancellation.</w:t>
      </w:r>
    </w:p>
    <w:p>
      <w:pPr>
        <w:pStyle w:val="ListNumber"/>
      </w:pPr>
      <w:r>
        <w:t>Reconcile webhook events, subscription state, refunds, chargebacks, and accounting records daily during launch.</w:t>
      </w:r>
    </w:p>
    <w:p>
      <w:pPr>
        <w:spacing w:before="60" w:after="160"/>
        <w:ind w:left="115" w:right="115"/>
        <w:shd w:fill="FFF5F5"/>
        <w:pBdr>
          <w:top w:val="single" w:sz="4" w:space="6" w:color="D7DBE2"/>
          <w:left w:val="single" w:sz="4" w:space="6" w:color="D7DBE2"/>
          <w:bottom w:val="single" w:sz="4" w:space="6" w:color="D7DBE2"/>
          <w:right w:val="single" w:sz="4" w:space="6" w:color="D7DBE2"/>
        </w:pBdr>
      </w:pPr>
      <w:r>
        <w:rPr>
          <w:rFonts w:ascii="Calibri" w:hAnsi="Calibri"/>
          <w:b/>
          <w:color w:val="9B1C1C"/>
          <w:sz w:val="21"/>
        </w:rPr>
        <w:t xml:space="preserve">Important: </w:t>
      </w:r>
      <w:r>
        <w:rPr>
          <w:rFonts w:ascii="Calibri" w:hAnsi="Calibri"/>
          <w:color w:val="0B2545"/>
          <w:sz w:val="21"/>
        </w:rPr>
        <w:t>Never store card number, CVC, or full payment credentials in SAP World logs or database. Complete the payment provider's PCI compliance steps and maintain your own secure integration.</w:t>
      </w:r>
    </w:p>
    <w:p>
      <w:pPr>
        <w:pStyle w:val="Heading2"/>
      </w:pPr>
      <w:r>
        <w:t>Tax and business setup</w:t>
      </w:r>
    </w:p>
    <w:p>
      <w:pPr>
        <w:pStyle w:val="ListBullet"/>
      </w:pPr>
      <w:r>
        <w:t>Choose and register the operating entity; obtain a dedicated business bank account and bookkeeping process.</w:t>
      </w:r>
    </w:p>
    <w:p>
      <w:pPr>
        <w:pStyle w:val="ListBullet"/>
      </w:pPr>
      <w:r>
        <w:t>Ask an accountant when UK VAT registration is required or beneficial and how online education/digital-service supplies are classified.</w:t>
      </w:r>
    </w:p>
    <w:p>
      <w:pPr>
        <w:pStyle w:val="ListBullet"/>
      </w:pPr>
      <w:r>
        <w:t>If selling to consumers outside the UK, check place-of-supply, VAT/GST/sales-tax, invoice, consumer, privacy, and representative requirements before enabling that country.</w:t>
      </w:r>
    </w:p>
    <w:p>
      <w:pPr>
        <w:pStyle w:val="ListBullet"/>
      </w:pPr>
      <w:r>
        <w:t>Display tax-inclusive consumer prices where required and issue compliant receipts/invoices.</w:t>
      </w:r>
    </w:p>
    <w:p>
      <w:pPr>
        <w:pStyle w:val="ListBullet"/>
      </w:pPr>
      <w:r>
        <w:t>Maintain revenue, refund, fee, tax, payout, and deferred-revenue records; separate product analytics from accounting evidence.</w:t>
      </w:r>
    </w:p>
    <w:p>
      <w:r>
        <w:br w:type="page"/>
      </w:r>
    </w:p>
    <w:p>
      <w:pPr>
        <w:pStyle w:val="Heading1"/>
      </w:pPr>
      <w:r>
        <w:t>7. Copyright, trademarks, and content provenance</w:t>
      </w:r>
    </w:p>
    <w:p>
      <w:pPr>
        <w:spacing w:after="200"/>
      </w:pPr>
      <w:r>
        <w:rPr>
          <w:rFonts w:ascii="Calibri" w:hAnsi="Calibri"/>
          <w:i/>
          <w:color w:val="1F4D78"/>
          <w:sz w:val="23"/>
        </w:rPr>
        <w:t>The product's learning value should come from original explanation and simulation, not copied SAP courseware or customer material.</w:t>
      </w:r>
    </w:p>
    <w:p>
      <w:pPr>
        <w:pStyle w:val="Heading2"/>
      </w:pPr>
      <w:r>
        <w:t>Before public launch</w:t>
      </w:r>
    </w:p>
    <w:p>
      <w:pPr>
        <w:pStyle w:val="ListBullet"/>
      </w:pPr>
      <w:r>
        <w:t>Run a UK trade-mark search for the product name and related classes; obtain legal advice on the risk of 'SAP World' before investing in marketing.</w:t>
      </w:r>
    </w:p>
    <w:p>
      <w:pPr>
        <w:pStyle w:val="ListBullet"/>
      </w:pPr>
      <w:r>
        <w:t>Create a register for every text, image, icon, font, dataset, code library, and reference: owner, licence, source, attribution, and commercial-use status.</w:t>
      </w:r>
    </w:p>
    <w:p>
      <w:pPr>
        <w:pStyle w:val="ListBullet"/>
      </w:pPr>
      <w:r>
        <w:t>Remove SAP logos, screenshots, manuals, course questions, or proprietary content unless a licence clearly permits the exact commercial use.</w:t>
      </w:r>
    </w:p>
    <w:p>
      <w:pPr>
        <w:pStyle w:val="ListBullet"/>
      </w:pPr>
      <w:r>
        <w:t>Use SAP product names only as needed to describe compatibility or subject matter, following current SAP trademark guidance and legal advice.</w:t>
      </w:r>
    </w:p>
    <w:p>
      <w:pPr>
        <w:pStyle w:val="ListBullet"/>
      </w:pPr>
      <w:r>
        <w:t>Add a notice such as: 'SAP and SAP S/4HANA are trademarks or registered trademarks of SAP SE or its affiliates. SAP World is an independent learning simulation and is not affiliated with, sponsored, endorsed, or certified by SAP SE.' Have counsel approve final wording.</w:t>
      </w:r>
    </w:p>
    <w:p>
      <w:pPr>
        <w:pStyle w:val="ListBullet"/>
      </w:pPr>
      <w:r>
        <w:t>Require contributors to warrant originality/permissions and assign or license rights to the operating entity.</w:t>
      </w:r>
    </w:p>
    <w:p>
      <w:pPr>
        <w:pStyle w:val="ListBullet"/>
      </w:pPr>
      <w:r>
        <w:t>Publish an IP complaint/takedown contact and keep a documented review and response process.</w:t>
      </w:r>
    </w:p>
    <w:p>
      <w:pPr>
        <w:pStyle w:val="ListBullet"/>
      </w:pPr>
      <w:r>
        <w:t>Register your own distinctive brand mark if clearance supports it; Companies House and domain registration do not themselves create trade-mark rights.</w:t>
      </w:r>
    </w:p>
    <w:p>
      <w:pPr>
        <w:spacing w:before="60" w:after="160"/>
        <w:ind w:left="115" w:right="115"/>
        <w:shd w:fill="E8EEF5"/>
        <w:pBdr>
          <w:top w:val="single" w:sz="4" w:space="6" w:color="D7DBE2"/>
          <w:left w:val="single" w:sz="4" w:space="6" w:color="D7DBE2"/>
          <w:bottom w:val="single" w:sz="4" w:space="6" w:color="D7DBE2"/>
          <w:right w:val="single" w:sz="4" w:space="6" w:color="D7DBE2"/>
        </w:pBdr>
      </w:pPr>
      <w:r>
        <w:rPr>
          <w:rFonts w:ascii="Calibri" w:hAnsi="Calibri"/>
          <w:b/>
          <w:color w:val="2E74B5"/>
          <w:sz w:val="21"/>
        </w:rPr>
        <w:t xml:space="preserve">App reference: </w:t>
      </w:r>
      <w:r>
        <w:rPr>
          <w:rFonts w:ascii="Calibri" w:hAnsi="Calibri"/>
          <w:color w:val="0B2545"/>
          <w:sz w:val="21"/>
        </w:rPr>
        <w:t>Review all learner pages, footer, About, Terms, exports, blueprints, tutor content, and marketing assets</w:t>
      </w:r>
    </w:p>
    <w:p>
      <w:r>
        <w:br w:type="page"/>
      </w:r>
    </w:p>
    <w:p>
      <w:pPr>
        <w:pStyle w:val="Heading1"/>
      </w:pPr>
      <w:r>
        <w:t>8. Frontend safety, accessibility, and trust</w:t>
      </w:r>
    </w:p>
    <w:p>
      <w:pPr>
        <w:spacing w:after="200"/>
      </w:pPr>
      <w:r>
        <w:rPr>
          <w:rFonts w:ascii="Calibri" w:hAnsi="Calibri"/>
          <w:i/>
          <w:color w:val="1F4D78"/>
          <w:sz w:val="23"/>
        </w:rPr>
        <w:t>A safe public interface prevents mistakes, explains consequences, and works for people using keyboards, screen readers, zoom, and mobile devices.</w:t>
      </w:r>
    </w:p>
    <w:tbl>
      <w:tblPr>
        <w:tblStyle w:val="TableGrid"/>
        <w:tblW w:type="dxa" w:w="9360"/>
        <w:tblLayout w:type="fixed"/>
        <w:tblLook w:firstColumn="1" w:firstRow="1" w:lastColumn="0" w:lastRow="0" w:noHBand="0" w:noVBand="1" w:val="04A0"/>
        <w:jc w:val="left"/>
        <w:tblInd w:w="120" w:type="dxa"/>
      </w:tblPr>
      <w:tblGrid>
        <w:gridCol w:w="2000"/>
        <w:gridCol w:w="7360"/>
      </w:tblGrid>
      <w:tr>
        <w:trPr>
          <w:tblHeader w:val="true"/>
        </w:trPr>
        <w:tc>
          <w:tcPr>
            <w:tcW w:type="dxa" w:w="2000"/>
            <w:vAlign w:val="center"/>
            <w:tcMar>
              <w:top w:w="80" w:type="dxa"/>
              <w:start w:w="120" w:type="dxa"/>
              <w:bottom w:w="80" w:type="dxa"/>
              <w:end w:w="120" w:type="dxa"/>
            </w:tcMar>
            <w:shd w:fill="E8EEF5"/>
          </w:tcPr>
          <w:p>
            <w:pPr>
              <w:jc w:val="center"/>
            </w:pPr>
            <w:r>
              <w:rPr>
                <w:rFonts w:ascii="Calibri" w:hAnsi="Calibri"/>
                <w:b/>
                <w:color w:val="0B2545"/>
                <w:sz w:val="19"/>
              </w:rPr>
              <w:t>Area</w:t>
            </w:r>
          </w:p>
        </w:tc>
        <w:tc>
          <w:tcPr>
            <w:tcW w:type="dxa" w:w="7360"/>
            <w:vAlign w:val="center"/>
            <w:tcMar>
              <w:top w:w="80" w:type="dxa"/>
              <w:start w:w="120" w:type="dxa"/>
              <w:bottom w:w="80" w:type="dxa"/>
              <w:end w:w="120" w:type="dxa"/>
            </w:tcMar>
            <w:shd w:fill="E8EEF5"/>
          </w:tcPr>
          <w:p>
            <w:pPr>
              <w:jc w:val="left"/>
            </w:pPr>
            <w:r>
              <w:rPr>
                <w:rFonts w:ascii="Calibri" w:hAnsi="Calibri"/>
                <w:b/>
                <w:color w:val="0B2545"/>
                <w:sz w:val="19"/>
              </w:rPr>
              <w:t>Public-launch standard</w:t>
            </w:r>
          </w:p>
        </w:tc>
      </w:tr>
      <w:tr>
        <w:tc>
          <w:tcPr>
            <w:tcW w:type="dxa" w:w="2000"/>
            <w:vAlign w:val="center"/>
            <w:tcMar>
              <w:top w:w="80" w:type="dxa"/>
              <w:start w:w="120" w:type="dxa"/>
              <w:bottom w:w="80" w:type="dxa"/>
              <w:end w:w="120" w:type="dxa"/>
            </w:tcMar>
          </w:tcPr>
          <w:p>
            <w:pPr>
              <w:spacing w:after="0"/>
              <w:jc w:val="center"/>
            </w:pPr>
            <w:r>
              <w:rPr>
                <w:rFonts w:ascii="Calibri" w:hAnsi="Calibri"/>
                <w:color w:val="0B2545"/>
                <w:sz w:val="19"/>
              </w:rPr>
              <w:t>Accessibility</w:t>
            </w:r>
          </w:p>
        </w:tc>
        <w:tc>
          <w:tcPr>
            <w:tcW w:type="dxa" w:w="7360"/>
            <w:vAlign w:val="center"/>
            <w:tcMar>
              <w:top w:w="80" w:type="dxa"/>
              <w:start w:w="120" w:type="dxa"/>
              <w:bottom w:w="80" w:type="dxa"/>
              <w:end w:w="120" w:type="dxa"/>
            </w:tcMar>
          </w:tcPr>
          <w:p>
            <w:pPr>
              <w:spacing w:after="0"/>
              <w:jc w:val="left"/>
            </w:pPr>
            <w:r>
              <w:rPr>
                <w:rFonts w:ascii="Calibri" w:hAnsi="Calibri"/>
                <w:color w:val="0B2545"/>
                <w:sz w:val="19"/>
              </w:rPr>
              <w:t>Target WCAG 2.2 AA; keyboard flow, visible focus, names/labels, contrast, zoom/reflow, error identification, reduced motion, and screen-reader testing.</w:t>
            </w:r>
          </w:p>
        </w:tc>
      </w:tr>
      <w:tr>
        <w:tc>
          <w:tcPr>
            <w:tcW w:type="dxa" w:w="2000"/>
            <w:vAlign w:val="center"/>
            <w:tcMar>
              <w:top w:w="80" w:type="dxa"/>
              <w:start w:w="120" w:type="dxa"/>
              <w:bottom w:w="80" w:type="dxa"/>
              <w:end w:w="120" w:type="dxa"/>
            </w:tcMar>
          </w:tcPr>
          <w:p>
            <w:pPr>
              <w:spacing w:after="0"/>
              <w:jc w:val="center"/>
            </w:pPr>
            <w:r>
              <w:rPr>
                <w:rFonts w:ascii="Calibri" w:hAnsi="Calibri"/>
                <w:color w:val="0B2545"/>
                <w:sz w:val="19"/>
              </w:rPr>
              <w:t>Forms</w:t>
            </w:r>
          </w:p>
        </w:tc>
        <w:tc>
          <w:tcPr>
            <w:tcW w:type="dxa" w:w="7360"/>
            <w:vAlign w:val="center"/>
            <w:tcMar>
              <w:top w:w="80" w:type="dxa"/>
              <w:start w:w="120" w:type="dxa"/>
              <w:bottom w:w="80" w:type="dxa"/>
              <w:end w:w="120" w:type="dxa"/>
            </w:tcMar>
          </w:tcPr>
          <w:p>
            <w:pPr>
              <w:spacing w:after="0"/>
              <w:jc w:val="left"/>
            </w:pPr>
            <w:r>
              <w:rPr>
                <w:rFonts w:ascii="Calibri" w:hAnsi="Calibri"/>
                <w:color w:val="0B2545"/>
                <w:sz w:val="19"/>
              </w:rPr>
              <w:t>Persistent labels, clear required fields, safe autocomplete, inline errors, preserved input, confirmation before destructive actions.</w:t>
            </w:r>
          </w:p>
        </w:tc>
      </w:tr>
      <w:tr>
        <w:tc>
          <w:tcPr>
            <w:tcW w:type="dxa" w:w="2000"/>
            <w:vAlign w:val="center"/>
            <w:tcMar>
              <w:top w:w="80" w:type="dxa"/>
              <w:start w:w="120" w:type="dxa"/>
              <w:bottom w:w="80" w:type="dxa"/>
              <w:end w:w="120" w:type="dxa"/>
            </w:tcMar>
          </w:tcPr>
          <w:p>
            <w:pPr>
              <w:spacing w:after="0"/>
              <w:jc w:val="center"/>
            </w:pPr>
            <w:r>
              <w:rPr>
                <w:rFonts w:ascii="Calibri" w:hAnsi="Calibri"/>
                <w:color w:val="0B2545"/>
                <w:sz w:val="19"/>
              </w:rPr>
              <w:t>Consent</w:t>
            </w:r>
          </w:p>
        </w:tc>
        <w:tc>
          <w:tcPr>
            <w:tcW w:type="dxa" w:w="7360"/>
            <w:vAlign w:val="center"/>
            <w:tcMar>
              <w:top w:w="80" w:type="dxa"/>
              <w:start w:w="120" w:type="dxa"/>
              <w:bottom w:w="80" w:type="dxa"/>
              <w:end w:w="120" w:type="dxa"/>
            </w:tcMar>
          </w:tcPr>
          <w:p>
            <w:pPr>
              <w:spacing w:after="0"/>
              <w:jc w:val="left"/>
            </w:pPr>
            <w:r>
              <w:rPr>
                <w:rFonts w:ascii="Calibri" w:hAnsi="Calibri"/>
                <w:color w:val="0B2545"/>
                <w:sz w:val="19"/>
              </w:rPr>
              <w:t>No preselected optional tracking/marketing; Accept and Reject are equally clear; settings remain accessible.</w:t>
            </w:r>
          </w:p>
        </w:tc>
      </w:tr>
      <w:tr>
        <w:tc>
          <w:tcPr>
            <w:tcW w:type="dxa" w:w="2000"/>
            <w:vAlign w:val="center"/>
            <w:tcMar>
              <w:top w:w="80" w:type="dxa"/>
              <w:start w:w="120" w:type="dxa"/>
              <w:bottom w:w="80" w:type="dxa"/>
              <w:end w:w="120" w:type="dxa"/>
            </w:tcMar>
          </w:tcPr>
          <w:p>
            <w:pPr>
              <w:spacing w:after="0"/>
              <w:jc w:val="center"/>
            </w:pPr>
            <w:r>
              <w:rPr>
                <w:rFonts w:ascii="Calibri" w:hAnsi="Calibri"/>
                <w:color w:val="0B2545"/>
                <w:sz w:val="19"/>
              </w:rPr>
              <w:t>Account safety</w:t>
            </w:r>
          </w:p>
        </w:tc>
        <w:tc>
          <w:tcPr>
            <w:tcW w:type="dxa" w:w="7360"/>
            <w:vAlign w:val="center"/>
            <w:tcMar>
              <w:top w:w="80" w:type="dxa"/>
              <w:start w:w="120" w:type="dxa"/>
              <w:bottom w:w="80" w:type="dxa"/>
              <w:end w:w="120" w:type="dxa"/>
            </w:tcMar>
          </w:tcPr>
          <w:p>
            <w:pPr>
              <w:spacing w:after="0"/>
              <w:jc w:val="left"/>
            </w:pPr>
            <w:r>
              <w:rPr>
                <w:rFonts w:ascii="Calibri" w:hAnsi="Calibri"/>
                <w:color w:val="0B2545"/>
                <w:sz w:val="19"/>
              </w:rPr>
              <w:t>Show active role and account menu; require reauthentication for sensitive changes; warn before data deletion.</w:t>
            </w:r>
          </w:p>
        </w:tc>
      </w:tr>
      <w:tr>
        <w:tc>
          <w:tcPr>
            <w:tcW w:type="dxa" w:w="2000"/>
            <w:vAlign w:val="center"/>
            <w:tcMar>
              <w:top w:w="80" w:type="dxa"/>
              <w:start w:w="120" w:type="dxa"/>
              <w:bottom w:w="80" w:type="dxa"/>
              <w:end w:w="120" w:type="dxa"/>
            </w:tcMar>
          </w:tcPr>
          <w:p>
            <w:pPr>
              <w:spacing w:after="0"/>
              <w:jc w:val="center"/>
            </w:pPr>
            <w:r>
              <w:rPr>
                <w:rFonts w:ascii="Calibri" w:hAnsi="Calibri"/>
                <w:color w:val="0B2545"/>
                <w:sz w:val="19"/>
              </w:rPr>
              <w:t>User content</w:t>
            </w:r>
          </w:p>
        </w:tc>
        <w:tc>
          <w:tcPr>
            <w:tcW w:type="dxa" w:w="7360"/>
            <w:vAlign w:val="center"/>
            <w:tcMar>
              <w:top w:w="80" w:type="dxa"/>
              <w:start w:w="120" w:type="dxa"/>
              <w:bottom w:w="80" w:type="dxa"/>
              <w:end w:w="120" w:type="dxa"/>
            </w:tcMar>
          </w:tcPr>
          <w:p>
            <w:pPr>
              <w:spacing w:after="0"/>
              <w:jc w:val="left"/>
            </w:pPr>
            <w:r>
              <w:rPr>
                <w:rFonts w:ascii="Calibri" w:hAnsi="Calibri"/>
                <w:color w:val="0B2545"/>
                <w:sz w:val="19"/>
              </w:rPr>
              <w:t>Plain text by default; length limits; escaping; privacy reminders near mentor, evidence, capstone, and support inputs.</w:t>
            </w:r>
          </w:p>
        </w:tc>
      </w:tr>
      <w:tr>
        <w:tc>
          <w:tcPr>
            <w:tcW w:type="dxa" w:w="2000"/>
            <w:vAlign w:val="center"/>
            <w:tcMar>
              <w:top w:w="80" w:type="dxa"/>
              <w:start w:w="120" w:type="dxa"/>
              <w:bottom w:w="80" w:type="dxa"/>
              <w:end w:w="120" w:type="dxa"/>
            </w:tcMar>
          </w:tcPr>
          <w:p>
            <w:pPr>
              <w:spacing w:after="0"/>
              <w:jc w:val="center"/>
            </w:pPr>
            <w:r>
              <w:rPr>
                <w:rFonts w:ascii="Calibri" w:hAnsi="Calibri"/>
                <w:color w:val="0B2545"/>
                <w:sz w:val="19"/>
              </w:rPr>
              <w:t>Errors</w:t>
            </w:r>
          </w:p>
        </w:tc>
        <w:tc>
          <w:tcPr>
            <w:tcW w:type="dxa" w:w="7360"/>
            <w:vAlign w:val="center"/>
            <w:tcMar>
              <w:top w:w="80" w:type="dxa"/>
              <w:start w:w="120" w:type="dxa"/>
              <w:bottom w:w="80" w:type="dxa"/>
              <w:end w:w="120" w:type="dxa"/>
            </w:tcMar>
          </w:tcPr>
          <w:p>
            <w:pPr>
              <w:spacing w:after="0"/>
              <w:jc w:val="left"/>
            </w:pPr>
            <w:r>
              <w:rPr>
                <w:rFonts w:ascii="Calibri" w:hAnsi="Calibri"/>
                <w:color w:val="0B2545"/>
                <w:sz w:val="19"/>
              </w:rPr>
              <w:t>Do not reveal stack traces, secrets, internal IDs, account existence, or another user's data.</w:t>
            </w:r>
          </w:p>
        </w:tc>
      </w:tr>
      <w:tr>
        <w:tc>
          <w:tcPr>
            <w:tcW w:type="dxa" w:w="2000"/>
            <w:vAlign w:val="center"/>
            <w:tcMar>
              <w:top w:w="80" w:type="dxa"/>
              <w:start w:w="120" w:type="dxa"/>
              <w:bottom w:w="80" w:type="dxa"/>
              <w:end w:w="120" w:type="dxa"/>
            </w:tcMar>
          </w:tcPr>
          <w:p>
            <w:pPr>
              <w:spacing w:after="0"/>
              <w:jc w:val="center"/>
            </w:pPr>
            <w:r>
              <w:rPr>
                <w:rFonts w:ascii="Calibri" w:hAnsi="Calibri"/>
                <w:color w:val="0B2545"/>
                <w:sz w:val="19"/>
              </w:rPr>
              <w:t>Responsive design</w:t>
            </w:r>
          </w:p>
        </w:tc>
        <w:tc>
          <w:tcPr>
            <w:tcW w:type="dxa" w:w="7360"/>
            <w:vAlign w:val="center"/>
            <w:tcMar>
              <w:top w:w="80" w:type="dxa"/>
              <w:start w:w="120" w:type="dxa"/>
              <w:bottom w:w="80" w:type="dxa"/>
              <w:end w:w="120" w:type="dxa"/>
            </w:tcMar>
          </w:tcPr>
          <w:p>
            <w:pPr>
              <w:spacing w:after="0"/>
              <w:jc w:val="left"/>
            </w:pPr>
            <w:r>
              <w:rPr>
                <w:rFonts w:ascii="Calibri" w:hAnsi="Calibri"/>
                <w:color w:val="0B2545"/>
                <w:sz w:val="19"/>
              </w:rPr>
              <w:t>Test sign-in, all navigation, tutor steps, tables, dialogs, mentor, and admin actions on small mobile widths.</w:t>
            </w:r>
          </w:p>
        </w:tc>
      </w:tr>
      <w:tr>
        <w:tc>
          <w:tcPr>
            <w:tcW w:type="dxa" w:w="2000"/>
            <w:vAlign w:val="center"/>
            <w:tcMar>
              <w:top w:w="80" w:type="dxa"/>
              <w:start w:w="120" w:type="dxa"/>
              <w:bottom w:w="80" w:type="dxa"/>
              <w:end w:w="120" w:type="dxa"/>
            </w:tcMar>
          </w:tcPr>
          <w:p>
            <w:pPr>
              <w:spacing w:after="0"/>
              <w:jc w:val="center"/>
            </w:pPr>
            <w:r>
              <w:rPr>
                <w:rFonts w:ascii="Calibri" w:hAnsi="Calibri"/>
                <w:color w:val="0B2545"/>
                <w:sz w:val="19"/>
              </w:rPr>
              <w:t>Trust</w:t>
            </w:r>
          </w:p>
        </w:tc>
        <w:tc>
          <w:tcPr>
            <w:tcW w:type="dxa" w:w="7360"/>
            <w:vAlign w:val="center"/>
            <w:tcMar>
              <w:top w:w="80" w:type="dxa"/>
              <w:start w:w="120" w:type="dxa"/>
              <w:bottom w:w="80" w:type="dxa"/>
              <w:end w:w="120" w:type="dxa"/>
            </w:tcMar>
          </w:tcPr>
          <w:p>
            <w:pPr>
              <w:spacing w:after="0"/>
              <w:jc w:val="left"/>
            </w:pPr>
            <w:r>
              <w:rPr>
                <w:rFonts w:ascii="Calibri" w:hAnsi="Calibri"/>
                <w:color w:val="0B2545"/>
                <w:sz w:val="19"/>
              </w:rPr>
              <w:t>Visible operator, support, policies, pricing, cancellation, security contact, and service status.</w:t>
            </w:r>
          </w:p>
        </w:tc>
      </w:tr>
    </w:tbl>
    <w:p>
      <w:pPr>
        <w:spacing w:after="20"/>
      </w:pPr>
    </w:p>
    <w:p>
      <w:pPr>
        <w:spacing w:before="60" w:after="160"/>
        <w:ind w:left="115" w:right="115"/>
        <w:shd w:fill="E8EEF5"/>
        <w:pBdr>
          <w:top w:val="single" w:sz="4" w:space="6" w:color="D7DBE2"/>
          <w:left w:val="single" w:sz="4" w:space="6" w:color="D7DBE2"/>
          <w:bottom w:val="single" w:sz="4" w:space="6" w:color="D7DBE2"/>
          <w:right w:val="single" w:sz="4" w:space="6" w:color="D7DBE2"/>
        </w:pBdr>
      </w:pPr>
      <w:r>
        <w:rPr>
          <w:rFonts w:ascii="Calibri" w:hAnsi="Calibri"/>
          <w:b/>
          <w:color w:val="2E74B5"/>
          <w:sz w:val="21"/>
        </w:rPr>
        <w:t xml:space="preserve">App reference: </w:t>
      </w:r>
      <w:r>
        <w:rPr>
          <w:rFonts w:ascii="Calibri" w:hAnsi="Calibri"/>
          <w:color w:val="0B2545"/>
          <w:sz w:val="21"/>
        </w:rPr>
        <w:t>Public pages plus every flow from Register through Portfolio; admin testing through Control plane</w:t>
      </w:r>
    </w:p>
    <w:p>
      <w:pPr>
        <w:pStyle w:val="Heading2"/>
      </w:pPr>
      <w:r>
        <w:t>Accessibility verification</w:t>
      </w:r>
    </w:p>
    <w:p>
      <w:pPr>
        <w:pStyle w:val="ListBullet"/>
      </w:pPr>
      <w:r>
        <w:t>Automated accessibility scan for every major view.</w:t>
      </w:r>
    </w:p>
    <w:p>
      <w:pPr>
        <w:pStyle w:val="ListBullet"/>
      </w:pPr>
      <w:r>
        <w:t>Keyboard-only journey: registration, sign-in, navigation, tutor, forms, mentor, simulation, portfolio, and cancellation.</w:t>
      </w:r>
    </w:p>
    <w:p>
      <w:pPr>
        <w:pStyle w:val="ListBullet"/>
      </w:pPr>
      <w:r>
        <w:t>Screen-reader checks with at least one Windows and one mobile combination.</w:t>
      </w:r>
    </w:p>
    <w:p>
      <w:pPr>
        <w:pStyle w:val="ListBullet"/>
      </w:pPr>
      <w:r>
        <w:t>200% and 400% zoom/reflow; no hidden actions or horizontal scrolling for ordinary content.</w:t>
      </w:r>
    </w:p>
    <w:p>
      <w:pPr>
        <w:pStyle w:val="ListBullet"/>
      </w:pPr>
      <w:r>
        <w:t>Colour contrast, focus visibility, status announcements, error summaries, and non-colour status cues.</w:t>
      </w:r>
    </w:p>
    <w:p>
      <w:pPr>
        <w:pStyle w:val="ListBullet"/>
      </w:pPr>
      <w:r>
        <w:t>Publish known issues and a contact route; track remediation with owners and dates.</w:t>
      </w:r>
    </w:p>
    <w:p>
      <w:r>
        <w:br w:type="page"/>
      </w:r>
    </w:p>
    <w:p>
      <w:pPr>
        <w:pStyle w:val="Heading1"/>
      </w:pPr>
      <w:r>
        <w:t>9. AI Mentor safety and quality</w:t>
      </w:r>
    </w:p>
    <w:p>
      <w:pPr>
        <w:spacing w:after="200"/>
      </w:pPr>
      <w:r>
        <w:rPr>
          <w:rFonts w:ascii="Calibri" w:hAnsi="Calibri"/>
          <w:i/>
          <w:color w:val="1F4D78"/>
          <w:sz w:val="23"/>
        </w:rPr>
        <w:t>The mentor must remain a learning aid with traceable context, minimal data, and honest limitations.</w:t>
      </w:r>
    </w:p>
    <w:p>
      <w:pPr>
        <w:pStyle w:val="ListBullet"/>
      </w:pPr>
      <w:r>
        <w:t>Keep the current grounded local mentor as a safe baseline and label the provider/model when an external service is connected.</w:t>
      </w:r>
    </w:p>
    <w:p>
      <w:pPr>
        <w:pStyle w:val="ListBullet"/>
      </w:pPr>
      <w:r>
        <w:t>Send only the minimum learner and simulation context needed; exclude raw credentials, unnecessary personal data, and private admin evidence.</w:t>
      </w:r>
    </w:p>
    <w:p>
      <w:pPr>
        <w:pStyle w:val="ListBullet"/>
      </w:pPr>
      <w:r>
        <w:t>Contract with the AI provider for data use, retention, training, security, subprocessors, location, deletion, and incident notice.</w:t>
      </w:r>
    </w:p>
    <w:p>
      <w:pPr>
        <w:pStyle w:val="ListBullet"/>
      </w:pPr>
      <w:r>
        <w:t>Filter or refuse requests involving credential theft, unauthorised access, harmful instructions, or sensitive personal/professional decisions.</w:t>
      </w:r>
    </w:p>
    <w:p>
      <w:pPr>
        <w:pStyle w:val="ListBullet"/>
      </w:pPr>
      <w:r>
        <w:t>Persist conversations only with a stated purpose and retention period; provide deletion/export where appropriate.</w:t>
      </w:r>
    </w:p>
    <w:p>
      <w:pPr>
        <w:pStyle w:val="ListBullet"/>
      </w:pPr>
      <w:r>
        <w:t>Run quality checks for grounding, citations/context, unsupported certainty, privacy, and pedagogical usefulness.</w:t>
      </w:r>
    </w:p>
    <w:p>
      <w:pPr>
        <w:pStyle w:val="ListBullet"/>
      </w:pPr>
      <w:r>
        <w:t>Let users report a poor answer; keep a review queue and versioned evaluation set across all eight processes.</w:t>
      </w:r>
    </w:p>
    <w:p>
      <w:pPr>
        <w:pStyle w:val="ListBullet"/>
      </w:pPr>
      <w:r>
        <w:t>Never allow an AI answer alone to approve certification, change an admin role, release content, or promote production.</w:t>
      </w:r>
    </w:p>
    <w:p>
      <w:pPr>
        <w:spacing w:before="60" w:after="160"/>
        <w:ind w:left="115" w:right="115"/>
        <w:shd w:fill="E8EEF5"/>
        <w:pBdr>
          <w:top w:val="single" w:sz="4" w:space="6" w:color="D7DBE2"/>
          <w:left w:val="single" w:sz="4" w:space="6" w:color="D7DBE2"/>
          <w:bottom w:val="single" w:sz="4" w:space="6" w:color="D7DBE2"/>
          <w:right w:val="single" w:sz="4" w:space="6" w:color="D7DBE2"/>
        </w:pBdr>
      </w:pPr>
      <w:r>
        <w:rPr>
          <w:rFonts w:ascii="Calibri" w:hAnsi="Calibri"/>
          <w:b/>
          <w:color w:val="2E74B5"/>
          <w:sz w:val="21"/>
        </w:rPr>
        <w:t xml:space="preserve">App reference: </w:t>
      </w:r>
      <w:r>
        <w:rPr>
          <w:rFonts w:ascii="Calibri" w:hAnsi="Calibri"/>
          <w:color w:val="0B2545"/>
          <w:sz w:val="21"/>
        </w:rPr>
        <w:t>Ask SAP Mentor; Control plane -&gt; Mentor readiness / Observability</w:t>
      </w:r>
    </w:p>
    <w:p>
      <w:r>
        <w:br w:type="page"/>
      </w:r>
    </w:p>
    <w:p>
      <w:pPr>
        <w:pStyle w:val="Heading1"/>
      </w:pPr>
      <w:r>
        <w:t>10. Monetisation strategy</w:t>
      </w:r>
    </w:p>
    <w:p>
      <w:pPr>
        <w:spacing w:after="200"/>
      </w:pPr>
      <w:r>
        <w:rPr>
          <w:rFonts w:ascii="Calibri" w:hAnsi="Calibri"/>
          <w:i/>
          <w:color w:val="1F4D78"/>
          <w:sz w:val="23"/>
        </w:rPr>
        <w:t>Start with a narrow paid promise: guided practice plus credible evidence, not 'all of SAP'.</w:t>
      </w:r>
    </w:p>
    <w:p>
      <w:pPr>
        <w:pStyle w:val="Heading2"/>
      </w:pPr>
      <w:r>
        <w:t>Recommended offer ladder</w:t>
      </w:r>
    </w:p>
    <w:tbl>
      <w:tblPr>
        <w:tblStyle w:val="TableGrid"/>
        <w:tblW w:type="dxa" w:w="9360"/>
        <w:tblLayout w:type="fixed"/>
        <w:tblLook w:firstColumn="1" w:firstRow="1" w:lastColumn="0" w:lastRow="0" w:noHBand="0" w:noVBand="1" w:val="04A0"/>
        <w:jc w:val="left"/>
        <w:tblInd w:w="120" w:type="dxa"/>
      </w:tblPr>
      <w:tblGrid>
        <w:gridCol w:w="1500"/>
        <w:gridCol w:w="2100"/>
        <w:gridCol w:w="3500"/>
        <w:gridCol w:w="2260"/>
      </w:tblGrid>
      <w:tr>
        <w:trPr>
          <w:tblHeader w:val="true"/>
        </w:trPr>
        <w:tc>
          <w:tcPr>
            <w:tcW w:type="dxa" w:w="1500"/>
            <w:vAlign w:val="center"/>
            <w:tcMar>
              <w:top w:w="80" w:type="dxa"/>
              <w:start w:w="120" w:type="dxa"/>
              <w:bottom w:w="80" w:type="dxa"/>
              <w:end w:w="120" w:type="dxa"/>
            </w:tcMar>
            <w:shd w:fill="E8EEF5"/>
          </w:tcPr>
          <w:p>
            <w:pPr>
              <w:jc w:val="center"/>
            </w:pPr>
            <w:r>
              <w:rPr>
                <w:rFonts w:ascii="Calibri" w:hAnsi="Calibri"/>
                <w:b/>
                <w:color w:val="0B2545"/>
                <w:sz w:val="19"/>
              </w:rPr>
              <w:t>Offer</w:t>
            </w:r>
          </w:p>
        </w:tc>
        <w:tc>
          <w:tcPr>
            <w:tcW w:type="dxa" w:w="2100"/>
            <w:vAlign w:val="center"/>
            <w:tcMar>
              <w:top w:w="80" w:type="dxa"/>
              <w:start w:w="120" w:type="dxa"/>
              <w:bottom w:w="80" w:type="dxa"/>
              <w:end w:w="120" w:type="dxa"/>
            </w:tcMar>
            <w:shd w:fill="E8EEF5"/>
          </w:tcPr>
          <w:p>
            <w:pPr>
              <w:jc w:val="center"/>
            </w:pPr>
            <w:r>
              <w:rPr>
                <w:rFonts w:ascii="Calibri" w:hAnsi="Calibri"/>
                <w:b/>
                <w:color w:val="0B2545"/>
                <w:sz w:val="19"/>
              </w:rPr>
              <w:t>Who it serves</w:t>
            </w:r>
          </w:p>
        </w:tc>
        <w:tc>
          <w:tcPr>
            <w:tcW w:type="dxa" w:w="3500"/>
            <w:vAlign w:val="center"/>
            <w:tcMar>
              <w:top w:w="80" w:type="dxa"/>
              <w:start w:w="120" w:type="dxa"/>
              <w:bottom w:w="80" w:type="dxa"/>
              <w:end w:w="120" w:type="dxa"/>
            </w:tcMar>
            <w:shd w:fill="E8EEF5"/>
          </w:tcPr>
          <w:p>
            <w:pPr>
              <w:jc w:val="center"/>
            </w:pPr>
            <w:r>
              <w:rPr>
                <w:rFonts w:ascii="Calibri" w:hAnsi="Calibri"/>
                <w:b/>
                <w:color w:val="0B2545"/>
                <w:sz w:val="19"/>
              </w:rPr>
              <w:t>Included value</w:t>
            </w:r>
          </w:p>
        </w:tc>
        <w:tc>
          <w:tcPr>
            <w:tcW w:type="dxa" w:w="2260"/>
            <w:vAlign w:val="center"/>
            <w:tcMar>
              <w:top w:w="80" w:type="dxa"/>
              <w:start w:w="120" w:type="dxa"/>
              <w:bottom w:w="80" w:type="dxa"/>
              <w:end w:w="120" w:type="dxa"/>
            </w:tcMar>
            <w:shd w:fill="E8EEF5"/>
          </w:tcPr>
          <w:p>
            <w:pPr>
              <w:jc w:val="left"/>
            </w:pPr>
            <w:r>
              <w:rPr>
                <w:rFonts w:ascii="Calibri" w:hAnsi="Calibri"/>
                <w:b/>
                <w:color w:val="0B2545"/>
                <w:sz w:val="19"/>
              </w:rPr>
              <w:t>Pricing hypothesis</w:t>
            </w:r>
          </w:p>
        </w:tc>
      </w:tr>
      <w:tr>
        <w:tc>
          <w:tcPr>
            <w:tcW w:type="dxa" w:w="1500"/>
            <w:vAlign w:val="center"/>
            <w:tcMar>
              <w:top w:w="80" w:type="dxa"/>
              <w:start w:w="120" w:type="dxa"/>
              <w:bottom w:w="80" w:type="dxa"/>
              <w:end w:w="120" w:type="dxa"/>
            </w:tcMar>
          </w:tcPr>
          <w:p>
            <w:pPr>
              <w:spacing w:after="0"/>
              <w:jc w:val="center"/>
            </w:pPr>
            <w:r>
              <w:rPr>
                <w:rFonts w:ascii="Calibri" w:hAnsi="Calibri"/>
                <w:color w:val="0B2545"/>
                <w:sz w:val="19"/>
              </w:rPr>
              <w:t>Free</w:t>
            </w:r>
          </w:p>
        </w:tc>
        <w:tc>
          <w:tcPr>
            <w:tcW w:type="dxa" w:w="2100"/>
            <w:vAlign w:val="center"/>
            <w:tcMar>
              <w:top w:w="80" w:type="dxa"/>
              <w:start w:w="120" w:type="dxa"/>
              <w:bottom w:w="80" w:type="dxa"/>
              <w:end w:w="120" w:type="dxa"/>
            </w:tcMar>
          </w:tcPr>
          <w:p>
            <w:pPr>
              <w:spacing w:after="0"/>
              <w:jc w:val="left"/>
            </w:pPr>
            <w:r>
              <w:rPr>
                <w:rFonts w:ascii="Calibri" w:hAnsi="Calibri"/>
                <w:color w:val="0B2545"/>
                <w:sz w:val="19"/>
              </w:rPr>
              <w:t>Curious learners</w:t>
            </w:r>
          </w:p>
        </w:tc>
        <w:tc>
          <w:tcPr>
            <w:tcW w:type="dxa" w:w="3500"/>
            <w:vAlign w:val="center"/>
            <w:tcMar>
              <w:top w:w="80" w:type="dxa"/>
              <w:start w:w="120" w:type="dxa"/>
              <w:bottom w:w="80" w:type="dxa"/>
              <w:end w:w="120" w:type="dxa"/>
            </w:tcMar>
          </w:tcPr>
          <w:p>
            <w:pPr>
              <w:spacing w:after="0"/>
              <w:jc w:val="left"/>
            </w:pPr>
            <w:r>
              <w:rPr>
                <w:rFonts w:ascii="Calibri" w:hAnsi="Calibri"/>
                <w:color w:val="0B2545"/>
                <w:sz w:val="19"/>
              </w:rPr>
              <w:t>Account, overview, limited pathways, sample mentor, starter portfolio</w:t>
            </w:r>
          </w:p>
        </w:tc>
        <w:tc>
          <w:tcPr>
            <w:tcW w:type="dxa" w:w="2260"/>
            <w:vAlign w:val="center"/>
            <w:tcMar>
              <w:top w:w="80" w:type="dxa"/>
              <w:start w:w="120" w:type="dxa"/>
              <w:bottom w:w="80" w:type="dxa"/>
              <w:end w:w="120" w:type="dxa"/>
            </w:tcMar>
          </w:tcPr>
          <w:p>
            <w:pPr>
              <w:spacing w:after="0"/>
              <w:jc w:val="left"/>
            </w:pPr>
            <w:r>
              <w:rPr>
                <w:rFonts w:ascii="Calibri" w:hAnsi="Calibri"/>
                <w:color w:val="0B2545"/>
                <w:sz w:val="19"/>
              </w:rPr>
              <w:t>GBP 0</w:t>
            </w:r>
          </w:p>
        </w:tc>
      </w:tr>
      <w:tr>
        <w:tc>
          <w:tcPr>
            <w:tcW w:type="dxa" w:w="1500"/>
            <w:vAlign w:val="center"/>
            <w:tcMar>
              <w:top w:w="80" w:type="dxa"/>
              <w:start w:w="120" w:type="dxa"/>
              <w:bottom w:w="80" w:type="dxa"/>
              <w:end w:w="120" w:type="dxa"/>
            </w:tcMar>
          </w:tcPr>
          <w:p>
            <w:pPr>
              <w:spacing w:after="0"/>
              <w:jc w:val="center"/>
            </w:pPr>
            <w:r>
              <w:rPr>
                <w:rFonts w:ascii="Calibri" w:hAnsi="Calibri"/>
                <w:color w:val="0B2545"/>
                <w:sz w:val="19"/>
              </w:rPr>
              <w:t>Individual Pro</w:t>
            </w:r>
          </w:p>
        </w:tc>
        <w:tc>
          <w:tcPr>
            <w:tcW w:type="dxa" w:w="2100"/>
            <w:vAlign w:val="center"/>
            <w:tcMar>
              <w:top w:w="80" w:type="dxa"/>
              <w:start w:w="120" w:type="dxa"/>
              <w:bottom w:w="80" w:type="dxa"/>
              <w:end w:w="120" w:type="dxa"/>
            </w:tcMar>
          </w:tcPr>
          <w:p>
            <w:pPr>
              <w:spacing w:after="0"/>
              <w:jc w:val="left"/>
            </w:pPr>
            <w:r>
              <w:rPr>
                <w:rFonts w:ascii="Calibri" w:hAnsi="Calibri"/>
                <w:color w:val="0B2545"/>
                <w:sz w:val="19"/>
              </w:rPr>
              <w:t>Career changers and consultants</w:t>
            </w:r>
          </w:p>
        </w:tc>
        <w:tc>
          <w:tcPr>
            <w:tcW w:type="dxa" w:w="3500"/>
            <w:vAlign w:val="center"/>
            <w:tcMar>
              <w:top w:w="80" w:type="dxa"/>
              <w:start w:w="120" w:type="dxa"/>
              <w:bottom w:w="80" w:type="dxa"/>
              <w:end w:w="120" w:type="dxa"/>
            </w:tcMar>
          </w:tcPr>
          <w:p>
            <w:pPr>
              <w:spacing w:after="0"/>
              <w:jc w:val="left"/>
            </w:pPr>
            <w:r>
              <w:rPr>
                <w:rFonts w:ascii="Calibri" w:hAnsi="Calibri"/>
                <w:color w:val="0B2545"/>
                <w:sz w:val="19"/>
              </w:rPr>
              <w:t>All pathways, diagnostics, simulations, advanced labs, capstones, exports</w:t>
            </w:r>
          </w:p>
        </w:tc>
        <w:tc>
          <w:tcPr>
            <w:tcW w:type="dxa" w:w="2260"/>
            <w:vAlign w:val="center"/>
            <w:tcMar>
              <w:top w:w="80" w:type="dxa"/>
              <w:start w:w="120" w:type="dxa"/>
              <w:bottom w:w="80" w:type="dxa"/>
              <w:end w:w="120" w:type="dxa"/>
            </w:tcMar>
          </w:tcPr>
          <w:p>
            <w:pPr>
              <w:spacing w:after="0"/>
              <w:jc w:val="left"/>
            </w:pPr>
            <w:r>
              <w:rPr>
                <w:rFonts w:ascii="Calibri" w:hAnsi="Calibri"/>
                <w:color w:val="0B2545"/>
                <w:sz w:val="19"/>
              </w:rPr>
              <w:t>Test GBP 15-25/month or GBP 150-240/year</w:t>
            </w:r>
          </w:p>
        </w:tc>
      </w:tr>
      <w:tr>
        <w:tc>
          <w:tcPr>
            <w:tcW w:type="dxa" w:w="1500"/>
            <w:vAlign w:val="center"/>
            <w:tcMar>
              <w:top w:w="80" w:type="dxa"/>
              <w:start w:w="120" w:type="dxa"/>
              <w:bottom w:w="80" w:type="dxa"/>
              <w:end w:w="120" w:type="dxa"/>
            </w:tcMar>
          </w:tcPr>
          <w:p>
            <w:pPr>
              <w:spacing w:after="0"/>
              <w:jc w:val="center"/>
            </w:pPr>
            <w:r>
              <w:rPr>
                <w:rFonts w:ascii="Calibri" w:hAnsi="Calibri"/>
                <w:color w:val="0B2545"/>
                <w:sz w:val="19"/>
              </w:rPr>
              <w:t>Cohort</w:t>
            </w:r>
          </w:p>
        </w:tc>
        <w:tc>
          <w:tcPr>
            <w:tcW w:type="dxa" w:w="2100"/>
            <w:vAlign w:val="center"/>
            <w:tcMar>
              <w:top w:w="80" w:type="dxa"/>
              <w:start w:w="120" w:type="dxa"/>
              <w:bottom w:w="80" w:type="dxa"/>
              <w:end w:w="120" w:type="dxa"/>
            </w:tcMar>
          </w:tcPr>
          <w:p>
            <w:pPr>
              <w:spacing w:after="0"/>
              <w:jc w:val="left"/>
            </w:pPr>
            <w:r>
              <w:rPr>
                <w:rFonts w:ascii="Calibri" w:hAnsi="Calibri"/>
                <w:color w:val="0B2545"/>
                <w:sz w:val="19"/>
              </w:rPr>
              <w:t>Learners needing structure</w:t>
            </w:r>
          </w:p>
        </w:tc>
        <w:tc>
          <w:tcPr>
            <w:tcW w:type="dxa" w:w="3500"/>
            <w:vAlign w:val="center"/>
            <w:tcMar>
              <w:top w:w="80" w:type="dxa"/>
              <w:start w:w="120" w:type="dxa"/>
              <w:bottom w:w="80" w:type="dxa"/>
              <w:end w:w="120" w:type="dxa"/>
            </w:tcMar>
          </w:tcPr>
          <w:p>
            <w:pPr>
              <w:spacing w:after="0"/>
              <w:jc w:val="left"/>
            </w:pPr>
            <w:r>
              <w:rPr>
                <w:rFonts w:ascii="Calibri" w:hAnsi="Calibri"/>
                <w:color w:val="0B2545"/>
                <w:sz w:val="19"/>
              </w:rPr>
              <w:t>Pro plus timetable, live clinics, feedback, and peer accountability</w:t>
            </w:r>
          </w:p>
        </w:tc>
        <w:tc>
          <w:tcPr>
            <w:tcW w:type="dxa" w:w="2260"/>
            <w:vAlign w:val="center"/>
            <w:tcMar>
              <w:top w:w="80" w:type="dxa"/>
              <w:start w:w="120" w:type="dxa"/>
              <w:bottom w:w="80" w:type="dxa"/>
              <w:end w:w="120" w:type="dxa"/>
            </w:tcMar>
          </w:tcPr>
          <w:p>
            <w:pPr>
              <w:spacing w:after="0"/>
              <w:jc w:val="left"/>
            </w:pPr>
            <w:r>
              <w:rPr>
                <w:rFonts w:ascii="Calibri" w:hAnsi="Calibri"/>
                <w:color w:val="0B2545"/>
                <w:sz w:val="19"/>
              </w:rPr>
              <w:t>Test GBP 199-499 per cohort</w:t>
            </w:r>
          </w:p>
        </w:tc>
      </w:tr>
      <w:tr>
        <w:tc>
          <w:tcPr>
            <w:tcW w:type="dxa" w:w="1500"/>
            <w:vAlign w:val="center"/>
            <w:tcMar>
              <w:top w:w="80" w:type="dxa"/>
              <w:start w:w="120" w:type="dxa"/>
              <w:bottom w:w="80" w:type="dxa"/>
              <w:end w:w="120" w:type="dxa"/>
            </w:tcMar>
          </w:tcPr>
          <w:p>
            <w:pPr>
              <w:spacing w:after="0"/>
              <w:jc w:val="center"/>
            </w:pPr>
            <w:r>
              <w:rPr>
                <w:rFonts w:ascii="Calibri" w:hAnsi="Calibri"/>
                <w:color w:val="0B2545"/>
                <w:sz w:val="19"/>
              </w:rPr>
              <w:t>Team</w:t>
            </w:r>
          </w:p>
        </w:tc>
        <w:tc>
          <w:tcPr>
            <w:tcW w:type="dxa" w:w="2100"/>
            <w:vAlign w:val="center"/>
            <w:tcMar>
              <w:top w:w="80" w:type="dxa"/>
              <w:start w:w="120" w:type="dxa"/>
              <w:bottom w:w="80" w:type="dxa"/>
              <w:end w:w="120" w:type="dxa"/>
            </w:tcMar>
          </w:tcPr>
          <w:p>
            <w:pPr>
              <w:spacing w:after="0"/>
              <w:jc w:val="left"/>
            </w:pPr>
            <w:r>
              <w:rPr>
                <w:rFonts w:ascii="Calibri" w:hAnsi="Calibri"/>
                <w:color w:val="0B2545"/>
                <w:sz w:val="19"/>
              </w:rPr>
              <w:t>Employers and training providers</w:t>
            </w:r>
          </w:p>
        </w:tc>
        <w:tc>
          <w:tcPr>
            <w:tcW w:type="dxa" w:w="3500"/>
            <w:vAlign w:val="center"/>
            <w:tcMar>
              <w:top w:w="80" w:type="dxa"/>
              <w:start w:w="120" w:type="dxa"/>
              <w:bottom w:w="80" w:type="dxa"/>
              <w:end w:w="120" w:type="dxa"/>
            </w:tcMar>
          </w:tcPr>
          <w:p>
            <w:pPr>
              <w:spacing w:after="0"/>
              <w:jc w:val="left"/>
            </w:pPr>
            <w:r>
              <w:rPr>
                <w:rFonts w:ascii="Calibri" w:hAnsi="Calibri"/>
                <w:color w:val="0B2545"/>
                <w:sz w:val="19"/>
              </w:rPr>
              <w:t>Seat management, assigned pathways, team analytics, review workflow</w:t>
            </w:r>
          </w:p>
        </w:tc>
        <w:tc>
          <w:tcPr>
            <w:tcW w:type="dxa" w:w="2260"/>
            <w:vAlign w:val="center"/>
            <w:tcMar>
              <w:top w:w="80" w:type="dxa"/>
              <w:start w:w="120" w:type="dxa"/>
              <w:bottom w:w="80" w:type="dxa"/>
              <w:end w:w="120" w:type="dxa"/>
            </w:tcMar>
          </w:tcPr>
          <w:p>
            <w:pPr>
              <w:spacing w:after="0"/>
              <w:jc w:val="left"/>
            </w:pPr>
            <w:r>
              <w:rPr>
                <w:rFonts w:ascii="Calibri" w:hAnsi="Calibri"/>
                <w:color w:val="0B2545"/>
                <w:sz w:val="19"/>
              </w:rPr>
              <w:t>Test GBP 25-40/user/month with minimum seats</w:t>
            </w:r>
          </w:p>
        </w:tc>
      </w:tr>
      <w:tr>
        <w:tc>
          <w:tcPr>
            <w:tcW w:type="dxa" w:w="1500"/>
            <w:vAlign w:val="center"/>
            <w:tcMar>
              <w:top w:w="80" w:type="dxa"/>
              <w:start w:w="120" w:type="dxa"/>
              <w:bottom w:w="80" w:type="dxa"/>
              <w:end w:w="120" w:type="dxa"/>
            </w:tcMar>
          </w:tcPr>
          <w:p>
            <w:pPr>
              <w:spacing w:after="0"/>
              <w:jc w:val="center"/>
            </w:pPr>
            <w:r>
              <w:rPr>
                <w:rFonts w:ascii="Calibri" w:hAnsi="Calibri"/>
                <w:color w:val="0B2545"/>
                <w:sz w:val="19"/>
              </w:rPr>
              <w:t>Enterprise</w:t>
            </w:r>
          </w:p>
        </w:tc>
        <w:tc>
          <w:tcPr>
            <w:tcW w:type="dxa" w:w="2100"/>
            <w:vAlign w:val="center"/>
            <w:tcMar>
              <w:top w:w="80" w:type="dxa"/>
              <w:start w:w="120" w:type="dxa"/>
              <w:bottom w:w="80" w:type="dxa"/>
              <w:end w:w="120" w:type="dxa"/>
            </w:tcMar>
          </w:tcPr>
          <w:p>
            <w:pPr>
              <w:spacing w:after="0"/>
              <w:jc w:val="left"/>
            </w:pPr>
            <w:r>
              <w:rPr>
                <w:rFonts w:ascii="Calibri" w:hAnsi="Calibri"/>
                <w:color w:val="0B2545"/>
                <w:sz w:val="19"/>
              </w:rPr>
              <w:t>Large organisations</w:t>
            </w:r>
          </w:p>
        </w:tc>
        <w:tc>
          <w:tcPr>
            <w:tcW w:type="dxa" w:w="3500"/>
            <w:vAlign w:val="center"/>
            <w:tcMar>
              <w:top w:w="80" w:type="dxa"/>
              <w:start w:w="120" w:type="dxa"/>
              <w:bottom w:w="80" w:type="dxa"/>
              <w:end w:w="120" w:type="dxa"/>
            </w:tcMar>
          </w:tcPr>
          <w:p>
            <w:pPr>
              <w:spacing w:after="0"/>
              <w:jc w:val="left"/>
            </w:pPr>
            <w:r>
              <w:rPr>
                <w:rFonts w:ascii="Calibri" w:hAnsi="Calibri"/>
                <w:color w:val="0B2545"/>
                <w:sz w:val="19"/>
              </w:rPr>
              <w:t>SSO, provisioning, private content, support, audit/security pack, negotiated terms</w:t>
            </w:r>
          </w:p>
        </w:tc>
        <w:tc>
          <w:tcPr>
            <w:tcW w:type="dxa" w:w="2260"/>
            <w:vAlign w:val="center"/>
            <w:tcMar>
              <w:top w:w="80" w:type="dxa"/>
              <w:start w:w="120" w:type="dxa"/>
              <w:bottom w:w="80" w:type="dxa"/>
              <w:end w:w="120" w:type="dxa"/>
            </w:tcMar>
          </w:tcPr>
          <w:p>
            <w:pPr>
              <w:spacing w:after="0"/>
              <w:jc w:val="left"/>
            </w:pPr>
            <w:r>
              <w:rPr>
                <w:rFonts w:ascii="Calibri" w:hAnsi="Calibri"/>
                <w:color w:val="0B2545"/>
                <w:sz w:val="19"/>
              </w:rPr>
              <w:t>Annual quote after discovery</w:t>
            </w:r>
          </w:p>
        </w:tc>
      </w:tr>
      <w:tr>
        <w:tc>
          <w:tcPr>
            <w:tcW w:type="dxa" w:w="1500"/>
            <w:vAlign w:val="center"/>
            <w:tcMar>
              <w:top w:w="80" w:type="dxa"/>
              <w:start w:w="120" w:type="dxa"/>
              <w:bottom w:w="80" w:type="dxa"/>
              <w:end w:w="120" w:type="dxa"/>
            </w:tcMar>
          </w:tcPr>
          <w:p>
            <w:pPr>
              <w:spacing w:after="0"/>
              <w:jc w:val="left"/>
            </w:pPr>
            <w:r>
              <w:rPr>
                <w:rFonts w:ascii="Calibri" w:hAnsi="Calibri"/>
                <w:color w:val="0B2545"/>
                <w:sz w:val="19"/>
              </w:rPr>
              <w:t>Assessment service</w:t>
            </w:r>
          </w:p>
        </w:tc>
        <w:tc>
          <w:tcPr>
            <w:tcW w:type="dxa" w:w="2100"/>
            <w:vAlign w:val="center"/>
            <w:tcMar>
              <w:top w:w="80" w:type="dxa"/>
              <w:start w:w="120" w:type="dxa"/>
              <w:bottom w:w="80" w:type="dxa"/>
              <w:end w:w="120" w:type="dxa"/>
            </w:tcMar>
          </w:tcPr>
          <w:p>
            <w:pPr>
              <w:spacing w:after="0"/>
              <w:jc w:val="left"/>
            </w:pPr>
            <w:r>
              <w:rPr>
                <w:rFonts w:ascii="Calibri" w:hAnsi="Calibri"/>
                <w:color w:val="0B2545"/>
                <w:sz w:val="19"/>
              </w:rPr>
              <w:t>Learners or organisations</w:t>
            </w:r>
          </w:p>
        </w:tc>
        <w:tc>
          <w:tcPr>
            <w:tcW w:type="dxa" w:w="3500"/>
            <w:vAlign w:val="center"/>
            <w:tcMar>
              <w:top w:w="80" w:type="dxa"/>
              <w:start w:w="120" w:type="dxa"/>
              <w:bottom w:w="80" w:type="dxa"/>
              <w:end w:w="120" w:type="dxa"/>
            </w:tcMar>
          </w:tcPr>
          <w:p>
            <w:pPr>
              <w:spacing w:after="0"/>
              <w:jc w:val="left"/>
            </w:pPr>
            <w:r>
              <w:rPr>
                <w:rFonts w:ascii="Calibri" w:hAnsi="Calibri"/>
                <w:color w:val="0B2545"/>
                <w:sz w:val="19"/>
              </w:rPr>
              <w:t>Human review of capstone evidence and feedback; not official SAP certification</w:t>
            </w:r>
          </w:p>
        </w:tc>
        <w:tc>
          <w:tcPr>
            <w:tcW w:type="dxa" w:w="2260"/>
            <w:vAlign w:val="center"/>
            <w:tcMar>
              <w:top w:w="80" w:type="dxa"/>
              <w:start w:w="120" w:type="dxa"/>
              <w:bottom w:w="80" w:type="dxa"/>
              <w:end w:w="120" w:type="dxa"/>
            </w:tcMar>
          </w:tcPr>
          <w:p>
            <w:pPr>
              <w:spacing w:after="0"/>
              <w:jc w:val="left"/>
            </w:pPr>
            <w:r>
              <w:rPr>
                <w:rFonts w:ascii="Calibri" w:hAnsi="Calibri"/>
                <w:color w:val="0B2545"/>
                <w:sz w:val="19"/>
              </w:rPr>
              <w:t>Separate per-review fee</w:t>
            </w:r>
          </w:p>
        </w:tc>
      </w:tr>
    </w:tbl>
    <w:p>
      <w:pPr>
        <w:spacing w:after="20"/>
      </w:pPr>
    </w:p>
    <w:p>
      <w:pPr>
        <w:spacing w:before="60" w:after="160"/>
        <w:ind w:left="115" w:right="115"/>
        <w:shd w:fill="E8EEF5"/>
        <w:pBdr>
          <w:top w:val="single" w:sz="4" w:space="6" w:color="D7DBE2"/>
          <w:left w:val="single" w:sz="4" w:space="6" w:color="D7DBE2"/>
          <w:bottom w:val="single" w:sz="4" w:space="6" w:color="D7DBE2"/>
          <w:right w:val="single" w:sz="4" w:space="6" w:color="D7DBE2"/>
        </w:pBdr>
      </w:pPr>
      <w:r>
        <w:rPr>
          <w:rFonts w:ascii="Calibri" w:hAnsi="Calibri"/>
          <w:b/>
          <w:color w:val="1F4D78"/>
          <w:sz w:val="21"/>
        </w:rPr>
        <w:t xml:space="preserve">Pricing rule: </w:t>
      </w:r>
      <w:r>
        <w:rPr>
          <w:rFonts w:ascii="Calibri" w:hAnsi="Calibri"/>
          <w:color w:val="0B2545"/>
          <w:sz w:val="21"/>
        </w:rPr>
        <w:t>These are test ranges, not final recommendations. Interview users, run willingness-to-pay tests, and measure conversion and retention before committing to annual public pricing.</w:t>
      </w:r>
    </w:p>
    <w:p>
      <w:pPr>
        <w:pStyle w:val="Heading2"/>
      </w:pPr>
      <w:r>
        <w:t>Monetisation opportunities</w:t>
      </w:r>
    </w:p>
    <w:p>
      <w:pPr>
        <w:pStyle w:val="ListBullet"/>
      </w:pPr>
      <w:r>
        <w:t>Role-based learning bundles: procurement, finance, supply chain, manufacturing, quality, maintenance, and HR.</w:t>
      </w:r>
    </w:p>
    <w:p>
      <w:pPr>
        <w:pStyle w:val="ListBullet"/>
      </w:pPr>
      <w:r>
        <w:t>Industry specialisation packs built from the ten blueprints and specialist labs.</w:t>
      </w:r>
    </w:p>
    <w:p>
      <w:pPr>
        <w:pStyle w:val="ListBullet"/>
      </w:pPr>
      <w:r>
        <w:t>Employer onboarding and reskilling cohorts with assigned practice and evidence review.</w:t>
      </w:r>
    </w:p>
    <w:p>
      <w:pPr>
        <w:pStyle w:val="ListBullet"/>
      </w:pPr>
      <w:r>
        <w:t>Training-provider licensing and white-labelled cohorts, subject to brand/IP terms.</w:t>
      </w:r>
    </w:p>
    <w:p>
      <w:pPr>
        <w:pStyle w:val="ListBullet"/>
      </w:pPr>
      <w:r>
        <w:t>Human mentor or assessor add-ons with published standards and conflict controls.</w:t>
      </w:r>
    </w:p>
    <w:p>
      <w:pPr>
        <w:pStyle w:val="ListBullet"/>
      </w:pPr>
      <w:r>
        <w:t>Enterprise content authoring, private scenarios, SSO, audit exports, and implementation support.</w:t>
      </w:r>
    </w:p>
    <w:p>
      <w:pPr>
        <w:pStyle w:val="ListBullet"/>
      </w:pPr>
      <w:r>
        <w:t>Partnership referrals only when transparent, relevant, and clearly labelled; do not compromise learning advice.</w:t>
      </w:r>
    </w:p>
    <w:p>
      <w:pPr>
        <w:pStyle w:val="Heading2"/>
      </w:pPr>
      <w:r>
        <w:t>What not to monetise early</w:t>
      </w:r>
    </w:p>
    <w:p>
      <w:pPr>
        <w:pStyle w:val="ListBullet"/>
      </w:pPr>
      <w:r>
        <w:t>Advertising based on learner profiling or selling learner data.</w:t>
      </w:r>
    </w:p>
    <w:p>
      <w:pPr>
        <w:pStyle w:val="ListBullet"/>
      </w:pPr>
      <w:r>
        <w:t>Pay-to-pass assessment, unverifiable credentials, or misleading SAP affiliation.</w:t>
      </w:r>
    </w:p>
    <w:p>
      <w:pPr>
        <w:pStyle w:val="ListBullet"/>
      </w:pPr>
      <w:r>
        <w:t>Complex per-transaction credits that make learning unpredictable.</w:t>
      </w:r>
    </w:p>
    <w:p>
      <w:pPr>
        <w:pStyle w:val="ListBullet"/>
      </w:pPr>
      <w:r>
        <w:t>Enterprise promises before backup, SSO, security review, support, and data-processing terms are operational.</w:t>
      </w:r>
    </w:p>
    <w:p>
      <w:pPr>
        <w:pStyle w:val="Heading2"/>
      </w:pPr>
      <w:r>
        <w:t>Core metrics</w:t>
      </w:r>
    </w:p>
    <w:tbl>
      <w:tblPr>
        <w:tblStyle w:val="TableGrid"/>
        <w:tblW w:type="dxa" w:w="9360"/>
        <w:tblLayout w:type="fixed"/>
        <w:tblLook w:firstColumn="1" w:firstRow="1" w:lastColumn="0" w:lastRow="0" w:noHBand="0" w:noVBand="1" w:val="04A0"/>
        <w:jc w:val="left"/>
        <w:tblInd w:w="120" w:type="dxa"/>
      </w:tblPr>
      <w:tblGrid>
        <w:gridCol w:w="1400"/>
        <w:gridCol w:w="3100"/>
        <w:gridCol w:w="4860"/>
      </w:tblGrid>
      <w:tr>
        <w:trPr>
          <w:tblHeader w:val="true"/>
        </w:trPr>
        <w:tc>
          <w:tcPr>
            <w:tcW w:type="dxa" w:w="1400"/>
            <w:vAlign w:val="center"/>
            <w:tcMar>
              <w:top w:w="80" w:type="dxa"/>
              <w:start w:w="120" w:type="dxa"/>
              <w:bottom w:w="80" w:type="dxa"/>
              <w:end w:w="120" w:type="dxa"/>
            </w:tcMar>
            <w:shd w:fill="E8EEF5"/>
          </w:tcPr>
          <w:p>
            <w:pPr>
              <w:jc w:val="center"/>
            </w:pPr>
            <w:r>
              <w:rPr>
                <w:rFonts w:ascii="Calibri" w:hAnsi="Calibri"/>
                <w:b/>
                <w:color w:val="0B2545"/>
                <w:sz w:val="19"/>
              </w:rPr>
              <w:t>Funnel</w:t>
            </w:r>
          </w:p>
        </w:tc>
        <w:tc>
          <w:tcPr>
            <w:tcW w:type="dxa" w:w="3100"/>
            <w:vAlign w:val="center"/>
            <w:tcMar>
              <w:top w:w="80" w:type="dxa"/>
              <w:start w:w="120" w:type="dxa"/>
              <w:bottom w:w="80" w:type="dxa"/>
              <w:end w:w="120" w:type="dxa"/>
            </w:tcMar>
            <w:shd w:fill="E8EEF5"/>
          </w:tcPr>
          <w:p>
            <w:pPr>
              <w:jc w:val="center"/>
            </w:pPr>
            <w:r>
              <w:rPr>
                <w:rFonts w:ascii="Calibri" w:hAnsi="Calibri"/>
                <w:b/>
                <w:color w:val="0B2545"/>
                <w:sz w:val="19"/>
              </w:rPr>
              <w:t>Metric</w:t>
            </w:r>
          </w:p>
        </w:tc>
        <w:tc>
          <w:tcPr>
            <w:tcW w:type="dxa" w:w="4860"/>
            <w:vAlign w:val="center"/>
            <w:tcMar>
              <w:top w:w="80" w:type="dxa"/>
              <w:start w:w="120" w:type="dxa"/>
              <w:bottom w:w="80" w:type="dxa"/>
              <w:end w:w="120" w:type="dxa"/>
            </w:tcMar>
            <w:shd w:fill="E8EEF5"/>
          </w:tcPr>
          <w:p>
            <w:pPr>
              <w:jc w:val="left"/>
            </w:pPr>
            <w:r>
              <w:rPr>
                <w:rFonts w:ascii="Calibri" w:hAnsi="Calibri"/>
                <w:b/>
                <w:color w:val="0B2545"/>
                <w:sz w:val="19"/>
              </w:rPr>
              <w:t>Healthy question</w:t>
            </w:r>
          </w:p>
        </w:tc>
      </w:tr>
      <w:tr>
        <w:tc>
          <w:tcPr>
            <w:tcW w:type="dxa" w:w="1400"/>
            <w:vAlign w:val="center"/>
            <w:tcMar>
              <w:top w:w="80" w:type="dxa"/>
              <w:start w:w="120" w:type="dxa"/>
              <w:bottom w:w="80" w:type="dxa"/>
              <w:end w:w="120" w:type="dxa"/>
            </w:tcMar>
          </w:tcPr>
          <w:p>
            <w:pPr>
              <w:spacing w:after="0"/>
              <w:jc w:val="center"/>
            </w:pPr>
            <w:r>
              <w:rPr>
                <w:rFonts w:ascii="Calibri" w:hAnsi="Calibri"/>
                <w:color w:val="0B2545"/>
                <w:sz w:val="19"/>
              </w:rPr>
              <w:t>Acquire</w:t>
            </w:r>
          </w:p>
        </w:tc>
        <w:tc>
          <w:tcPr>
            <w:tcW w:type="dxa" w:w="3100"/>
            <w:vAlign w:val="center"/>
            <w:tcMar>
              <w:top w:w="80" w:type="dxa"/>
              <w:start w:w="120" w:type="dxa"/>
              <w:bottom w:w="80" w:type="dxa"/>
              <w:end w:w="120" w:type="dxa"/>
            </w:tcMar>
          </w:tcPr>
          <w:p>
            <w:pPr>
              <w:spacing w:after="0"/>
              <w:jc w:val="left"/>
            </w:pPr>
            <w:r>
              <w:rPr>
                <w:rFonts w:ascii="Calibri" w:hAnsi="Calibri"/>
                <w:color w:val="0B2545"/>
                <w:sz w:val="19"/>
              </w:rPr>
              <w:t>Qualified visitor to registration</w:t>
            </w:r>
          </w:p>
        </w:tc>
        <w:tc>
          <w:tcPr>
            <w:tcW w:type="dxa" w:w="4860"/>
            <w:vAlign w:val="center"/>
            <w:tcMar>
              <w:top w:w="80" w:type="dxa"/>
              <w:start w:w="120" w:type="dxa"/>
              <w:bottom w:w="80" w:type="dxa"/>
              <w:end w:w="120" w:type="dxa"/>
            </w:tcMar>
          </w:tcPr>
          <w:p>
            <w:pPr>
              <w:spacing w:after="0"/>
              <w:jc w:val="left"/>
            </w:pPr>
            <w:r>
              <w:rPr>
                <w:rFonts w:ascii="Calibri" w:hAnsi="Calibri"/>
                <w:color w:val="0B2545"/>
                <w:sz w:val="19"/>
              </w:rPr>
              <w:t>Does the public description attract the intended learner?</w:t>
            </w:r>
          </w:p>
        </w:tc>
      </w:tr>
      <w:tr>
        <w:tc>
          <w:tcPr>
            <w:tcW w:type="dxa" w:w="1400"/>
            <w:vAlign w:val="center"/>
            <w:tcMar>
              <w:top w:w="80" w:type="dxa"/>
              <w:start w:w="120" w:type="dxa"/>
              <w:bottom w:w="80" w:type="dxa"/>
              <w:end w:w="120" w:type="dxa"/>
            </w:tcMar>
          </w:tcPr>
          <w:p>
            <w:pPr>
              <w:spacing w:after="0"/>
              <w:jc w:val="center"/>
            </w:pPr>
            <w:r>
              <w:rPr>
                <w:rFonts w:ascii="Calibri" w:hAnsi="Calibri"/>
                <w:color w:val="0B2545"/>
                <w:sz w:val="19"/>
              </w:rPr>
              <w:t>Activate</w:t>
            </w:r>
          </w:p>
        </w:tc>
        <w:tc>
          <w:tcPr>
            <w:tcW w:type="dxa" w:w="3100"/>
            <w:vAlign w:val="center"/>
            <w:tcMar>
              <w:top w:w="80" w:type="dxa"/>
              <w:start w:w="120" w:type="dxa"/>
              <w:bottom w:w="80" w:type="dxa"/>
              <w:end w:w="120" w:type="dxa"/>
            </w:tcMar>
          </w:tcPr>
          <w:p>
            <w:pPr>
              <w:spacing w:after="0"/>
              <w:jc w:val="left"/>
            </w:pPr>
            <w:r>
              <w:rPr>
                <w:rFonts w:ascii="Calibri" w:hAnsi="Calibri"/>
                <w:color w:val="0B2545"/>
                <w:sz w:val="19"/>
              </w:rPr>
              <w:t>First guided step and evidence note within 24 hours</w:t>
            </w:r>
          </w:p>
        </w:tc>
        <w:tc>
          <w:tcPr>
            <w:tcW w:type="dxa" w:w="4860"/>
            <w:vAlign w:val="center"/>
            <w:tcMar>
              <w:top w:w="80" w:type="dxa"/>
              <w:start w:w="120" w:type="dxa"/>
              <w:bottom w:w="80" w:type="dxa"/>
              <w:end w:w="120" w:type="dxa"/>
            </w:tcMar>
          </w:tcPr>
          <w:p>
            <w:pPr>
              <w:spacing w:after="0"/>
              <w:jc w:val="left"/>
            </w:pPr>
            <w:r>
              <w:rPr>
                <w:rFonts w:ascii="Calibri" w:hAnsi="Calibri"/>
                <w:color w:val="0B2545"/>
                <w:sz w:val="19"/>
              </w:rPr>
              <w:t>Does onboarding produce an early success?</w:t>
            </w:r>
          </w:p>
        </w:tc>
      </w:tr>
      <w:tr>
        <w:tc>
          <w:tcPr>
            <w:tcW w:type="dxa" w:w="1400"/>
            <w:vAlign w:val="center"/>
            <w:tcMar>
              <w:top w:w="80" w:type="dxa"/>
              <w:start w:w="120" w:type="dxa"/>
              <w:bottom w:w="80" w:type="dxa"/>
              <w:end w:w="120" w:type="dxa"/>
            </w:tcMar>
          </w:tcPr>
          <w:p>
            <w:pPr>
              <w:spacing w:after="0"/>
              <w:jc w:val="center"/>
            </w:pPr>
            <w:r>
              <w:rPr>
                <w:rFonts w:ascii="Calibri" w:hAnsi="Calibri"/>
                <w:color w:val="0B2545"/>
                <w:sz w:val="19"/>
              </w:rPr>
              <w:t>Learn</w:t>
            </w:r>
          </w:p>
        </w:tc>
        <w:tc>
          <w:tcPr>
            <w:tcW w:type="dxa" w:w="3100"/>
            <w:vAlign w:val="center"/>
            <w:tcMar>
              <w:top w:w="80" w:type="dxa"/>
              <w:start w:w="120" w:type="dxa"/>
              <w:bottom w:w="80" w:type="dxa"/>
              <w:end w:w="120" w:type="dxa"/>
            </w:tcMar>
          </w:tcPr>
          <w:p>
            <w:pPr>
              <w:spacing w:after="0"/>
              <w:jc w:val="left"/>
            </w:pPr>
            <w:r>
              <w:rPr>
                <w:rFonts w:ascii="Calibri" w:hAnsi="Calibri"/>
                <w:color w:val="0B2545"/>
                <w:sz w:val="19"/>
              </w:rPr>
              <w:t>Guided, diagnostic, evidence, and capstone completion</w:t>
            </w:r>
          </w:p>
        </w:tc>
        <w:tc>
          <w:tcPr>
            <w:tcW w:type="dxa" w:w="4860"/>
            <w:vAlign w:val="center"/>
            <w:tcMar>
              <w:top w:w="80" w:type="dxa"/>
              <w:start w:w="120" w:type="dxa"/>
              <w:bottom w:w="80" w:type="dxa"/>
              <w:end w:w="120" w:type="dxa"/>
            </w:tcMar>
          </w:tcPr>
          <w:p>
            <w:pPr>
              <w:spacing w:after="0"/>
              <w:jc w:val="left"/>
            </w:pPr>
            <w:r>
              <w:rPr>
                <w:rFonts w:ascii="Calibri" w:hAnsi="Calibri"/>
                <w:color w:val="0B2545"/>
                <w:sz w:val="19"/>
              </w:rPr>
              <w:t>Are users developing demonstrable capability?</w:t>
            </w:r>
          </w:p>
        </w:tc>
      </w:tr>
      <w:tr>
        <w:tc>
          <w:tcPr>
            <w:tcW w:type="dxa" w:w="1400"/>
            <w:vAlign w:val="center"/>
            <w:tcMar>
              <w:top w:w="80" w:type="dxa"/>
              <w:start w:w="120" w:type="dxa"/>
              <w:bottom w:w="80" w:type="dxa"/>
              <w:end w:w="120" w:type="dxa"/>
            </w:tcMar>
          </w:tcPr>
          <w:p>
            <w:pPr>
              <w:spacing w:after="0"/>
              <w:jc w:val="center"/>
            </w:pPr>
            <w:r>
              <w:rPr>
                <w:rFonts w:ascii="Calibri" w:hAnsi="Calibri"/>
                <w:color w:val="0B2545"/>
                <w:sz w:val="19"/>
              </w:rPr>
              <w:t>Retain</w:t>
            </w:r>
          </w:p>
        </w:tc>
        <w:tc>
          <w:tcPr>
            <w:tcW w:type="dxa" w:w="3100"/>
            <w:vAlign w:val="center"/>
            <w:tcMar>
              <w:top w:w="80" w:type="dxa"/>
              <w:start w:w="120" w:type="dxa"/>
              <w:bottom w:w="80" w:type="dxa"/>
              <w:end w:w="120" w:type="dxa"/>
            </w:tcMar>
          </w:tcPr>
          <w:p>
            <w:pPr>
              <w:spacing w:after="0"/>
              <w:jc w:val="left"/>
            </w:pPr>
            <w:r>
              <w:rPr>
                <w:rFonts w:ascii="Calibri" w:hAnsi="Calibri"/>
                <w:color w:val="0B2545"/>
                <w:sz w:val="19"/>
              </w:rPr>
              <w:t>Weekly active learners and pathway continuation</w:t>
            </w:r>
          </w:p>
        </w:tc>
        <w:tc>
          <w:tcPr>
            <w:tcW w:type="dxa" w:w="4860"/>
            <w:vAlign w:val="center"/>
            <w:tcMar>
              <w:top w:w="80" w:type="dxa"/>
              <w:start w:w="120" w:type="dxa"/>
              <w:bottom w:w="80" w:type="dxa"/>
              <w:end w:w="120" w:type="dxa"/>
            </w:tcMar>
          </w:tcPr>
          <w:p>
            <w:pPr>
              <w:spacing w:after="0"/>
              <w:jc w:val="left"/>
            </w:pPr>
            <w:r>
              <w:rPr>
                <w:rFonts w:ascii="Calibri" w:hAnsi="Calibri"/>
                <w:color w:val="0B2545"/>
                <w:sz w:val="19"/>
              </w:rPr>
              <w:t>Do users return for a meaningful next action?</w:t>
            </w:r>
          </w:p>
        </w:tc>
      </w:tr>
      <w:tr>
        <w:tc>
          <w:tcPr>
            <w:tcW w:type="dxa" w:w="1400"/>
            <w:vAlign w:val="center"/>
            <w:tcMar>
              <w:top w:w="80" w:type="dxa"/>
              <w:start w:w="120" w:type="dxa"/>
              <w:bottom w:w="80" w:type="dxa"/>
              <w:end w:w="120" w:type="dxa"/>
            </w:tcMar>
          </w:tcPr>
          <w:p>
            <w:pPr>
              <w:spacing w:after="0"/>
              <w:jc w:val="center"/>
            </w:pPr>
            <w:r>
              <w:rPr>
                <w:rFonts w:ascii="Calibri" w:hAnsi="Calibri"/>
                <w:color w:val="0B2545"/>
                <w:sz w:val="19"/>
              </w:rPr>
              <w:t>Convert</w:t>
            </w:r>
          </w:p>
        </w:tc>
        <w:tc>
          <w:tcPr>
            <w:tcW w:type="dxa" w:w="3100"/>
            <w:vAlign w:val="center"/>
            <w:tcMar>
              <w:top w:w="80" w:type="dxa"/>
              <w:start w:w="120" w:type="dxa"/>
              <w:bottom w:w="80" w:type="dxa"/>
              <w:end w:w="120" w:type="dxa"/>
            </w:tcMar>
          </w:tcPr>
          <w:p>
            <w:pPr>
              <w:spacing w:after="0"/>
              <w:jc w:val="left"/>
            </w:pPr>
            <w:r>
              <w:rPr>
                <w:rFonts w:ascii="Calibri" w:hAnsi="Calibri"/>
                <w:color w:val="0B2545"/>
                <w:sz w:val="19"/>
              </w:rPr>
              <w:t>Free-to-paid and trial-to-paid</w:t>
            </w:r>
          </w:p>
        </w:tc>
        <w:tc>
          <w:tcPr>
            <w:tcW w:type="dxa" w:w="4860"/>
            <w:vAlign w:val="center"/>
            <w:tcMar>
              <w:top w:w="80" w:type="dxa"/>
              <w:start w:w="120" w:type="dxa"/>
              <w:bottom w:w="80" w:type="dxa"/>
              <w:end w:w="120" w:type="dxa"/>
            </w:tcMar>
          </w:tcPr>
          <w:p>
            <w:pPr>
              <w:spacing w:after="0"/>
              <w:jc w:val="left"/>
            </w:pPr>
            <w:r>
              <w:rPr>
                <w:rFonts w:ascii="Calibri" w:hAnsi="Calibri"/>
                <w:color w:val="0B2545"/>
                <w:sz w:val="19"/>
              </w:rPr>
              <w:t>Is the paid promise clear and valuable?</w:t>
            </w:r>
          </w:p>
        </w:tc>
      </w:tr>
      <w:tr>
        <w:tc>
          <w:tcPr>
            <w:tcW w:type="dxa" w:w="1400"/>
            <w:vAlign w:val="center"/>
            <w:tcMar>
              <w:top w:w="80" w:type="dxa"/>
              <w:start w:w="120" w:type="dxa"/>
              <w:bottom w:w="80" w:type="dxa"/>
              <w:end w:w="120" w:type="dxa"/>
            </w:tcMar>
          </w:tcPr>
          <w:p>
            <w:pPr>
              <w:spacing w:after="0"/>
              <w:jc w:val="center"/>
            </w:pPr>
            <w:r>
              <w:rPr>
                <w:rFonts w:ascii="Calibri" w:hAnsi="Calibri"/>
                <w:color w:val="0B2545"/>
                <w:sz w:val="19"/>
              </w:rPr>
              <w:t>Sustain</w:t>
            </w:r>
          </w:p>
        </w:tc>
        <w:tc>
          <w:tcPr>
            <w:tcW w:type="dxa" w:w="3100"/>
            <w:vAlign w:val="center"/>
            <w:tcMar>
              <w:top w:w="80" w:type="dxa"/>
              <w:start w:w="120" w:type="dxa"/>
              <w:bottom w:w="80" w:type="dxa"/>
              <w:end w:w="120" w:type="dxa"/>
            </w:tcMar>
          </w:tcPr>
          <w:p>
            <w:pPr>
              <w:spacing w:after="0"/>
              <w:jc w:val="left"/>
            </w:pPr>
            <w:r>
              <w:rPr>
                <w:rFonts w:ascii="Calibri" w:hAnsi="Calibri"/>
                <w:color w:val="0B2545"/>
                <w:sz w:val="19"/>
              </w:rPr>
              <w:t>Revenue, refunds, chargebacks, gross margin, support cost</w:t>
            </w:r>
          </w:p>
        </w:tc>
        <w:tc>
          <w:tcPr>
            <w:tcW w:type="dxa" w:w="4860"/>
            <w:vAlign w:val="center"/>
            <w:tcMar>
              <w:top w:w="80" w:type="dxa"/>
              <w:start w:w="120" w:type="dxa"/>
              <w:bottom w:w="80" w:type="dxa"/>
              <w:end w:w="120" w:type="dxa"/>
            </w:tcMar>
          </w:tcPr>
          <w:p>
            <w:pPr>
              <w:spacing w:after="0"/>
              <w:jc w:val="left"/>
            </w:pPr>
            <w:r>
              <w:rPr>
                <w:rFonts w:ascii="Calibri" w:hAnsi="Calibri"/>
                <w:color w:val="0B2545"/>
                <w:sz w:val="19"/>
              </w:rPr>
              <w:t>Is growth operationally and financially healthy?</w:t>
            </w:r>
          </w:p>
        </w:tc>
      </w:tr>
      <w:tr>
        <w:tc>
          <w:tcPr>
            <w:tcW w:type="dxa" w:w="1400"/>
            <w:vAlign w:val="center"/>
            <w:tcMar>
              <w:top w:w="80" w:type="dxa"/>
              <w:start w:w="120" w:type="dxa"/>
              <w:bottom w:w="80" w:type="dxa"/>
              <w:end w:w="120" w:type="dxa"/>
            </w:tcMar>
          </w:tcPr>
          <w:p>
            <w:pPr>
              <w:spacing w:after="0"/>
              <w:jc w:val="center"/>
            </w:pPr>
            <w:r>
              <w:rPr>
                <w:rFonts w:ascii="Calibri" w:hAnsi="Calibri"/>
                <w:color w:val="0B2545"/>
                <w:sz w:val="19"/>
              </w:rPr>
              <w:t>Trust</w:t>
            </w:r>
          </w:p>
        </w:tc>
        <w:tc>
          <w:tcPr>
            <w:tcW w:type="dxa" w:w="3100"/>
            <w:vAlign w:val="center"/>
            <w:tcMar>
              <w:top w:w="80" w:type="dxa"/>
              <w:start w:w="120" w:type="dxa"/>
              <w:bottom w:w="80" w:type="dxa"/>
              <w:end w:w="120" w:type="dxa"/>
            </w:tcMar>
          </w:tcPr>
          <w:p>
            <w:pPr>
              <w:spacing w:after="0"/>
              <w:jc w:val="left"/>
            </w:pPr>
            <w:r>
              <w:rPr>
                <w:rFonts w:ascii="Calibri" w:hAnsi="Calibri"/>
                <w:color w:val="0B2545"/>
                <w:sz w:val="19"/>
              </w:rPr>
              <w:t>Incidents, complaints, accessibility issues, mentor reports</w:t>
            </w:r>
          </w:p>
        </w:tc>
        <w:tc>
          <w:tcPr>
            <w:tcW w:type="dxa" w:w="4860"/>
            <w:vAlign w:val="center"/>
            <w:tcMar>
              <w:top w:w="80" w:type="dxa"/>
              <w:start w:w="120" w:type="dxa"/>
              <w:bottom w:w="80" w:type="dxa"/>
              <w:end w:w="120" w:type="dxa"/>
            </w:tcMar>
          </w:tcPr>
          <w:p>
            <w:pPr>
              <w:spacing w:after="0"/>
              <w:jc w:val="left"/>
            </w:pPr>
            <w:r>
              <w:rPr>
                <w:rFonts w:ascii="Calibri" w:hAnsi="Calibri"/>
                <w:color w:val="0B2545"/>
                <w:sz w:val="19"/>
              </w:rPr>
              <w:t>Is the service becoming safer as it grows?</w:t>
            </w:r>
          </w:p>
        </w:tc>
      </w:tr>
    </w:tbl>
    <w:p>
      <w:pPr>
        <w:spacing w:after="20"/>
      </w:pPr>
    </w:p>
    <w:p>
      <w:r>
        <w:br w:type="page"/>
      </w:r>
    </w:p>
    <w:p>
      <w:pPr>
        <w:pStyle w:val="Heading1"/>
      </w:pPr>
      <w:r>
        <w:t>11. Public launch operations</w:t>
      </w:r>
    </w:p>
    <w:p>
      <w:pPr>
        <w:spacing w:after="200"/>
      </w:pPr>
      <w:r>
        <w:rPr>
          <w:rFonts w:ascii="Calibri" w:hAnsi="Calibri"/>
          <w:i/>
          <w:color w:val="1F4D78"/>
          <w:sz w:val="23"/>
        </w:rPr>
        <w:t>A public launch is an operating capability, not simply changing a Vercel setting.</w:t>
      </w:r>
    </w:p>
    <w:p>
      <w:pPr>
        <w:pStyle w:val="Heading2"/>
      </w:pPr>
      <w:r>
        <w:t>Domain, email, and public identity</w:t>
      </w:r>
    </w:p>
    <w:p>
      <w:pPr>
        <w:pStyle w:val="ListBullet"/>
      </w:pPr>
      <w:r>
        <w:t>Clear the brand name before buying or promoting a custom domain.</w:t>
      </w:r>
    </w:p>
    <w:p>
      <w:pPr>
        <w:pStyle w:val="ListBullet"/>
      </w:pPr>
      <w:r>
        <w:t>Connect the custom domain to Vercel, enforce HTTPS, and redirect alternate hostnames consistently.</w:t>
      </w:r>
    </w:p>
    <w:p>
      <w:pPr>
        <w:pStyle w:val="ListBullet"/>
      </w:pPr>
      <w:r>
        <w:t>Create support@, privacy@, security@, and billing@ addresses with named owners and backup access.</w:t>
      </w:r>
    </w:p>
    <w:p>
      <w:pPr>
        <w:pStyle w:val="ListBullet"/>
      </w:pPr>
      <w:r>
        <w:t>Configure SPF, DKIM, and DMARC for transactional and marketing mail; separate marketing where useful.</w:t>
      </w:r>
    </w:p>
    <w:p>
      <w:pPr>
        <w:pStyle w:val="ListBullet"/>
      </w:pPr>
      <w:r>
        <w:t>Publish legal entity/business details, support hours, response targets, and a status page or incident banner process.</w:t>
      </w:r>
    </w:p>
    <w:p>
      <w:pPr>
        <w:pStyle w:val="Heading2"/>
      </w:pPr>
      <w:r>
        <w:t>SEO and public content</w:t>
      </w:r>
    </w:p>
    <w:p>
      <w:pPr>
        <w:pStyle w:val="ListBullet"/>
      </w:pPr>
      <w:r>
        <w:t>Add unique page titles, descriptions, canonical URL, robots rules, sitemap, social preview, favicon, and structured data where accurate.</w:t>
      </w:r>
    </w:p>
    <w:p>
      <w:pPr>
        <w:pStyle w:val="ListBullet"/>
      </w:pPr>
      <w:r>
        <w:t>Keep authenticated learner/admin data out of search indexes and public metadata.</w:t>
      </w:r>
    </w:p>
    <w:p>
      <w:pPr>
        <w:pStyle w:val="ListBullet"/>
      </w:pPr>
      <w:r>
        <w:t>Publish an honest landing page explaining audience, learning outcomes, product limitations, price, and sample workflow.</w:t>
      </w:r>
    </w:p>
    <w:p>
      <w:pPr>
        <w:pStyle w:val="ListBullet"/>
      </w:pPr>
      <w:r>
        <w:t>Create support articles using the companion User Manual and link to them from the relevant app areas.</w:t>
      </w:r>
    </w:p>
    <w:p>
      <w:pPr>
        <w:pStyle w:val="ListBullet"/>
      </w:pPr>
      <w:r>
        <w:t>Review every testimonial, outcome, comparison, and urgency claim for evidence and consumer-law fairness.</w:t>
      </w:r>
    </w:p>
    <w:p>
      <w:pPr>
        <w:pStyle w:val="Heading2"/>
      </w:pPr>
      <w:r>
        <w:t>Support and incident response</w:t>
      </w:r>
    </w:p>
    <w:p>
      <w:pPr>
        <w:pStyle w:val="ListNumber"/>
      </w:pPr>
      <w:r>
        <w:t>Create categories: account/access, progress/data, billing/refund, content accuracy, privacy rights, security, accessibility, and abuse.</w:t>
      </w:r>
    </w:p>
    <w:p>
      <w:pPr>
        <w:pStyle w:val="ListNumber"/>
      </w:pPr>
      <w:r>
        <w:t>Set severity and response targets; privacy/security incidents bypass the ordinary queue.</w:t>
      </w:r>
    </w:p>
    <w:p>
      <w:pPr>
        <w:pStyle w:val="ListNumber"/>
      </w:pPr>
      <w:r>
        <w:t>Train support not to request passwords, reset tokens, full card data, or unnecessary identity documents.</w:t>
      </w:r>
    </w:p>
    <w:p>
      <w:pPr>
        <w:pStyle w:val="ListNumber"/>
      </w:pPr>
      <w:r>
        <w:t>Provide identity-verification steps for sensitive account requests.</w:t>
      </w:r>
    </w:p>
    <w:p>
      <w:pPr>
        <w:pStyle w:val="ListNumber"/>
      </w:pPr>
      <w:r>
        <w:t>Maintain incident roles, communication templates, evidence preservation, containment, recovery, post-incident review, and regulator/customer notification decisions.</w:t>
      </w:r>
    </w:p>
    <w:p>
      <w:r>
        <w:br w:type="page"/>
      </w:r>
    </w:p>
    <w:p>
      <w:pPr>
        <w:pStyle w:val="Heading1"/>
      </w:pPr>
      <w:r>
        <w:t>12. Testing and launch acceptance</w:t>
      </w:r>
    </w:p>
    <w:p>
      <w:pPr>
        <w:spacing w:after="200"/>
      </w:pPr>
      <w:r>
        <w:rPr>
          <w:rFonts w:ascii="Calibri" w:hAnsi="Calibri"/>
          <w:i/>
          <w:color w:val="1F4D78"/>
          <w:sz w:val="23"/>
        </w:rPr>
        <w:t>Launch only when a named owner signs the evidence for each critical journey.</w:t>
      </w:r>
    </w:p>
    <w:tbl>
      <w:tblPr>
        <w:tblStyle w:val="TableGrid"/>
        <w:tblW w:type="dxa" w:w="9360"/>
        <w:tblLayout w:type="fixed"/>
        <w:tblLook w:firstColumn="1" w:firstRow="1" w:lastColumn="0" w:lastRow="0" w:noHBand="0" w:noVBand="1" w:val="04A0"/>
        <w:jc w:val="left"/>
        <w:tblInd w:w="120" w:type="dxa"/>
      </w:tblPr>
      <w:tblGrid>
        <w:gridCol w:w="2000"/>
        <w:gridCol w:w="7360"/>
      </w:tblGrid>
      <w:tr>
        <w:trPr>
          <w:tblHeader w:val="true"/>
        </w:trPr>
        <w:tc>
          <w:tcPr>
            <w:tcW w:type="dxa" w:w="2000"/>
            <w:vAlign w:val="center"/>
            <w:tcMar>
              <w:top w:w="80" w:type="dxa"/>
              <w:start w:w="120" w:type="dxa"/>
              <w:bottom w:w="80" w:type="dxa"/>
              <w:end w:w="120" w:type="dxa"/>
            </w:tcMar>
            <w:shd w:fill="E8EEF5"/>
          </w:tcPr>
          <w:p>
            <w:pPr>
              <w:jc w:val="center"/>
            </w:pPr>
            <w:r>
              <w:rPr>
                <w:rFonts w:ascii="Calibri" w:hAnsi="Calibri"/>
                <w:b/>
                <w:color w:val="0B2545"/>
                <w:sz w:val="19"/>
              </w:rPr>
              <w:t>Test suite</w:t>
            </w:r>
          </w:p>
        </w:tc>
        <w:tc>
          <w:tcPr>
            <w:tcW w:type="dxa" w:w="7360"/>
            <w:vAlign w:val="center"/>
            <w:tcMar>
              <w:top w:w="80" w:type="dxa"/>
              <w:start w:w="120" w:type="dxa"/>
              <w:bottom w:w="80" w:type="dxa"/>
              <w:end w:w="120" w:type="dxa"/>
            </w:tcMar>
            <w:shd w:fill="E8EEF5"/>
          </w:tcPr>
          <w:p>
            <w:pPr>
              <w:jc w:val="left"/>
            </w:pPr>
            <w:r>
              <w:rPr>
                <w:rFonts w:ascii="Calibri" w:hAnsi="Calibri"/>
                <w:b/>
                <w:color w:val="0B2545"/>
                <w:sz w:val="19"/>
              </w:rPr>
              <w:t>Minimum launch journeys</w:t>
            </w:r>
          </w:p>
        </w:tc>
      </w:tr>
      <w:tr>
        <w:tc>
          <w:tcPr>
            <w:tcW w:type="dxa" w:w="2000"/>
            <w:vAlign w:val="center"/>
            <w:tcMar>
              <w:top w:w="80" w:type="dxa"/>
              <w:start w:w="120" w:type="dxa"/>
              <w:bottom w:w="80" w:type="dxa"/>
              <w:end w:w="120" w:type="dxa"/>
            </w:tcMar>
          </w:tcPr>
          <w:p>
            <w:pPr>
              <w:spacing w:after="0"/>
              <w:jc w:val="center"/>
            </w:pPr>
            <w:r>
              <w:rPr>
                <w:rFonts w:ascii="Calibri" w:hAnsi="Calibri"/>
                <w:color w:val="0B2545"/>
                <w:sz w:val="19"/>
              </w:rPr>
              <w:t>Functional</w:t>
            </w:r>
          </w:p>
        </w:tc>
        <w:tc>
          <w:tcPr>
            <w:tcW w:type="dxa" w:w="7360"/>
            <w:vAlign w:val="center"/>
            <w:tcMar>
              <w:top w:w="80" w:type="dxa"/>
              <w:start w:w="120" w:type="dxa"/>
              <w:bottom w:w="80" w:type="dxa"/>
              <w:end w:w="120" w:type="dxa"/>
            </w:tcMar>
          </w:tcPr>
          <w:p>
            <w:pPr>
              <w:spacing w:after="0"/>
              <w:jc w:val="left"/>
            </w:pPr>
            <w:r>
              <w:rPr>
                <w:rFonts w:ascii="Calibri" w:hAnsi="Calibri"/>
                <w:color w:val="0B2545"/>
                <w:sz w:val="19"/>
              </w:rPr>
              <w:t>Register; sign in/out; recover; suspend/reactivate; learn; evidence; diagnostic; capstone; simulation; approval; export; admin decision</w:t>
            </w:r>
          </w:p>
        </w:tc>
      </w:tr>
      <w:tr>
        <w:tc>
          <w:tcPr>
            <w:tcW w:type="dxa" w:w="2000"/>
            <w:vAlign w:val="center"/>
            <w:tcMar>
              <w:top w:w="80" w:type="dxa"/>
              <w:start w:w="120" w:type="dxa"/>
              <w:bottom w:w="80" w:type="dxa"/>
              <w:end w:w="120" w:type="dxa"/>
            </w:tcMar>
          </w:tcPr>
          <w:p>
            <w:pPr>
              <w:spacing w:after="0"/>
              <w:jc w:val="center"/>
            </w:pPr>
            <w:r>
              <w:rPr>
                <w:rFonts w:ascii="Calibri" w:hAnsi="Calibri"/>
                <w:color w:val="0B2545"/>
                <w:sz w:val="19"/>
              </w:rPr>
              <w:t>Persistence</w:t>
            </w:r>
          </w:p>
        </w:tc>
        <w:tc>
          <w:tcPr>
            <w:tcW w:type="dxa" w:w="7360"/>
            <w:vAlign w:val="center"/>
            <w:tcMar>
              <w:top w:w="80" w:type="dxa"/>
              <w:start w:w="120" w:type="dxa"/>
              <w:bottom w:w="80" w:type="dxa"/>
              <w:end w:w="120" w:type="dxa"/>
            </w:tcMar>
          </w:tcPr>
          <w:p>
            <w:pPr>
              <w:spacing w:after="0"/>
              <w:jc w:val="left"/>
            </w:pPr>
            <w:r>
              <w:rPr>
                <w:rFonts w:ascii="Calibri" w:hAnsi="Calibri"/>
                <w:color w:val="0B2545"/>
                <w:sz w:val="19"/>
              </w:rPr>
              <w:t>Create data, restart/redeploy, verify all records, concurrent writes, backup and restore</w:t>
            </w:r>
          </w:p>
        </w:tc>
      </w:tr>
      <w:tr>
        <w:tc>
          <w:tcPr>
            <w:tcW w:type="dxa" w:w="2000"/>
            <w:vAlign w:val="center"/>
            <w:tcMar>
              <w:top w:w="80" w:type="dxa"/>
              <w:start w:w="120" w:type="dxa"/>
              <w:bottom w:w="80" w:type="dxa"/>
              <w:end w:w="120" w:type="dxa"/>
            </w:tcMar>
          </w:tcPr>
          <w:p>
            <w:pPr>
              <w:spacing w:after="0"/>
              <w:jc w:val="center"/>
            </w:pPr>
            <w:r>
              <w:rPr>
                <w:rFonts w:ascii="Calibri" w:hAnsi="Calibri"/>
                <w:color w:val="0B2545"/>
                <w:sz w:val="19"/>
              </w:rPr>
              <w:t>Security</w:t>
            </w:r>
          </w:p>
        </w:tc>
        <w:tc>
          <w:tcPr>
            <w:tcW w:type="dxa" w:w="7360"/>
            <w:vAlign w:val="center"/>
            <w:tcMar>
              <w:top w:w="80" w:type="dxa"/>
              <w:start w:w="120" w:type="dxa"/>
              <w:bottom w:w="80" w:type="dxa"/>
              <w:end w:w="120" w:type="dxa"/>
            </w:tcMar>
          </w:tcPr>
          <w:p>
            <w:pPr>
              <w:spacing w:after="0"/>
              <w:jc w:val="left"/>
            </w:pPr>
            <w:r>
              <w:rPr>
                <w:rFonts w:ascii="Calibri" w:hAnsi="Calibri"/>
                <w:color w:val="0B2545"/>
                <w:sz w:val="19"/>
              </w:rPr>
              <w:t>Authorisation, IDOR, CSRF, XSS, rate limits, session invalidation, secret/log review, dependency scan</w:t>
            </w:r>
          </w:p>
        </w:tc>
      </w:tr>
      <w:tr>
        <w:tc>
          <w:tcPr>
            <w:tcW w:type="dxa" w:w="2000"/>
            <w:vAlign w:val="center"/>
            <w:tcMar>
              <w:top w:w="80" w:type="dxa"/>
              <w:start w:w="120" w:type="dxa"/>
              <w:bottom w:w="80" w:type="dxa"/>
              <w:end w:w="120" w:type="dxa"/>
            </w:tcMar>
          </w:tcPr>
          <w:p>
            <w:pPr>
              <w:spacing w:after="0"/>
              <w:jc w:val="center"/>
            </w:pPr>
            <w:r>
              <w:rPr>
                <w:rFonts w:ascii="Calibri" w:hAnsi="Calibri"/>
                <w:color w:val="0B2545"/>
                <w:sz w:val="19"/>
              </w:rPr>
              <w:t>Privacy</w:t>
            </w:r>
          </w:p>
        </w:tc>
        <w:tc>
          <w:tcPr>
            <w:tcW w:type="dxa" w:w="7360"/>
            <w:vAlign w:val="center"/>
            <w:tcMar>
              <w:top w:w="80" w:type="dxa"/>
              <w:start w:w="120" w:type="dxa"/>
              <w:bottom w:w="80" w:type="dxa"/>
              <w:end w:w="120" w:type="dxa"/>
            </w:tcMar>
          </w:tcPr>
          <w:p>
            <w:pPr>
              <w:spacing w:after="0"/>
              <w:jc w:val="left"/>
            </w:pPr>
            <w:r>
              <w:rPr>
                <w:rFonts w:ascii="Calibri" w:hAnsi="Calibri"/>
                <w:color w:val="0B2545"/>
                <w:sz w:val="19"/>
              </w:rPr>
              <w:t>Data map matches product, cookie blocking, consent withdrawal, export/delete/rights procedure, processor contracts</w:t>
            </w:r>
          </w:p>
        </w:tc>
      </w:tr>
      <w:tr>
        <w:tc>
          <w:tcPr>
            <w:tcW w:type="dxa" w:w="2000"/>
            <w:vAlign w:val="center"/>
            <w:tcMar>
              <w:top w:w="80" w:type="dxa"/>
              <w:start w:w="120" w:type="dxa"/>
              <w:bottom w:w="80" w:type="dxa"/>
              <w:end w:w="120" w:type="dxa"/>
            </w:tcMar>
          </w:tcPr>
          <w:p>
            <w:pPr>
              <w:spacing w:after="0"/>
              <w:jc w:val="center"/>
            </w:pPr>
            <w:r>
              <w:rPr>
                <w:rFonts w:ascii="Calibri" w:hAnsi="Calibri"/>
                <w:color w:val="0B2545"/>
                <w:sz w:val="19"/>
              </w:rPr>
              <w:t>Accessibility</w:t>
            </w:r>
          </w:p>
        </w:tc>
        <w:tc>
          <w:tcPr>
            <w:tcW w:type="dxa" w:w="7360"/>
            <w:vAlign w:val="center"/>
            <w:tcMar>
              <w:top w:w="80" w:type="dxa"/>
              <w:start w:w="120" w:type="dxa"/>
              <w:bottom w:w="80" w:type="dxa"/>
              <w:end w:w="120" w:type="dxa"/>
            </w:tcMar>
          </w:tcPr>
          <w:p>
            <w:pPr>
              <w:spacing w:after="0"/>
              <w:jc w:val="left"/>
            </w:pPr>
            <w:r>
              <w:rPr>
                <w:rFonts w:ascii="Calibri" w:hAnsi="Calibri"/>
                <w:color w:val="0B2545"/>
                <w:sz w:val="19"/>
              </w:rPr>
              <w:t>Automated plus keyboard, screen reader, zoom/reflow, contrast, mobile</w:t>
            </w:r>
          </w:p>
        </w:tc>
      </w:tr>
      <w:tr>
        <w:tc>
          <w:tcPr>
            <w:tcW w:type="dxa" w:w="2000"/>
            <w:vAlign w:val="center"/>
            <w:tcMar>
              <w:top w:w="80" w:type="dxa"/>
              <w:start w:w="120" w:type="dxa"/>
              <w:bottom w:w="80" w:type="dxa"/>
              <w:end w:w="120" w:type="dxa"/>
            </w:tcMar>
          </w:tcPr>
          <w:p>
            <w:pPr>
              <w:spacing w:after="0"/>
              <w:jc w:val="center"/>
            </w:pPr>
            <w:r>
              <w:rPr>
                <w:rFonts w:ascii="Calibri" w:hAnsi="Calibri"/>
                <w:color w:val="0B2545"/>
                <w:sz w:val="19"/>
              </w:rPr>
              <w:t>Compatibility</w:t>
            </w:r>
          </w:p>
        </w:tc>
        <w:tc>
          <w:tcPr>
            <w:tcW w:type="dxa" w:w="7360"/>
            <w:vAlign w:val="center"/>
            <w:tcMar>
              <w:top w:w="80" w:type="dxa"/>
              <w:start w:w="120" w:type="dxa"/>
              <w:bottom w:w="80" w:type="dxa"/>
              <w:end w:w="120" w:type="dxa"/>
            </w:tcMar>
          </w:tcPr>
          <w:p>
            <w:pPr>
              <w:spacing w:after="0"/>
              <w:jc w:val="left"/>
            </w:pPr>
            <w:r>
              <w:rPr>
                <w:rFonts w:ascii="Calibri" w:hAnsi="Calibri"/>
                <w:color w:val="0B2545"/>
                <w:sz w:val="19"/>
              </w:rPr>
              <w:t>Current Chrome, Edge, Firefox, Safari; desktop/tablet/mobile; slow network</w:t>
            </w:r>
          </w:p>
        </w:tc>
      </w:tr>
      <w:tr>
        <w:tc>
          <w:tcPr>
            <w:tcW w:type="dxa" w:w="2000"/>
            <w:vAlign w:val="center"/>
            <w:tcMar>
              <w:top w:w="80" w:type="dxa"/>
              <w:start w:w="120" w:type="dxa"/>
              <w:bottom w:w="80" w:type="dxa"/>
              <w:end w:w="120" w:type="dxa"/>
            </w:tcMar>
          </w:tcPr>
          <w:p>
            <w:pPr>
              <w:spacing w:after="0"/>
              <w:jc w:val="center"/>
            </w:pPr>
            <w:r>
              <w:rPr>
                <w:rFonts w:ascii="Calibri" w:hAnsi="Calibri"/>
                <w:color w:val="0B2545"/>
                <w:sz w:val="19"/>
              </w:rPr>
              <w:t>Performance</w:t>
            </w:r>
          </w:p>
        </w:tc>
        <w:tc>
          <w:tcPr>
            <w:tcW w:type="dxa" w:w="7360"/>
            <w:vAlign w:val="center"/>
            <w:tcMar>
              <w:top w:w="80" w:type="dxa"/>
              <w:start w:w="120" w:type="dxa"/>
              <w:bottom w:w="80" w:type="dxa"/>
              <w:end w:w="120" w:type="dxa"/>
            </w:tcMar>
          </w:tcPr>
          <w:p>
            <w:pPr>
              <w:spacing w:after="0"/>
              <w:jc w:val="left"/>
            </w:pPr>
            <w:r>
              <w:rPr>
                <w:rFonts w:ascii="Calibri" w:hAnsi="Calibri"/>
                <w:color w:val="0B2545"/>
                <w:sz w:val="19"/>
              </w:rPr>
              <w:t>Public landing, sign-in, dashboard, tutor, simulation, analytics, APIs under expected beta load</w:t>
            </w:r>
          </w:p>
        </w:tc>
      </w:tr>
      <w:tr>
        <w:tc>
          <w:tcPr>
            <w:tcW w:type="dxa" w:w="2000"/>
            <w:vAlign w:val="center"/>
            <w:tcMar>
              <w:top w:w="80" w:type="dxa"/>
              <w:start w:w="120" w:type="dxa"/>
              <w:bottom w:w="80" w:type="dxa"/>
              <w:end w:w="120" w:type="dxa"/>
            </w:tcMar>
          </w:tcPr>
          <w:p>
            <w:pPr>
              <w:spacing w:after="0"/>
              <w:jc w:val="center"/>
            </w:pPr>
            <w:r>
              <w:rPr>
                <w:rFonts w:ascii="Calibri" w:hAnsi="Calibri"/>
                <w:color w:val="0B2545"/>
                <w:sz w:val="19"/>
              </w:rPr>
              <w:t>Payments</w:t>
            </w:r>
          </w:p>
        </w:tc>
        <w:tc>
          <w:tcPr>
            <w:tcW w:type="dxa" w:w="7360"/>
            <w:vAlign w:val="center"/>
            <w:tcMar>
              <w:top w:w="80" w:type="dxa"/>
              <w:start w:w="120" w:type="dxa"/>
              <w:bottom w:w="80" w:type="dxa"/>
              <w:end w:w="120" w:type="dxa"/>
            </w:tcMar>
          </w:tcPr>
          <w:p>
            <w:pPr>
              <w:spacing w:after="0"/>
              <w:jc w:val="left"/>
            </w:pPr>
            <w:r>
              <w:rPr>
                <w:rFonts w:ascii="Calibri" w:hAnsi="Calibri"/>
                <w:color w:val="0B2545"/>
                <w:sz w:val="19"/>
              </w:rPr>
              <w:t>Test checkout, signed/idempotent webhooks, trial, renewal, failed payment, cancellation, refund, invoice, entitlement</w:t>
            </w:r>
          </w:p>
        </w:tc>
      </w:tr>
      <w:tr>
        <w:tc>
          <w:tcPr>
            <w:tcW w:type="dxa" w:w="2000"/>
            <w:vAlign w:val="center"/>
            <w:tcMar>
              <w:top w:w="80" w:type="dxa"/>
              <w:start w:w="120" w:type="dxa"/>
              <w:bottom w:w="80" w:type="dxa"/>
              <w:end w:w="120" w:type="dxa"/>
            </w:tcMar>
          </w:tcPr>
          <w:p>
            <w:pPr>
              <w:spacing w:after="0"/>
              <w:jc w:val="center"/>
            </w:pPr>
            <w:r>
              <w:rPr>
                <w:rFonts w:ascii="Calibri" w:hAnsi="Calibri"/>
                <w:color w:val="0B2545"/>
                <w:sz w:val="19"/>
              </w:rPr>
              <w:t>Recovery</w:t>
            </w:r>
          </w:p>
        </w:tc>
        <w:tc>
          <w:tcPr>
            <w:tcW w:type="dxa" w:w="7360"/>
            <w:vAlign w:val="center"/>
            <w:tcMar>
              <w:top w:w="80" w:type="dxa"/>
              <w:start w:w="120" w:type="dxa"/>
              <w:bottom w:w="80" w:type="dxa"/>
              <w:end w:w="120" w:type="dxa"/>
            </w:tcMar>
          </w:tcPr>
          <w:p>
            <w:pPr>
              <w:spacing w:after="0"/>
              <w:jc w:val="left"/>
            </w:pPr>
            <w:r>
              <w:rPr>
                <w:rFonts w:ascii="Calibri" w:hAnsi="Calibri"/>
                <w:color w:val="0B2545"/>
                <w:sz w:val="19"/>
              </w:rPr>
              <w:t>Rollback deployment, restore database, rotate secret, disable compromised account, communicate incident</w:t>
            </w:r>
          </w:p>
        </w:tc>
      </w:tr>
    </w:tbl>
    <w:p>
      <w:pPr>
        <w:spacing w:after="20"/>
      </w:pPr>
    </w:p>
    <w:p>
      <w:pPr>
        <w:spacing w:before="60" w:after="160"/>
        <w:ind w:left="115" w:right="115"/>
        <w:shd w:fill="E8EEF5"/>
        <w:pBdr>
          <w:top w:val="single" w:sz="4" w:space="6" w:color="D7DBE2"/>
          <w:left w:val="single" w:sz="4" w:space="6" w:color="D7DBE2"/>
          <w:bottom w:val="single" w:sz="4" w:space="6" w:color="D7DBE2"/>
          <w:right w:val="single" w:sz="4" w:space="6" w:color="D7DBE2"/>
        </w:pBdr>
      </w:pPr>
      <w:r>
        <w:rPr>
          <w:rFonts w:ascii="Calibri" w:hAnsi="Calibri"/>
          <w:b/>
          <w:color w:val="2E74B5"/>
          <w:sz w:val="21"/>
        </w:rPr>
        <w:t xml:space="preserve">App reference: </w:t>
      </w:r>
      <w:r>
        <w:rPr>
          <w:rFonts w:ascii="Calibri" w:hAnsi="Calibri"/>
          <w:color w:val="0B2545"/>
          <w:sz w:val="21"/>
        </w:rPr>
        <w:t>Learner flows across the left navigation; admin evidence in Control plane; public /api/health</w:t>
      </w:r>
    </w:p>
    <w:p>
      <w:pPr>
        <w:pStyle w:val="Heading2"/>
      </w:pPr>
      <w:r>
        <w:t>Final P0 sign-off checklist</w:t>
      </w:r>
    </w:p>
    <w:p>
      <w:pPr>
        <w:pStyle w:val="ListBullet"/>
      </w:pPr>
      <w:r>
        <w:t>Production PostgreSQL is durable; migration, restart, backup, and restore tests passed.</w:t>
      </w:r>
    </w:p>
    <w:p>
      <w:pPr>
        <w:pStyle w:val="ListBullet"/>
      </w:pPr>
      <w:r>
        <w:t>No critical/high exploitable security findings remain; admin MFA and least privilege are active.</w:t>
      </w:r>
    </w:p>
    <w:p>
      <w:pPr>
        <w:pStyle w:val="ListBullet"/>
      </w:pPr>
      <w:r>
        <w:t>Terms, Privacy, Cookie, Acceptable Use, disclaimers, refund/subscription terms, and business details are published and legally reviewed.</w:t>
      </w:r>
    </w:p>
    <w:p>
      <w:pPr>
        <w:pStyle w:val="ListBullet"/>
      </w:pPr>
      <w:r>
        <w:t>SAP/product-name trade-mark risk and all content licences have been reviewed.</w:t>
      </w:r>
    </w:p>
    <w:p>
      <w:pPr>
        <w:pStyle w:val="ListBullet"/>
      </w:pPr>
      <w:r>
        <w:t>Recovery email, support, privacy, security, and billing contacts work.</w:t>
      </w:r>
    </w:p>
    <w:p>
      <w:pPr>
        <w:pStyle w:val="ListBullet"/>
      </w:pPr>
      <w:r>
        <w:t>Cookie consent blocks non-essential tracking; marketing consent and unsubscribe work.</w:t>
      </w:r>
    </w:p>
    <w:p>
      <w:pPr>
        <w:pStyle w:val="ListBullet"/>
      </w:pPr>
      <w:r>
        <w:t>Core learner and admin journeys pass mobile, console, accessibility, cross-browser, and performance tests.</w:t>
      </w:r>
    </w:p>
    <w:p>
      <w:pPr>
        <w:pStyle w:val="ListBullet"/>
      </w:pPr>
      <w:r>
        <w:t>Monitoring, alerts, incident response, rollback, and on-call ownership are operational.</w:t>
      </w:r>
    </w:p>
    <w:p>
      <w:pPr>
        <w:pStyle w:val="ListBullet"/>
      </w:pPr>
      <w:r>
        <w:t>If payments are enabled: hosted checkout, webhooks, cancellation, refunds, tax, receipts, and reconciliation pass end to end.</w:t>
      </w:r>
    </w:p>
    <w:p>
      <w:pPr>
        <w:pStyle w:val="ListBullet"/>
      </w:pPr>
      <w:r>
        <w:t>The current Admin Control plane readiness fingerprint has an authorised release decision.</w:t>
      </w:r>
    </w:p>
    <w:p>
      <w:r>
        <w:br w:type="page"/>
      </w:r>
    </w:p>
    <w:p>
      <w:pPr>
        <w:pStyle w:val="Heading1"/>
      </w:pPr>
      <w:r>
        <w:t>13. 90-day launch plan</w:t>
      </w:r>
    </w:p>
    <w:p>
      <w:pPr>
        <w:spacing w:after="200"/>
      </w:pPr>
      <w:r>
        <w:rPr>
          <w:rFonts w:ascii="Calibri" w:hAnsi="Calibri"/>
          <w:i/>
          <w:color w:val="1F4D78"/>
          <w:sz w:val="23"/>
        </w:rPr>
        <w:t>Keep the first public release deliberately small enough to observe and correct.</w:t>
      </w:r>
    </w:p>
    <w:tbl>
      <w:tblPr>
        <w:tblStyle w:val="TableGrid"/>
        <w:tblW w:type="dxa" w:w="9360"/>
        <w:tblLayout w:type="fixed"/>
        <w:tblLook w:firstColumn="1" w:firstRow="1" w:lastColumn="0" w:lastRow="0" w:noHBand="0" w:noVBand="1" w:val="04A0"/>
        <w:jc w:val="left"/>
        <w:tblInd w:w="120" w:type="dxa"/>
      </w:tblPr>
      <w:tblGrid>
        <w:gridCol w:w="1200"/>
        <w:gridCol w:w="4100"/>
        <w:gridCol w:w="4060"/>
      </w:tblGrid>
      <w:tr>
        <w:trPr>
          <w:tblHeader w:val="true"/>
        </w:trPr>
        <w:tc>
          <w:tcPr>
            <w:tcW w:type="dxa" w:w="1200"/>
            <w:vAlign w:val="center"/>
            <w:tcMar>
              <w:top w:w="80" w:type="dxa"/>
              <w:start w:w="120" w:type="dxa"/>
              <w:bottom w:w="80" w:type="dxa"/>
              <w:end w:w="120" w:type="dxa"/>
            </w:tcMar>
            <w:shd w:fill="E8EEF5"/>
          </w:tcPr>
          <w:p>
            <w:pPr>
              <w:jc w:val="center"/>
            </w:pPr>
            <w:r>
              <w:rPr>
                <w:rFonts w:ascii="Calibri" w:hAnsi="Calibri"/>
                <w:b/>
                <w:color w:val="0B2545"/>
                <w:sz w:val="19"/>
              </w:rPr>
              <w:t>Period</w:t>
            </w:r>
          </w:p>
        </w:tc>
        <w:tc>
          <w:tcPr>
            <w:tcW w:type="dxa" w:w="4100"/>
            <w:vAlign w:val="center"/>
            <w:tcMar>
              <w:top w:w="80" w:type="dxa"/>
              <w:start w:w="120" w:type="dxa"/>
              <w:bottom w:w="80" w:type="dxa"/>
              <w:end w:w="120" w:type="dxa"/>
            </w:tcMar>
            <w:shd w:fill="E8EEF5"/>
          </w:tcPr>
          <w:p>
            <w:pPr>
              <w:jc w:val="left"/>
            </w:pPr>
            <w:r>
              <w:rPr>
                <w:rFonts w:ascii="Calibri" w:hAnsi="Calibri"/>
                <w:b/>
                <w:color w:val="0B2545"/>
                <w:sz w:val="19"/>
              </w:rPr>
              <w:t>Product and engineering</w:t>
            </w:r>
          </w:p>
        </w:tc>
        <w:tc>
          <w:tcPr>
            <w:tcW w:type="dxa" w:w="4060"/>
            <w:vAlign w:val="center"/>
            <w:tcMar>
              <w:top w:w="80" w:type="dxa"/>
              <w:start w:w="120" w:type="dxa"/>
              <w:bottom w:w="80" w:type="dxa"/>
              <w:end w:w="120" w:type="dxa"/>
            </w:tcMar>
            <w:shd w:fill="E8EEF5"/>
          </w:tcPr>
          <w:p>
            <w:pPr>
              <w:jc w:val="left"/>
            </w:pPr>
            <w:r>
              <w:rPr>
                <w:rFonts w:ascii="Calibri" w:hAnsi="Calibri"/>
                <w:b/>
                <w:color w:val="0B2545"/>
                <w:sz w:val="19"/>
              </w:rPr>
              <w:t>Business, legal, and market</w:t>
            </w:r>
          </w:p>
        </w:tc>
      </w:tr>
      <w:tr>
        <w:tc>
          <w:tcPr>
            <w:tcW w:type="dxa" w:w="1200"/>
            <w:vAlign w:val="center"/>
            <w:tcMar>
              <w:top w:w="80" w:type="dxa"/>
              <w:start w:w="120" w:type="dxa"/>
              <w:bottom w:w="80" w:type="dxa"/>
              <w:end w:w="120" w:type="dxa"/>
            </w:tcMar>
          </w:tcPr>
          <w:p>
            <w:pPr>
              <w:spacing w:after="0"/>
              <w:jc w:val="center"/>
            </w:pPr>
            <w:r>
              <w:rPr>
                <w:rFonts w:ascii="Calibri" w:hAnsi="Calibri"/>
                <w:color w:val="0B2545"/>
                <w:sz w:val="19"/>
              </w:rPr>
              <w:t>Days 1-14</w:t>
            </w:r>
          </w:p>
        </w:tc>
        <w:tc>
          <w:tcPr>
            <w:tcW w:type="dxa" w:w="4100"/>
            <w:vAlign w:val="center"/>
            <w:tcMar>
              <w:top w:w="80" w:type="dxa"/>
              <w:start w:w="120" w:type="dxa"/>
              <w:bottom w:w="80" w:type="dxa"/>
              <w:end w:w="120" w:type="dxa"/>
            </w:tcMar>
          </w:tcPr>
          <w:p>
            <w:pPr>
              <w:spacing w:after="0"/>
              <w:jc w:val="left"/>
            </w:pPr>
            <w:r>
              <w:rPr>
                <w:rFonts w:ascii="Calibri" w:hAnsi="Calibri"/>
                <w:color w:val="0B2545"/>
                <w:sz w:val="19"/>
              </w:rPr>
              <w:t>PostgreSQL, backups, restart test, email, rate limits, logs, alerts, critical security fixes</w:t>
            </w:r>
          </w:p>
        </w:tc>
        <w:tc>
          <w:tcPr>
            <w:tcW w:type="dxa" w:w="4060"/>
            <w:vAlign w:val="center"/>
            <w:tcMar>
              <w:top w:w="80" w:type="dxa"/>
              <w:start w:w="120" w:type="dxa"/>
              <w:bottom w:w="80" w:type="dxa"/>
              <w:end w:w="120" w:type="dxa"/>
            </w:tcMar>
          </w:tcPr>
          <w:p>
            <w:pPr>
              <w:spacing w:after="0"/>
              <w:jc w:val="left"/>
            </w:pPr>
            <w:r>
              <w:rPr>
                <w:rFonts w:ascii="Calibri" w:hAnsi="Calibri"/>
                <w:color w:val="0B2545"/>
                <w:sz w:val="19"/>
              </w:rPr>
              <w:t>Entity/name clearance, legal brief, data map, processor list, support addresses</w:t>
            </w:r>
          </w:p>
        </w:tc>
      </w:tr>
      <w:tr>
        <w:tc>
          <w:tcPr>
            <w:tcW w:type="dxa" w:w="1200"/>
            <w:vAlign w:val="center"/>
            <w:tcMar>
              <w:top w:w="80" w:type="dxa"/>
              <w:start w:w="120" w:type="dxa"/>
              <w:bottom w:w="80" w:type="dxa"/>
              <w:end w:w="120" w:type="dxa"/>
            </w:tcMar>
          </w:tcPr>
          <w:p>
            <w:pPr>
              <w:spacing w:after="0"/>
              <w:jc w:val="center"/>
            </w:pPr>
            <w:r>
              <w:rPr>
                <w:rFonts w:ascii="Calibri" w:hAnsi="Calibri"/>
                <w:color w:val="0B2545"/>
                <w:sz w:val="19"/>
              </w:rPr>
              <w:t>Days 15-30</w:t>
            </w:r>
          </w:p>
        </w:tc>
        <w:tc>
          <w:tcPr>
            <w:tcW w:type="dxa" w:w="4100"/>
            <w:vAlign w:val="center"/>
            <w:tcMar>
              <w:top w:w="80" w:type="dxa"/>
              <w:start w:w="120" w:type="dxa"/>
              <w:bottom w:w="80" w:type="dxa"/>
              <w:end w:w="120" w:type="dxa"/>
            </w:tcMar>
          </w:tcPr>
          <w:p>
            <w:pPr>
              <w:spacing w:after="0"/>
              <w:jc w:val="left"/>
            </w:pPr>
            <w:r>
              <w:rPr>
                <w:rFonts w:ascii="Calibri" w:hAnsi="Calibri"/>
                <w:color w:val="0B2545"/>
                <w:sz w:val="19"/>
              </w:rPr>
              <w:t>Legal UI, consent, deletion/export procedure, accessibility fixes, browser/performance test</w:t>
            </w:r>
          </w:p>
        </w:tc>
        <w:tc>
          <w:tcPr>
            <w:tcW w:type="dxa" w:w="4060"/>
            <w:vAlign w:val="center"/>
            <w:tcMar>
              <w:top w:w="80" w:type="dxa"/>
              <w:start w:w="120" w:type="dxa"/>
              <w:bottom w:w="80" w:type="dxa"/>
              <w:end w:w="120" w:type="dxa"/>
            </w:tcMar>
          </w:tcPr>
          <w:p>
            <w:pPr>
              <w:spacing w:after="0"/>
              <w:jc w:val="left"/>
            </w:pPr>
            <w:r>
              <w:rPr>
                <w:rFonts w:ascii="Calibri" w:hAnsi="Calibri"/>
                <w:color w:val="0B2545"/>
                <w:sz w:val="19"/>
              </w:rPr>
              <w:t>Solicitor review, accountant/tax review, beta terms, recruit 20-50 adult testers</w:t>
            </w:r>
          </w:p>
        </w:tc>
      </w:tr>
      <w:tr>
        <w:tc>
          <w:tcPr>
            <w:tcW w:type="dxa" w:w="1200"/>
            <w:vAlign w:val="center"/>
            <w:tcMar>
              <w:top w:w="80" w:type="dxa"/>
              <w:start w:w="120" w:type="dxa"/>
              <w:bottom w:w="80" w:type="dxa"/>
              <w:end w:w="120" w:type="dxa"/>
            </w:tcMar>
          </w:tcPr>
          <w:p>
            <w:pPr>
              <w:spacing w:after="0"/>
              <w:jc w:val="center"/>
            </w:pPr>
            <w:r>
              <w:rPr>
                <w:rFonts w:ascii="Calibri" w:hAnsi="Calibri"/>
                <w:color w:val="0B2545"/>
                <w:sz w:val="19"/>
              </w:rPr>
              <w:t>Days 31-45</w:t>
            </w:r>
          </w:p>
        </w:tc>
        <w:tc>
          <w:tcPr>
            <w:tcW w:type="dxa" w:w="4100"/>
            <w:vAlign w:val="center"/>
            <w:tcMar>
              <w:top w:w="80" w:type="dxa"/>
              <w:start w:w="120" w:type="dxa"/>
              <w:bottom w:w="80" w:type="dxa"/>
              <w:end w:w="120" w:type="dxa"/>
            </w:tcMar>
          </w:tcPr>
          <w:p>
            <w:pPr>
              <w:spacing w:after="0"/>
              <w:jc w:val="left"/>
            </w:pPr>
            <w:r>
              <w:rPr>
                <w:rFonts w:ascii="Calibri" w:hAnsi="Calibri"/>
                <w:color w:val="0B2545"/>
                <w:sz w:val="19"/>
              </w:rPr>
              <w:t>Invitation beta, issue triage, mentor evaluations, restore/rollback drill</w:t>
            </w:r>
          </w:p>
        </w:tc>
        <w:tc>
          <w:tcPr>
            <w:tcW w:type="dxa" w:w="4060"/>
            <w:vAlign w:val="center"/>
            <w:tcMar>
              <w:top w:w="80" w:type="dxa"/>
              <w:start w:w="120" w:type="dxa"/>
              <w:bottom w:w="80" w:type="dxa"/>
              <w:end w:w="120" w:type="dxa"/>
            </w:tcMar>
          </w:tcPr>
          <w:p>
            <w:pPr>
              <w:spacing w:after="0"/>
              <w:jc w:val="left"/>
            </w:pPr>
            <w:r>
              <w:rPr>
                <w:rFonts w:ascii="Calibri" w:hAnsi="Calibri"/>
                <w:color w:val="0B2545"/>
                <w:sz w:val="19"/>
              </w:rPr>
              <w:t>Weekly interviews, support metrics, refine positioning and onboarding</w:t>
            </w:r>
          </w:p>
        </w:tc>
      </w:tr>
      <w:tr>
        <w:tc>
          <w:tcPr>
            <w:tcW w:type="dxa" w:w="1200"/>
            <w:vAlign w:val="center"/>
            <w:tcMar>
              <w:top w:w="80" w:type="dxa"/>
              <w:start w:w="120" w:type="dxa"/>
              <w:bottom w:w="80" w:type="dxa"/>
              <w:end w:w="120" w:type="dxa"/>
            </w:tcMar>
          </w:tcPr>
          <w:p>
            <w:pPr>
              <w:spacing w:after="0"/>
              <w:jc w:val="center"/>
            </w:pPr>
            <w:r>
              <w:rPr>
                <w:rFonts w:ascii="Calibri" w:hAnsi="Calibri"/>
                <w:color w:val="0B2545"/>
                <w:sz w:val="19"/>
              </w:rPr>
              <w:t>Days 46-60</w:t>
            </w:r>
          </w:p>
        </w:tc>
        <w:tc>
          <w:tcPr>
            <w:tcW w:type="dxa" w:w="4100"/>
            <w:vAlign w:val="center"/>
            <w:tcMar>
              <w:top w:w="80" w:type="dxa"/>
              <w:start w:w="120" w:type="dxa"/>
              <w:bottom w:w="80" w:type="dxa"/>
              <w:end w:w="120" w:type="dxa"/>
            </w:tcMar>
          </w:tcPr>
          <w:p>
            <w:pPr>
              <w:spacing w:after="0"/>
              <w:jc w:val="left"/>
            </w:pPr>
            <w:r>
              <w:rPr>
                <w:rFonts w:ascii="Calibri" w:hAnsi="Calibri"/>
                <w:color w:val="0B2545"/>
                <w:sz w:val="19"/>
              </w:rPr>
              <w:t>Public free launch, capacity controls, analytics, documentation</w:t>
            </w:r>
          </w:p>
        </w:tc>
        <w:tc>
          <w:tcPr>
            <w:tcW w:type="dxa" w:w="4060"/>
            <w:vAlign w:val="center"/>
            <w:tcMar>
              <w:top w:w="80" w:type="dxa"/>
              <w:start w:w="120" w:type="dxa"/>
              <w:bottom w:w="80" w:type="dxa"/>
              <w:end w:w="120" w:type="dxa"/>
            </w:tcMar>
          </w:tcPr>
          <w:p>
            <w:pPr>
              <w:spacing w:after="0"/>
              <w:jc w:val="left"/>
            </w:pPr>
            <w:r>
              <w:rPr>
                <w:rFonts w:ascii="Calibri" w:hAnsi="Calibri"/>
                <w:color w:val="0B2545"/>
                <w:sz w:val="19"/>
              </w:rPr>
              <w:t>Publish landing/support content, measure activation/retention, no paid claims yet</w:t>
            </w:r>
          </w:p>
        </w:tc>
      </w:tr>
      <w:tr>
        <w:tc>
          <w:tcPr>
            <w:tcW w:type="dxa" w:w="1200"/>
            <w:vAlign w:val="center"/>
            <w:tcMar>
              <w:top w:w="80" w:type="dxa"/>
              <w:start w:w="120" w:type="dxa"/>
              <w:bottom w:w="80" w:type="dxa"/>
              <w:end w:w="120" w:type="dxa"/>
            </w:tcMar>
          </w:tcPr>
          <w:p>
            <w:pPr>
              <w:spacing w:after="0"/>
              <w:jc w:val="center"/>
            </w:pPr>
            <w:r>
              <w:rPr>
                <w:rFonts w:ascii="Calibri" w:hAnsi="Calibri"/>
                <w:color w:val="0B2545"/>
                <w:sz w:val="19"/>
              </w:rPr>
              <w:t>Days 61-75</w:t>
            </w:r>
          </w:p>
        </w:tc>
        <w:tc>
          <w:tcPr>
            <w:tcW w:type="dxa" w:w="4100"/>
            <w:vAlign w:val="center"/>
            <w:tcMar>
              <w:top w:w="80" w:type="dxa"/>
              <w:start w:w="120" w:type="dxa"/>
              <w:bottom w:w="80" w:type="dxa"/>
              <w:end w:w="120" w:type="dxa"/>
            </w:tcMar>
          </w:tcPr>
          <w:p>
            <w:pPr>
              <w:spacing w:after="0"/>
              <w:jc w:val="left"/>
            </w:pPr>
            <w:r>
              <w:rPr>
                <w:rFonts w:ascii="Calibri" w:hAnsi="Calibri"/>
                <w:color w:val="0B2545"/>
                <w:sz w:val="19"/>
              </w:rPr>
              <w:t>Stripe test/live setup, entitlement, portal, webhooks, refund/cancellation flows</w:t>
            </w:r>
          </w:p>
        </w:tc>
        <w:tc>
          <w:tcPr>
            <w:tcW w:type="dxa" w:w="4060"/>
            <w:vAlign w:val="center"/>
            <w:tcMar>
              <w:top w:w="80" w:type="dxa"/>
              <w:start w:w="120" w:type="dxa"/>
              <w:bottom w:w="80" w:type="dxa"/>
              <w:end w:w="120" w:type="dxa"/>
            </w:tcMar>
          </w:tcPr>
          <w:p>
            <w:pPr>
              <w:spacing w:after="0"/>
              <w:jc w:val="left"/>
            </w:pPr>
            <w:r>
              <w:rPr>
                <w:rFonts w:ascii="Calibri" w:hAnsi="Calibri"/>
                <w:color w:val="0B2545"/>
                <w:sz w:val="19"/>
              </w:rPr>
              <w:t>Final paid terms, price research, tax settings, paid pilot recruitment</w:t>
            </w:r>
          </w:p>
        </w:tc>
      </w:tr>
      <w:tr>
        <w:tc>
          <w:tcPr>
            <w:tcW w:type="dxa" w:w="1200"/>
            <w:vAlign w:val="center"/>
            <w:tcMar>
              <w:top w:w="80" w:type="dxa"/>
              <w:start w:w="120" w:type="dxa"/>
              <w:bottom w:w="80" w:type="dxa"/>
              <w:end w:w="120" w:type="dxa"/>
            </w:tcMar>
          </w:tcPr>
          <w:p>
            <w:pPr>
              <w:spacing w:after="0"/>
              <w:jc w:val="center"/>
            </w:pPr>
            <w:r>
              <w:rPr>
                <w:rFonts w:ascii="Calibri" w:hAnsi="Calibri"/>
                <w:color w:val="0B2545"/>
                <w:sz w:val="19"/>
              </w:rPr>
              <w:t>Days 76-90</w:t>
            </w:r>
          </w:p>
        </w:tc>
        <w:tc>
          <w:tcPr>
            <w:tcW w:type="dxa" w:w="4100"/>
            <w:vAlign w:val="center"/>
            <w:tcMar>
              <w:top w:w="80" w:type="dxa"/>
              <w:start w:w="120" w:type="dxa"/>
              <w:bottom w:w="80" w:type="dxa"/>
              <w:end w:w="120" w:type="dxa"/>
            </w:tcMar>
          </w:tcPr>
          <w:p>
            <w:pPr>
              <w:spacing w:after="0"/>
              <w:jc w:val="left"/>
            </w:pPr>
            <w:r>
              <w:rPr>
                <w:rFonts w:ascii="Calibri" w:hAnsi="Calibri"/>
                <w:color w:val="0B2545"/>
                <w:sz w:val="19"/>
              </w:rPr>
              <w:t>Paid pilot, reliability and billing review, top defects</w:t>
            </w:r>
          </w:p>
        </w:tc>
        <w:tc>
          <w:tcPr>
            <w:tcW w:type="dxa" w:w="4060"/>
            <w:vAlign w:val="center"/>
            <w:tcMar>
              <w:top w:w="80" w:type="dxa"/>
              <w:start w:w="120" w:type="dxa"/>
              <w:bottom w:w="80" w:type="dxa"/>
              <w:end w:w="120" w:type="dxa"/>
            </w:tcMar>
          </w:tcPr>
          <w:p>
            <w:pPr>
              <w:spacing w:after="0"/>
              <w:jc w:val="left"/>
            </w:pPr>
            <w:r>
              <w:rPr>
                <w:rFonts w:ascii="Calibri" w:hAnsi="Calibri"/>
                <w:color w:val="0B2545"/>
                <w:sz w:val="19"/>
              </w:rPr>
              <w:t>Evaluate conversion, retention, refunds, margin, trust; decide general paid launch</w:t>
            </w:r>
          </w:p>
        </w:tc>
      </w:tr>
    </w:tbl>
    <w:p>
      <w:pPr>
        <w:spacing w:after="20"/>
      </w:pPr>
    </w:p>
    <w:p>
      <w:pPr>
        <w:pStyle w:val="Heading2"/>
      </w:pPr>
      <w:r>
        <w:t>Owners to name</w:t>
      </w:r>
    </w:p>
    <w:p>
      <w:pPr>
        <w:pStyle w:val="ListBullet"/>
      </w:pPr>
      <w:r>
        <w:t>Product owner and release approver</w:t>
      </w:r>
    </w:p>
    <w:p>
      <w:pPr>
        <w:pStyle w:val="ListBullet"/>
      </w:pPr>
      <w:r>
        <w:t>Engineering/security owner and incident lead</w:t>
      </w:r>
    </w:p>
    <w:p>
      <w:pPr>
        <w:pStyle w:val="ListBullet"/>
      </w:pPr>
      <w:r>
        <w:t>Database/backup owner</w:t>
      </w:r>
    </w:p>
    <w:p>
      <w:pPr>
        <w:pStyle w:val="ListBullet"/>
      </w:pPr>
      <w:r>
        <w:t>Privacy lead and rights-request owner</w:t>
      </w:r>
    </w:p>
    <w:p>
      <w:pPr>
        <w:pStyle w:val="ListBullet"/>
      </w:pPr>
      <w:r>
        <w:t>Content/IP owner and SAP-mark review owner</w:t>
      </w:r>
    </w:p>
    <w:p>
      <w:pPr>
        <w:pStyle w:val="ListBullet"/>
      </w:pPr>
      <w:r>
        <w:t>Support and accessibility owner</w:t>
      </w:r>
    </w:p>
    <w:p>
      <w:pPr>
        <w:pStyle w:val="ListBullet"/>
      </w:pPr>
      <w:r>
        <w:t>Billing/refund and finance/tax owner</w:t>
      </w:r>
    </w:p>
    <w:p>
      <w:pPr>
        <w:pStyle w:val="ListBullet"/>
      </w:pPr>
      <w:r>
        <w:t>AI Mentor quality and safety owner</w:t>
      </w:r>
    </w:p>
    <w:p>
      <w:r>
        <w:br w:type="page"/>
      </w:r>
    </w:p>
    <w:p>
      <w:pPr>
        <w:pStyle w:val="Heading1"/>
      </w:pPr>
      <w:r>
        <w:t>14. Official sources and review notes</w:t>
      </w:r>
    </w:p>
    <w:p>
      <w:pPr>
        <w:spacing w:after="200"/>
      </w:pPr>
      <w:r>
        <w:rPr>
          <w:rFonts w:ascii="Calibri" w:hAnsi="Calibri"/>
          <w:i/>
          <w:color w:val="1F4D78"/>
          <w:sz w:val="23"/>
        </w:rPr>
        <w:t>Sources were checked on 30 June 2026. Requirements change; recheck before launch and before entering a new market.</w:t>
      </w:r>
    </w:p>
    <w:p>
      <w:pPr>
        <w:pStyle w:val="ListBullet"/>
      </w:pPr>
      <w:hyperlink r:id="rId11">
        <w:r>
          <w:rPr>
            <w:color w:val="2E74B5"/>
            <w:u w:val="single"/>
          </w:rPr>
          <w:t>ICO - What privacy information should we provide?</w:t>
        </w:r>
      </w:hyperlink>
      <w:r>
        <w:rPr>
          <w:rFonts w:ascii="Calibri" w:hAnsi="Calibri"/>
          <w:color w:val="0B2545"/>
          <w:sz w:val="19"/>
        </w:rPr>
        <w:t xml:space="preserve"> - Required privacy information and transparency content.</w:t>
      </w:r>
    </w:p>
    <w:p>
      <w:pPr>
        <w:pStyle w:val="ListBullet"/>
      </w:pPr>
      <w:hyperlink r:id="rId12">
        <w:r>
          <w:rPr>
            <w:color w:val="2E74B5"/>
            <w:u w:val="single"/>
          </w:rPr>
          <w:t>ICO - Cookies and similar technologies</w:t>
        </w:r>
      </w:hyperlink>
      <w:r>
        <w:rPr>
          <w:rFonts w:ascii="Calibri" w:hAnsi="Calibri"/>
          <w:color w:val="0B2545"/>
          <w:sz w:val="19"/>
        </w:rPr>
        <w:t xml:space="preserve"> - Clear information, active consent, and strictly necessary exception.</w:t>
      </w:r>
    </w:p>
    <w:p>
      <w:pPr>
        <w:pStyle w:val="ListBullet"/>
      </w:pPr>
      <w:hyperlink r:id="rId13">
        <w:r>
          <w:rPr>
            <w:color w:val="2E74B5"/>
            <w:u w:val="single"/>
          </w:rPr>
          <w:t>ICO - Data protection fee</w:t>
        </w:r>
      </w:hyperlink>
      <w:r>
        <w:rPr>
          <w:rFonts w:ascii="Calibri" w:hAnsi="Calibri"/>
          <w:color w:val="0B2545"/>
          <w:sz w:val="19"/>
        </w:rPr>
        <w:t xml:space="preserve"> - Fee/registration assessment for organisations processing personal information.</w:t>
      </w:r>
    </w:p>
    <w:p>
      <w:pPr>
        <w:pStyle w:val="ListBullet"/>
      </w:pPr>
      <w:hyperlink r:id="rId14">
        <w:r>
          <w:rPr>
            <w:color w:val="2E74B5"/>
            <w:u w:val="single"/>
          </w:rPr>
          <w:t>ICO - Personal data breaches</w:t>
        </w:r>
      </w:hyperlink>
      <w:r>
        <w:rPr>
          <w:rFonts w:ascii="Calibri" w:hAnsi="Calibri"/>
          <w:color w:val="0B2545"/>
          <w:sz w:val="19"/>
        </w:rPr>
        <w:t xml:space="preserve"> - Breach records, risk assessment, and 72-hour notification rule where applicable.</w:t>
      </w:r>
    </w:p>
    <w:p>
      <w:pPr>
        <w:pStyle w:val="ListBullet"/>
      </w:pPr>
      <w:hyperlink r:id="rId15">
        <w:r>
          <w:rPr>
            <w:color w:val="2E74B5"/>
            <w:u w:val="single"/>
          </w:rPr>
          <w:t>ICO - Encryption</w:t>
        </w:r>
      </w:hyperlink>
      <w:r>
        <w:rPr>
          <w:rFonts w:ascii="Calibri" w:hAnsi="Calibri"/>
          <w:color w:val="0B2545"/>
          <w:sz w:val="19"/>
        </w:rPr>
        <w:t xml:space="preserve"> - Risk-based technical and organisational security measures.</w:t>
      </w:r>
    </w:p>
    <w:p>
      <w:pPr>
        <w:pStyle w:val="ListBullet"/>
      </w:pPr>
      <w:hyperlink r:id="rId16">
        <w:r>
          <w:rPr>
            <w:color w:val="2E74B5"/>
            <w:u w:val="single"/>
          </w:rPr>
          <w:t>GOV.UK - Online and distance selling</w:t>
        </w:r>
      </w:hyperlink>
      <w:r>
        <w:rPr>
          <w:rFonts w:ascii="Calibri" w:hAnsi="Calibri"/>
          <w:color w:val="0B2545"/>
          <w:sz w:val="19"/>
        </w:rPr>
        <w:t xml:space="preserve"> - Pre-contract information, confirmation, cancellation, and online selling duties.</w:t>
      </w:r>
    </w:p>
    <w:p>
      <w:pPr>
        <w:pStyle w:val="ListBullet"/>
      </w:pPr>
      <w:hyperlink r:id="rId17">
        <w:r>
          <w:rPr>
            <w:color w:val="2E74B5"/>
            <w:u w:val="single"/>
          </w:rPr>
          <w:t>GOV.UK - Online Choice Architecture</w:t>
        </w:r>
      </w:hyperlink>
      <w:r>
        <w:rPr>
          <w:rFonts w:ascii="Calibri" w:hAnsi="Calibri"/>
          <w:color w:val="0B2545"/>
          <w:sz w:val="19"/>
        </w:rPr>
        <w:t xml:space="preserve"> - Clear, honest design and risks from dark patterns/subscription traps.</w:t>
      </w:r>
    </w:p>
    <w:p>
      <w:pPr>
        <w:pStyle w:val="ListBullet"/>
      </w:pPr>
      <w:hyperlink r:id="rId18">
        <w:r>
          <w:rPr>
            <w:color w:val="2E74B5"/>
            <w:u w:val="single"/>
          </w:rPr>
          <w:t>Digital Markets, Competition and Consumers Act 2024</w:t>
        </w:r>
      </w:hyperlink>
      <w:r>
        <w:rPr>
          <w:rFonts w:ascii="Calibri" w:hAnsi="Calibri"/>
          <w:color w:val="0B2545"/>
          <w:sz w:val="19"/>
        </w:rPr>
        <w:t xml:space="preserve"> - Consumer and subscription framework; obtain advice on current commencement and implementation.</w:t>
      </w:r>
    </w:p>
    <w:p>
      <w:pPr>
        <w:pStyle w:val="ListBullet"/>
      </w:pPr>
      <w:hyperlink r:id="rId19">
        <w:r>
          <w:rPr>
            <w:color w:val="2E74B5"/>
            <w:u w:val="single"/>
          </w:rPr>
          <w:t>GOV.UK - VAT rules for digital services</w:t>
        </w:r>
      </w:hyperlink>
      <w:r>
        <w:rPr>
          <w:rFonts w:ascii="Calibri" w:hAnsi="Calibri"/>
          <w:color w:val="0B2545"/>
          <w:sz w:val="19"/>
        </w:rPr>
        <w:t xml:space="preserve"> - Place-of-supply and digital-service considerations, including automated learning examples.</w:t>
      </w:r>
    </w:p>
    <w:p>
      <w:pPr>
        <w:pStyle w:val="ListBullet"/>
      </w:pPr>
      <w:hyperlink r:id="rId20">
        <w:r>
          <w:rPr>
            <w:color w:val="2E74B5"/>
            <w:u w:val="single"/>
          </w:rPr>
          <w:t>GOV.UK - Using somebody else's intellectual property</w:t>
        </w:r>
      </w:hyperlink>
      <w:r>
        <w:rPr>
          <w:rFonts w:ascii="Calibri" w:hAnsi="Calibri"/>
          <w:color w:val="0B2545"/>
          <w:sz w:val="19"/>
        </w:rPr>
        <w:t xml:space="preserve"> - Permission/licensing and infringement risk.</w:t>
      </w:r>
    </w:p>
    <w:p>
      <w:pPr>
        <w:pStyle w:val="ListBullet"/>
      </w:pPr>
      <w:hyperlink r:id="rId21">
        <w:r>
          <w:rPr>
            <w:color w:val="2E74B5"/>
            <w:u w:val="single"/>
          </w:rPr>
          <w:t>GOV.UK - Search for a trade mark</w:t>
        </w:r>
      </w:hyperlink>
      <w:r>
        <w:rPr>
          <w:rFonts w:ascii="Calibri" w:hAnsi="Calibri"/>
          <w:color w:val="0B2545"/>
          <w:sz w:val="19"/>
        </w:rPr>
        <w:t xml:space="preserve"> - UK clearance search starting point.</w:t>
      </w:r>
    </w:p>
    <w:p>
      <w:pPr>
        <w:pStyle w:val="ListBullet"/>
      </w:pPr>
      <w:hyperlink r:id="rId22">
        <w:r>
          <w:rPr>
            <w:color w:val="2E74B5"/>
            <w:u w:val="single"/>
          </w:rPr>
          <w:t>SAP - Guidelines for Publications About SAP</w:t>
        </w:r>
      </w:hyperlink>
      <w:r>
        <w:rPr>
          <w:rFonts w:ascii="Calibri" w:hAnsi="Calibri"/>
          <w:color w:val="0B2545"/>
          <w:sz w:val="19"/>
        </w:rPr>
        <w:t xml:space="preserve"> - SAP's current trademark/publication guidance; legal review is still required.</w:t>
      </w:r>
    </w:p>
    <w:p>
      <w:pPr>
        <w:pStyle w:val="ListBullet"/>
      </w:pPr>
      <w:hyperlink r:id="rId23">
        <w:r>
          <w:rPr>
            <w:color w:val="2E74B5"/>
            <w:u w:val="single"/>
          </w:rPr>
          <w:t>W3C - Web Content Accessibility Guidelines 2.2</w:t>
        </w:r>
      </w:hyperlink>
      <w:r>
        <w:rPr>
          <w:rFonts w:ascii="Calibri" w:hAnsi="Calibri"/>
          <w:color w:val="0B2545"/>
          <w:sz w:val="19"/>
        </w:rPr>
        <w:t xml:space="preserve"> - International web accessibility standard and testable success criteria.</w:t>
      </w:r>
    </w:p>
    <w:p>
      <w:pPr>
        <w:pStyle w:val="ListBullet"/>
      </w:pPr>
      <w:hyperlink r:id="rId24">
        <w:r>
          <w:rPr>
            <w:color w:val="2E74B5"/>
            <w:u w:val="single"/>
          </w:rPr>
          <w:t>Ofcom - Online Safety enforcement guidance</w:t>
        </w:r>
      </w:hyperlink>
      <w:r>
        <w:rPr>
          <w:rFonts w:ascii="Calibri" w:hAnsi="Calibri"/>
          <w:color w:val="0B2545"/>
          <w:sz w:val="19"/>
        </w:rPr>
        <w:t xml:space="preserve"> - Scope includes certain user-to-user services; reassess before adding public sharing, forums, or community content.</w:t>
      </w:r>
    </w:p>
    <w:p>
      <w:pPr>
        <w:pStyle w:val="ListBullet"/>
      </w:pPr>
      <w:hyperlink r:id="rId25">
        <w:r>
          <w:rPr>
            <w:color w:val="2E74B5"/>
            <w:u w:val="single"/>
          </w:rPr>
          <w:t>Stripe - Hosted Checkout</w:t>
        </w:r>
      </w:hyperlink>
      <w:r>
        <w:rPr>
          <w:rFonts w:ascii="Calibri" w:hAnsi="Calibri"/>
          <w:color w:val="0B2545"/>
          <w:sz w:val="19"/>
        </w:rPr>
        <w:t xml:space="preserve"> - Hosted payment page and subscriptions architecture.</w:t>
      </w:r>
    </w:p>
    <w:p>
      <w:pPr>
        <w:pStyle w:val="ListBullet"/>
      </w:pPr>
      <w:hyperlink r:id="rId26">
        <w:r>
          <w:rPr>
            <w:color w:val="2E74B5"/>
            <w:u w:val="single"/>
          </w:rPr>
          <w:t>Stripe - Customer portal</w:t>
        </w:r>
      </w:hyperlink>
      <w:r>
        <w:rPr>
          <w:rFonts w:ascii="Calibri" w:hAnsi="Calibri"/>
          <w:color w:val="0B2545"/>
          <w:sz w:val="19"/>
        </w:rPr>
        <w:t xml:space="preserve"> - Self-service payment, invoice, subscription, and cancellation management.</w:t>
      </w:r>
    </w:p>
    <w:p>
      <w:pPr>
        <w:pStyle w:val="ListBullet"/>
      </w:pPr>
      <w:hyperlink r:id="rId27">
        <w:r>
          <w:rPr>
            <w:color w:val="2E74B5"/>
            <w:u w:val="single"/>
          </w:rPr>
          <w:t>PCI Security Standards Council - Small Merchant Guide</w:t>
        </w:r>
      </w:hyperlink>
      <w:r>
        <w:rPr>
          <w:rFonts w:ascii="Calibri" w:hAnsi="Calibri"/>
          <w:color w:val="0B2545"/>
          <w:sz w:val="19"/>
        </w:rPr>
        <w:t xml:space="preserve"> - Secure payment responsibilities and reducing card-data exposure.</w:t>
      </w:r>
    </w:p>
    <w:p>
      <w:pPr>
        <w:pStyle w:val="ListBullet"/>
      </w:pPr>
      <w:hyperlink r:id="rId28">
        <w:r>
          <w:rPr>
            <w:color w:val="2E74B5"/>
            <w:u w:val="single"/>
          </w:rPr>
          <w:t>Vercel - Security overview</w:t>
        </w:r>
      </w:hyperlink>
      <w:r>
        <w:rPr>
          <w:rFonts w:ascii="Calibri" w:hAnsi="Calibri"/>
          <w:color w:val="0B2545"/>
          <w:sz w:val="19"/>
        </w:rPr>
        <w:t xml:space="preserve"> - HTTPS, shared responsibility, firewall, and platform security controls.</w:t>
      </w:r>
    </w:p>
    <w:p>
      <w:pPr>
        <w:pStyle w:val="ListBullet"/>
      </w:pPr>
      <w:hyperlink r:id="rId29">
        <w:r>
          <w:rPr>
            <w:color w:val="2E74B5"/>
            <w:u w:val="single"/>
          </w:rPr>
          <w:t>Vercel - Firewall</w:t>
        </w:r>
      </w:hyperlink>
      <w:r>
        <w:rPr>
          <w:rFonts w:ascii="Calibri" w:hAnsi="Calibri"/>
          <w:color w:val="0B2545"/>
          <w:sz w:val="19"/>
        </w:rPr>
        <w:t xml:space="preserve"> - DDoS mitigation, WAF, custom rules, managed rulesets, and observability.</w:t>
      </w:r>
    </w:p>
    <w:p>
      <w:pPr>
        <w:pStyle w:val="ListBullet"/>
      </w:pPr>
      <w:hyperlink r:id="rId30">
        <w:r>
          <w:rPr>
            <w:color w:val="2E74B5"/>
            <w:u w:val="single"/>
          </w:rPr>
          <w:t>Vercel - Environment variables</w:t>
        </w:r>
      </w:hyperlink>
      <w:r>
        <w:rPr>
          <w:rFonts w:ascii="Calibri" w:hAnsi="Calibri"/>
          <w:color w:val="0B2545"/>
          <w:sz w:val="19"/>
        </w:rPr>
        <w:t xml:space="preserve"> - Environment-scoped secrets and redeployment behaviour.</w:t>
      </w:r>
    </w:p>
    <w:p>
      <w:pPr>
        <w:pStyle w:val="Heading2"/>
      </w:pPr>
      <w:r>
        <w:t>Professional review questions</w:t>
      </w:r>
    </w:p>
    <w:tbl>
      <w:tblPr>
        <w:tblStyle w:val="TableGrid"/>
        <w:tblW w:type="dxa" w:w="9360"/>
        <w:tblLayout w:type="fixed"/>
        <w:tblLook w:firstColumn="1" w:firstRow="1" w:lastColumn="0" w:lastRow="0" w:noHBand="0" w:noVBand="1" w:val="04A0"/>
        <w:jc w:val="left"/>
        <w:tblInd w:w="120" w:type="dxa"/>
      </w:tblPr>
      <w:tblGrid>
        <w:gridCol w:w="2000"/>
        <w:gridCol w:w="7360"/>
      </w:tblGrid>
      <w:tr>
        <w:trPr>
          <w:tblHeader w:val="true"/>
        </w:trPr>
        <w:tc>
          <w:tcPr>
            <w:tcW w:type="dxa" w:w="2000"/>
            <w:vAlign w:val="center"/>
            <w:tcMar>
              <w:top w:w="80" w:type="dxa"/>
              <w:start w:w="120" w:type="dxa"/>
              <w:bottom w:w="80" w:type="dxa"/>
              <w:end w:w="120" w:type="dxa"/>
            </w:tcMar>
            <w:shd w:fill="E8EEF5"/>
          </w:tcPr>
          <w:p>
            <w:pPr>
              <w:jc w:val="center"/>
            </w:pPr>
            <w:r>
              <w:rPr>
                <w:rFonts w:ascii="Calibri" w:hAnsi="Calibri"/>
                <w:b/>
                <w:color w:val="0B2545"/>
                <w:sz w:val="19"/>
              </w:rPr>
              <w:t>Adviser</w:t>
            </w:r>
          </w:p>
        </w:tc>
        <w:tc>
          <w:tcPr>
            <w:tcW w:type="dxa" w:w="7360"/>
            <w:vAlign w:val="center"/>
            <w:tcMar>
              <w:top w:w="80" w:type="dxa"/>
              <w:start w:w="120" w:type="dxa"/>
              <w:bottom w:w="80" w:type="dxa"/>
              <w:end w:w="120" w:type="dxa"/>
            </w:tcMar>
            <w:shd w:fill="E8EEF5"/>
          </w:tcPr>
          <w:p>
            <w:pPr>
              <w:jc w:val="left"/>
            </w:pPr>
            <w:r>
              <w:rPr>
                <w:rFonts w:ascii="Calibri" w:hAnsi="Calibri"/>
                <w:b/>
                <w:color w:val="0B2545"/>
                <w:sz w:val="19"/>
              </w:rPr>
              <w:t>Questions to resolve before paid launch</w:t>
            </w:r>
          </w:p>
        </w:tc>
      </w:tr>
      <w:tr>
        <w:tc>
          <w:tcPr>
            <w:tcW w:type="dxa" w:w="2000"/>
            <w:vAlign w:val="center"/>
            <w:tcMar>
              <w:top w:w="80" w:type="dxa"/>
              <w:start w:w="120" w:type="dxa"/>
              <w:bottom w:w="80" w:type="dxa"/>
              <w:end w:w="120" w:type="dxa"/>
            </w:tcMar>
          </w:tcPr>
          <w:p>
            <w:pPr>
              <w:spacing w:after="0"/>
              <w:jc w:val="center"/>
            </w:pPr>
            <w:r>
              <w:rPr>
                <w:rFonts w:ascii="Calibri" w:hAnsi="Calibri"/>
                <w:color w:val="0B2545"/>
                <w:sz w:val="19"/>
              </w:rPr>
              <w:t>Solicitor</w:t>
            </w:r>
          </w:p>
        </w:tc>
        <w:tc>
          <w:tcPr>
            <w:tcW w:type="dxa" w:w="7360"/>
            <w:vAlign w:val="center"/>
            <w:tcMar>
              <w:top w:w="80" w:type="dxa"/>
              <w:start w:w="120" w:type="dxa"/>
              <w:bottom w:w="80" w:type="dxa"/>
              <w:end w:w="120" w:type="dxa"/>
            </w:tcMar>
          </w:tcPr>
          <w:p>
            <w:pPr>
              <w:spacing w:after="0"/>
              <w:jc w:val="left"/>
            </w:pPr>
            <w:r>
              <w:rPr>
                <w:rFonts w:ascii="Calibri" w:hAnsi="Calibri"/>
                <w:color w:val="0B2545"/>
                <w:sz w:val="19"/>
              </w:rPr>
              <w:t>Brand/SAP marks; Terms; privacy/cookies; subscriptions/cancellation/refunds; consumer rights; liability; age; countries; AI; accessibility; online-safety scope</w:t>
            </w:r>
          </w:p>
        </w:tc>
      </w:tr>
      <w:tr>
        <w:tc>
          <w:tcPr>
            <w:tcW w:type="dxa" w:w="2000"/>
            <w:vAlign w:val="center"/>
            <w:tcMar>
              <w:top w:w="80" w:type="dxa"/>
              <w:start w:w="120" w:type="dxa"/>
              <w:bottom w:w="80" w:type="dxa"/>
              <w:end w:w="120" w:type="dxa"/>
            </w:tcMar>
          </w:tcPr>
          <w:p>
            <w:pPr>
              <w:spacing w:after="0"/>
              <w:jc w:val="left"/>
            </w:pPr>
            <w:r>
              <w:rPr>
                <w:rFonts w:ascii="Calibri" w:hAnsi="Calibri"/>
                <w:color w:val="0B2545"/>
                <w:sz w:val="19"/>
              </w:rPr>
              <w:t>Accountant/tax adviser</w:t>
            </w:r>
          </w:p>
        </w:tc>
        <w:tc>
          <w:tcPr>
            <w:tcW w:type="dxa" w:w="7360"/>
            <w:vAlign w:val="center"/>
            <w:tcMar>
              <w:top w:w="80" w:type="dxa"/>
              <w:start w:w="120" w:type="dxa"/>
              <w:bottom w:w="80" w:type="dxa"/>
              <w:end w:w="120" w:type="dxa"/>
            </w:tcMar>
          </w:tcPr>
          <w:p>
            <w:pPr>
              <w:spacing w:after="0"/>
              <w:jc w:val="left"/>
            </w:pPr>
            <w:r>
              <w:rPr>
                <w:rFonts w:ascii="Calibri" w:hAnsi="Calibri"/>
                <w:color w:val="0B2545"/>
                <w:sz w:val="19"/>
              </w:rPr>
              <w:t>Entity; bookkeeping; VAT registration; digital education classification; overseas B2C/B2B tax; invoices; revenue recognition</w:t>
            </w:r>
          </w:p>
        </w:tc>
      </w:tr>
      <w:tr>
        <w:tc>
          <w:tcPr>
            <w:tcW w:type="dxa" w:w="2000"/>
            <w:vAlign w:val="center"/>
            <w:tcMar>
              <w:top w:w="80" w:type="dxa"/>
              <w:start w:w="120" w:type="dxa"/>
              <w:bottom w:w="80" w:type="dxa"/>
              <w:end w:w="120" w:type="dxa"/>
            </w:tcMar>
          </w:tcPr>
          <w:p>
            <w:pPr>
              <w:spacing w:after="0"/>
              <w:jc w:val="left"/>
            </w:pPr>
            <w:r>
              <w:rPr>
                <w:rFonts w:ascii="Calibri" w:hAnsi="Calibri"/>
                <w:color w:val="0B2545"/>
                <w:sz w:val="19"/>
              </w:rPr>
              <w:t>Security professional</w:t>
            </w:r>
          </w:p>
        </w:tc>
        <w:tc>
          <w:tcPr>
            <w:tcW w:type="dxa" w:w="7360"/>
            <w:vAlign w:val="center"/>
            <w:tcMar>
              <w:top w:w="80" w:type="dxa"/>
              <w:start w:w="120" w:type="dxa"/>
              <w:bottom w:w="80" w:type="dxa"/>
              <w:end w:w="120" w:type="dxa"/>
            </w:tcMar>
          </w:tcPr>
          <w:p>
            <w:pPr>
              <w:spacing w:after="0"/>
              <w:jc w:val="left"/>
            </w:pPr>
            <w:r>
              <w:rPr>
                <w:rFonts w:ascii="Calibri" w:hAnsi="Calibri"/>
                <w:color w:val="0B2545"/>
                <w:sz w:val="19"/>
              </w:rPr>
              <w:t>Threat model; auth/session/API review; dependency/secret/log checks; penetration test; backup/restore; incident response</w:t>
            </w:r>
          </w:p>
        </w:tc>
      </w:tr>
      <w:tr>
        <w:tc>
          <w:tcPr>
            <w:tcW w:type="dxa" w:w="2000"/>
            <w:vAlign w:val="center"/>
            <w:tcMar>
              <w:top w:w="80" w:type="dxa"/>
              <w:start w:w="120" w:type="dxa"/>
              <w:bottom w:w="80" w:type="dxa"/>
              <w:end w:w="120" w:type="dxa"/>
            </w:tcMar>
          </w:tcPr>
          <w:p>
            <w:pPr>
              <w:spacing w:after="0"/>
              <w:jc w:val="left"/>
            </w:pPr>
            <w:r>
              <w:rPr>
                <w:rFonts w:ascii="Calibri" w:hAnsi="Calibri"/>
                <w:color w:val="0B2545"/>
                <w:sz w:val="19"/>
              </w:rPr>
              <w:t>Accessibility specialist</w:t>
            </w:r>
          </w:p>
        </w:tc>
        <w:tc>
          <w:tcPr>
            <w:tcW w:type="dxa" w:w="7360"/>
            <w:vAlign w:val="center"/>
            <w:tcMar>
              <w:top w:w="80" w:type="dxa"/>
              <w:start w:w="120" w:type="dxa"/>
              <w:bottom w:w="80" w:type="dxa"/>
              <w:end w:w="120" w:type="dxa"/>
            </w:tcMar>
          </w:tcPr>
          <w:p>
            <w:pPr>
              <w:spacing w:after="0"/>
              <w:jc w:val="left"/>
            </w:pPr>
            <w:r>
              <w:rPr>
                <w:rFonts w:ascii="Calibri" w:hAnsi="Calibri"/>
                <w:color w:val="0B2545"/>
                <w:sz w:val="19"/>
              </w:rPr>
              <w:t>WCAG 2.2 AA audit with assistive technology and prioritised remediation</w:t>
            </w:r>
          </w:p>
        </w:tc>
      </w:tr>
    </w:tbl>
    <w:p>
      <w:pPr>
        <w:spacing w:after="20"/>
      </w:pP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F6B7A"/>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F6B7A"/>
        <w:sz w:val="18"/>
      </w:rPr>
      <w:t>SAP World Public Launch &amp; Monetisation</w:t>
    </w:r>
    <w:r>
      <w:rPr>
        <w:rFonts w:ascii="Calibri" w:hAnsi="Calibri"/>
        <w:color w:val="5F6B7A"/>
        <w:sz w:val="18"/>
      </w:rPr>
      <w:t xml:space="preserve">  |  UK-first Operating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color w:val="0B2545"/>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color w:val="0B2545"/>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ico.org.uk/for-organisations/uk-gdpr-guidance-and-resources/individual-rights/the-right-to-be-informed/what-privacy-information-should-we-provide/" TargetMode="External"/><Relationship Id="rId12" Type="http://schemas.openxmlformats.org/officeDocument/2006/relationships/hyperlink" Target="https://ico.org.uk/for-organisations/direct-marketing-and-privacy-and-electronic-communications/guide-to-pecr/cookies-and-similar-technologies/" TargetMode="External"/><Relationship Id="rId13" Type="http://schemas.openxmlformats.org/officeDocument/2006/relationships/hyperlink" Target="https://ico.org.uk/for-organisations/data-protection-fee/" TargetMode="External"/><Relationship Id="rId14" Type="http://schemas.openxmlformats.org/officeDocument/2006/relationships/hyperlink" Target="https://ico.org.uk/for-organisations/report-a-breach/personal-data-breach/personal-data-breaches-a-guide/" TargetMode="External"/><Relationship Id="rId15" Type="http://schemas.openxmlformats.org/officeDocument/2006/relationships/hyperlink" Target="https://ico.org.uk/for-organisations/uk-gdpr-guidance-and-resources/security/a-guide-to-data-security/encryption/" TargetMode="External"/><Relationship Id="rId16" Type="http://schemas.openxmlformats.org/officeDocument/2006/relationships/hyperlink" Target="https://www.gov.uk/online-and-distance-selling-for-businesses" TargetMode="External"/><Relationship Id="rId17" Type="http://schemas.openxmlformats.org/officeDocument/2006/relationships/hyperlink" Target="https://www.gov.uk/government/collections/online-choice-architecture" TargetMode="External"/><Relationship Id="rId18" Type="http://schemas.openxmlformats.org/officeDocument/2006/relationships/hyperlink" Target="https://www.legislation.gov.uk/ukpga/2024/13/contents" TargetMode="External"/><Relationship Id="rId19" Type="http://schemas.openxmlformats.org/officeDocument/2006/relationships/hyperlink" Target="https://www.gov.uk/guidance/the-vat-rules-if-you-supply-digital-services-to-private-consumers" TargetMode="External"/><Relationship Id="rId20" Type="http://schemas.openxmlformats.org/officeDocument/2006/relationships/hyperlink" Target="https://www.gov.uk/using-somebody-elses-intellectual-property" TargetMode="External"/><Relationship Id="rId21" Type="http://schemas.openxmlformats.org/officeDocument/2006/relationships/hyperlink" Target="https://www.gov.uk/search-for-trademark" TargetMode="External"/><Relationship Id="rId22" Type="http://schemas.openxmlformats.org/officeDocument/2006/relationships/hyperlink" Target="https://www.sap.com/dam/site/corporate/legal/SAP_external_book_projects_E.pdf" TargetMode="External"/><Relationship Id="rId23" Type="http://schemas.openxmlformats.org/officeDocument/2006/relationships/hyperlink" Target="https://www.w3.org/TR/WCAG22/" TargetMode="External"/><Relationship Id="rId24" Type="http://schemas.openxmlformats.org/officeDocument/2006/relationships/hyperlink" Target="https://www.ofcom.org.uk/siteassets/resources/documents/online-safety/information-for-industry/illegal-harms/online-safety-enforcement-guidance.pdf" TargetMode="External"/><Relationship Id="rId25" Type="http://schemas.openxmlformats.org/officeDocument/2006/relationships/hyperlink" Target="https://docs.stripe.com/payments/checkout" TargetMode="External"/><Relationship Id="rId26" Type="http://schemas.openxmlformats.org/officeDocument/2006/relationships/hyperlink" Target="https://docs.stripe.com/customer-management" TargetMode="External"/><Relationship Id="rId27" Type="http://schemas.openxmlformats.org/officeDocument/2006/relationships/hyperlink" Target="https://www.pcisecuritystandards.org/wp-content/uploads/2022/05/Small_Merchant_Guide_to_Safe_Payments.pdf" TargetMode="External"/><Relationship Id="rId28" Type="http://schemas.openxmlformats.org/officeDocument/2006/relationships/hyperlink" Target="https://vercel.com/docs/security" TargetMode="External"/><Relationship Id="rId29" Type="http://schemas.openxmlformats.org/officeDocument/2006/relationships/hyperlink" Target="https://vercel.com/docs/vercel-firewall" TargetMode="External"/><Relationship Id="rId30" Type="http://schemas.openxmlformats.org/officeDocument/2006/relationships/hyperlink" Target="https://vercel.com/docs/environment-variab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