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80" w:after="360"/>
        <w:jc w:val="center"/>
      </w:pPr>
      <w:r>
        <w:rPr>
          <w:rFonts w:ascii="Calibri" w:hAnsi="Calibri"/>
          <w:b/>
          <w:color w:val="7A5A00"/>
          <w:sz w:val="21"/>
        </w:rPr>
        <w:t>SAP WORLD</w:t>
      </w:r>
    </w:p>
    <w:p>
      <w:pPr>
        <w:spacing w:after="200"/>
        <w:jc w:val="center"/>
      </w:pPr>
      <w:r>
        <w:rPr>
          <w:rFonts w:ascii="Calibri" w:hAnsi="Calibri"/>
          <w:b/>
          <w:color w:val="0B2545"/>
          <w:sz w:val="58"/>
        </w:rPr>
        <w:t>User Manual &amp; Learning Guide</w:t>
      </w:r>
    </w:p>
    <w:p>
      <w:pPr>
        <w:spacing w:after="600"/>
        <w:jc w:val="center"/>
      </w:pPr>
      <w:r>
        <w:rPr>
          <w:rFonts w:ascii="Calibri" w:hAnsi="Calibri"/>
          <w:color w:val="1F4D78"/>
          <w:sz w:val="30"/>
        </w:rPr>
        <w:t>Learn the app while learning how connected SAP work flows through an enterprise</w:t>
      </w:r>
    </w:p>
    <w:p>
      <w:pPr>
        <w:spacing w:after="1560"/>
        <w:jc w:val="center"/>
      </w:pPr>
      <w:r>
        <w:rPr>
          <w:rFonts w:ascii="Calibri" w:hAnsi="Calibri"/>
          <w:i/>
          <w:color w:val="7A5A00"/>
          <w:sz w:val="21"/>
        </w:rPr>
        <w:t>A practical, step-by-step field guide</w:t>
      </w:r>
    </w:p>
    <w:p>
      <w:pPr>
        <w:spacing w:after="80"/>
        <w:jc w:val="center"/>
      </w:pPr>
      <w:r>
        <w:rPr>
          <w:rFonts w:ascii="Calibri" w:hAnsi="Calibri"/>
          <w:b/>
          <w:color w:val="0B2545"/>
          <w:sz w:val="22"/>
        </w:rPr>
        <w:t>Version 1.0 | 30 June 2026</w:t>
      </w:r>
    </w:p>
    <w:p>
      <w:pPr>
        <w:spacing w:after="80"/>
        <w:jc w:val="center"/>
      </w:pPr>
      <w:r>
        <w:rPr>
          <w:rFonts w:ascii="Calibri" w:hAnsi="Calibri"/>
          <w:b w:val="0"/>
          <w:color w:val="5F6B7A"/>
          <w:sz w:val="19"/>
        </w:rPr>
        <w:t>For learners, reviewers, trainers, and administrators</w:t>
      </w:r>
    </w:p>
    <w:p>
      <w:pPr>
        <w:spacing w:after="80"/>
        <w:jc w:val="center"/>
      </w:pPr>
      <w:r>
        <w:rPr>
          <w:rFonts w:ascii="Calibri" w:hAnsi="Calibri"/>
          <w:b w:val="0"/>
          <w:color w:val="5F6B7A"/>
          <w:sz w:val="19"/>
        </w:rPr>
        <w:t>Live app: https://sap-world-pi.vercel.app</w:t>
      </w:r>
    </w:p>
    <w:p>
      <w:r>
        <w:br w:type="page"/>
      </w:r>
    </w:p>
    <w:p>
      <w:pPr>
        <w:pStyle w:val="Heading1"/>
      </w:pPr>
      <w:r>
        <w:t>How to use this guide</w:t>
      </w:r>
    </w:p>
    <w:p>
      <w:pPr>
        <w:spacing w:after="200"/>
      </w:pPr>
      <w:r>
        <w:rPr>
          <w:rFonts w:ascii="Calibri" w:hAnsi="Calibri"/>
          <w:i/>
          <w:color w:val="1F4D78"/>
          <w:sz w:val="23"/>
        </w:rPr>
        <w:t>Use the guide beside the app. Read one short section, perform the action, then check the result on screen.</w:t>
      </w:r>
    </w:p>
    <w:p>
      <w:r>
        <w:t>Each practical explanation contains an App reference. It names the exact menu or control to open. A Try it now box gives you a small action to complete before moving on.</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1F4D78"/>
          <w:sz w:val="21"/>
        </w:rPr>
        <w:t xml:space="preserve">Recommended rhythm: </w:t>
      </w:r>
      <w:r>
        <w:rPr>
          <w:rFonts w:ascii="Calibri" w:hAnsi="Calibri"/>
          <w:color w:val="0B2545"/>
          <w:sz w:val="21"/>
        </w:rPr>
        <w:t>Learn one process at a time: understand the business purpose, complete the guided transaction, diagnose an exception, record evidence, and review readiness.</w:t>
      </w:r>
    </w:p>
    <w:p>
      <w:pPr>
        <w:pStyle w:val="Heading2"/>
      </w:pPr>
      <w:r>
        <w:t>Who the app is for</w:t>
      </w:r>
    </w:p>
    <w:p>
      <w:pPr>
        <w:pStyle w:val="ListBullet"/>
      </w:pPr>
      <w:r>
        <w:t>Learners who want practical SAP S/4HANA process understanding without needing access to a live SAP tenant.</w:t>
      </w:r>
    </w:p>
    <w:p>
      <w:pPr>
        <w:pStyle w:val="ListBullet"/>
      </w:pPr>
      <w:r>
        <w:t>Career changers who need a structured route through SAP modules, transactions, evidence, and business language.</w:t>
      </w:r>
    </w:p>
    <w:p>
      <w:pPr>
        <w:pStyle w:val="ListBullet"/>
      </w:pPr>
      <w:r>
        <w:t>Managers and reviewers who want to inspect learning evidence, simulated approvals, and readiness.</w:t>
      </w:r>
    </w:p>
    <w:p>
      <w:pPr>
        <w:pStyle w:val="ListBullet"/>
      </w:pPr>
      <w:r>
        <w:t>Administrators who manage identities, controlled content, certification reviews, and release readiness.</w:t>
      </w:r>
    </w:p>
    <w:p>
      <w:pPr>
        <w:pStyle w:val="Heading2"/>
      </w:pPr>
      <w:r>
        <w:t>What SAP World is - and is not</w:t>
      </w:r>
    </w:p>
    <w:p>
      <w:r>
        <w:t>SAP World is a learning simulation. It uses realistic enterprise data, document chains, approvals, ledgers, controls, and guided explanations. It is not a live SAP production system, official SAP training, or a guarantee of employment or certification.</w:t>
      </w:r>
    </w:p>
    <w:p>
      <w:pPr>
        <w:spacing w:before="60" w:after="160"/>
        <w:ind w:left="115" w:right="115"/>
        <w:shd w:fill="FFF5F5"/>
        <w:pBdr>
          <w:top w:val="single" w:sz="4" w:space="6" w:color="D7DBE2"/>
          <w:left w:val="single" w:sz="4" w:space="6" w:color="D7DBE2"/>
          <w:bottom w:val="single" w:sz="4" w:space="6" w:color="D7DBE2"/>
          <w:right w:val="single" w:sz="4" w:space="6" w:color="D7DBE2"/>
        </w:pBdr>
      </w:pPr>
      <w:r>
        <w:rPr>
          <w:rFonts w:ascii="Calibri" w:hAnsi="Calibri"/>
          <w:b/>
          <w:color w:val="9B1C1C"/>
          <w:sz w:val="21"/>
        </w:rPr>
        <w:t xml:space="preserve">Important: </w:t>
      </w:r>
      <w:r>
        <w:rPr>
          <w:rFonts w:ascii="Calibri" w:hAnsi="Calibri"/>
          <w:color w:val="0B2545"/>
          <w:sz w:val="21"/>
        </w:rPr>
        <w:t>Do not enter real employer data, customer details, passwords, confidential SAP screenshots, or personal information into practice notes or SAP Mentor prompts.</w:t>
      </w:r>
    </w:p>
    <w:p>
      <w:pPr>
        <w:pStyle w:val="Heading2"/>
      </w:pPr>
      <w:r>
        <w:t>Contents</w:t>
      </w:r>
    </w:p>
    <w:tbl>
      <w:tblPr>
        <w:tblStyle w:val="TableGrid"/>
        <w:tblW w:type="dxa" w:w="9360"/>
        <w:tblLayout w:type="fixed"/>
        <w:tblLook w:firstColumn="1" w:firstRow="1" w:lastColumn="0" w:lastRow="0" w:noHBand="0" w:noVBand="1" w:val="04A0"/>
        <w:jc w:val="left"/>
        <w:tblInd w:w="120" w:type="dxa"/>
      </w:tblPr>
      <w:tblGrid>
        <w:gridCol w:w="1200"/>
        <w:gridCol w:w="8160"/>
      </w:tblGrid>
      <w:tr>
        <w:trPr>
          <w:tblHeader w:val="true"/>
        </w:trPr>
        <w:tc>
          <w:tcPr>
            <w:tcW w:type="dxa" w:w="1200"/>
            <w:vAlign w:val="center"/>
            <w:tcMar>
              <w:top w:w="80" w:type="dxa"/>
              <w:start w:w="120" w:type="dxa"/>
              <w:bottom w:w="80" w:type="dxa"/>
              <w:end w:w="120" w:type="dxa"/>
            </w:tcMar>
            <w:shd w:fill="E8EEF5"/>
          </w:tcPr>
          <w:p>
            <w:pPr>
              <w:jc w:val="center"/>
            </w:pPr>
            <w:r>
              <w:rPr>
                <w:rFonts w:ascii="Calibri" w:hAnsi="Calibri"/>
                <w:b/>
                <w:color w:val="0B2545"/>
                <w:sz w:val="19"/>
              </w:rPr>
              <w:t>Part</w:t>
            </w:r>
          </w:p>
        </w:tc>
        <w:tc>
          <w:tcPr>
            <w:tcW w:type="dxa" w:w="8160"/>
            <w:vAlign w:val="center"/>
            <w:tcMar>
              <w:top w:w="80" w:type="dxa"/>
              <w:start w:w="120" w:type="dxa"/>
              <w:bottom w:w="80" w:type="dxa"/>
              <w:end w:w="120" w:type="dxa"/>
            </w:tcMar>
            <w:shd w:fill="E8EEF5"/>
          </w:tcPr>
          <w:p>
            <w:pPr>
              <w:jc w:val="left"/>
            </w:pPr>
            <w:r>
              <w:rPr>
                <w:rFonts w:ascii="Calibri" w:hAnsi="Calibri"/>
                <w:b/>
                <w:color w:val="0B2545"/>
                <w:sz w:val="19"/>
              </w:rPr>
              <w:t>What you will learn</w:t>
            </w:r>
          </w:p>
        </w:tc>
      </w:tr>
      <w:tr>
        <w:tc>
          <w:tcPr>
            <w:tcW w:type="dxa" w:w="1200"/>
            <w:vAlign w:val="center"/>
            <w:tcMar>
              <w:top w:w="80" w:type="dxa"/>
              <w:start w:w="120" w:type="dxa"/>
              <w:bottom w:w="80" w:type="dxa"/>
              <w:end w:w="120" w:type="dxa"/>
            </w:tcMar>
          </w:tcPr>
          <w:p>
            <w:pPr>
              <w:spacing w:after="0"/>
              <w:jc w:val="center"/>
            </w:pPr>
            <w:r>
              <w:rPr>
                <w:rFonts w:ascii="Calibri" w:hAnsi="Calibri"/>
                <w:color w:val="0B2545"/>
                <w:sz w:val="19"/>
              </w:rPr>
              <w:t>1</w:t>
            </w:r>
          </w:p>
        </w:tc>
        <w:tc>
          <w:tcPr>
            <w:tcW w:type="dxa" w:w="8160"/>
            <w:vAlign w:val="center"/>
            <w:tcMar>
              <w:top w:w="80" w:type="dxa"/>
              <w:start w:w="120" w:type="dxa"/>
              <w:bottom w:w="80" w:type="dxa"/>
              <w:end w:w="120" w:type="dxa"/>
            </w:tcMar>
          </w:tcPr>
          <w:p>
            <w:pPr>
              <w:spacing w:after="0"/>
              <w:jc w:val="left"/>
            </w:pPr>
            <w:r>
              <w:rPr>
                <w:rFonts w:ascii="Calibri" w:hAnsi="Calibri"/>
                <w:color w:val="0B2545"/>
                <w:sz w:val="19"/>
              </w:rPr>
              <w:t>Sign in safely and understand the workspace</w:t>
            </w:r>
          </w:p>
        </w:tc>
      </w:tr>
      <w:tr>
        <w:tc>
          <w:tcPr>
            <w:tcW w:type="dxa" w:w="1200"/>
            <w:vAlign w:val="center"/>
            <w:tcMar>
              <w:top w:w="80" w:type="dxa"/>
              <w:start w:w="120" w:type="dxa"/>
              <w:bottom w:w="80" w:type="dxa"/>
              <w:end w:w="120" w:type="dxa"/>
            </w:tcMar>
          </w:tcPr>
          <w:p>
            <w:pPr>
              <w:spacing w:after="0"/>
              <w:jc w:val="center"/>
            </w:pPr>
            <w:r>
              <w:rPr>
                <w:rFonts w:ascii="Calibri" w:hAnsi="Calibri"/>
                <w:color w:val="0B2545"/>
                <w:sz w:val="19"/>
              </w:rPr>
              <w:t>2</w:t>
            </w:r>
          </w:p>
        </w:tc>
        <w:tc>
          <w:tcPr>
            <w:tcW w:type="dxa" w:w="8160"/>
            <w:vAlign w:val="center"/>
            <w:tcMar>
              <w:top w:w="80" w:type="dxa"/>
              <w:start w:w="120" w:type="dxa"/>
              <w:bottom w:w="80" w:type="dxa"/>
              <w:end w:w="120" w:type="dxa"/>
            </w:tcMar>
          </w:tcPr>
          <w:p>
            <w:pPr>
              <w:spacing w:after="0"/>
              <w:jc w:val="left"/>
            </w:pPr>
            <w:r>
              <w:rPr>
                <w:rFonts w:ascii="Calibri" w:hAnsi="Calibri"/>
                <w:color w:val="0B2545"/>
                <w:sz w:val="19"/>
              </w:rPr>
              <w:t>Follow a complete learner journey</w:t>
            </w:r>
          </w:p>
        </w:tc>
      </w:tr>
      <w:tr>
        <w:tc>
          <w:tcPr>
            <w:tcW w:type="dxa" w:w="1200"/>
            <w:vAlign w:val="center"/>
            <w:tcMar>
              <w:top w:w="80" w:type="dxa"/>
              <w:start w:w="120" w:type="dxa"/>
              <w:bottom w:w="80" w:type="dxa"/>
              <w:end w:w="120" w:type="dxa"/>
            </w:tcMar>
          </w:tcPr>
          <w:p>
            <w:pPr>
              <w:spacing w:after="0"/>
              <w:jc w:val="center"/>
            </w:pPr>
            <w:r>
              <w:rPr>
                <w:rFonts w:ascii="Calibri" w:hAnsi="Calibri"/>
                <w:color w:val="0B2545"/>
                <w:sz w:val="19"/>
              </w:rPr>
              <w:t>3</w:t>
            </w:r>
          </w:p>
        </w:tc>
        <w:tc>
          <w:tcPr>
            <w:tcW w:type="dxa" w:w="8160"/>
            <w:vAlign w:val="center"/>
            <w:tcMar>
              <w:top w:w="80" w:type="dxa"/>
              <w:start w:w="120" w:type="dxa"/>
              <w:bottom w:w="80" w:type="dxa"/>
              <w:end w:w="120" w:type="dxa"/>
            </w:tcMar>
          </w:tcPr>
          <w:p>
            <w:pPr>
              <w:spacing w:after="0"/>
              <w:jc w:val="left"/>
            </w:pPr>
            <w:r>
              <w:rPr>
                <w:rFonts w:ascii="Calibri" w:hAnsi="Calibri"/>
                <w:color w:val="0B2545"/>
                <w:sz w:val="19"/>
              </w:rPr>
              <w:t>Use every main learner area</w:t>
            </w:r>
          </w:p>
        </w:tc>
      </w:tr>
      <w:tr>
        <w:tc>
          <w:tcPr>
            <w:tcW w:type="dxa" w:w="1200"/>
            <w:vAlign w:val="center"/>
            <w:tcMar>
              <w:top w:w="80" w:type="dxa"/>
              <w:start w:w="120" w:type="dxa"/>
              <w:bottom w:w="80" w:type="dxa"/>
              <w:end w:w="120" w:type="dxa"/>
            </w:tcMar>
          </w:tcPr>
          <w:p>
            <w:pPr>
              <w:spacing w:after="0"/>
              <w:jc w:val="center"/>
            </w:pPr>
            <w:r>
              <w:rPr>
                <w:rFonts w:ascii="Calibri" w:hAnsi="Calibri"/>
                <w:color w:val="0B2545"/>
                <w:sz w:val="19"/>
              </w:rPr>
              <w:t>4</w:t>
            </w:r>
          </w:p>
        </w:tc>
        <w:tc>
          <w:tcPr>
            <w:tcW w:type="dxa" w:w="8160"/>
            <w:vAlign w:val="center"/>
            <w:tcMar>
              <w:top w:w="80" w:type="dxa"/>
              <w:start w:w="120" w:type="dxa"/>
              <w:bottom w:w="80" w:type="dxa"/>
              <w:end w:w="120" w:type="dxa"/>
            </w:tcMar>
          </w:tcPr>
          <w:p>
            <w:pPr>
              <w:spacing w:after="0"/>
              <w:jc w:val="left"/>
            </w:pPr>
            <w:r>
              <w:rPr>
                <w:rFonts w:ascii="Calibri" w:hAnsi="Calibri"/>
                <w:color w:val="0B2545"/>
                <w:sz w:val="19"/>
              </w:rPr>
              <w:t>Build evidence, readiness, and capstone submissions</w:t>
            </w:r>
          </w:p>
        </w:tc>
      </w:tr>
      <w:tr>
        <w:tc>
          <w:tcPr>
            <w:tcW w:type="dxa" w:w="1200"/>
            <w:vAlign w:val="center"/>
            <w:tcMar>
              <w:top w:w="80" w:type="dxa"/>
              <w:start w:w="120" w:type="dxa"/>
              <w:bottom w:w="80" w:type="dxa"/>
              <w:end w:w="120" w:type="dxa"/>
            </w:tcMar>
          </w:tcPr>
          <w:p>
            <w:pPr>
              <w:spacing w:after="0"/>
              <w:jc w:val="center"/>
            </w:pPr>
            <w:r>
              <w:rPr>
                <w:rFonts w:ascii="Calibri" w:hAnsi="Calibri"/>
                <w:color w:val="0B2545"/>
                <w:sz w:val="19"/>
              </w:rPr>
              <w:t>5</w:t>
            </w:r>
          </w:p>
        </w:tc>
        <w:tc>
          <w:tcPr>
            <w:tcW w:type="dxa" w:w="8160"/>
            <w:vAlign w:val="center"/>
            <w:tcMar>
              <w:top w:w="80" w:type="dxa"/>
              <w:start w:w="120" w:type="dxa"/>
              <w:bottom w:w="80" w:type="dxa"/>
              <w:end w:w="120" w:type="dxa"/>
            </w:tcMar>
          </w:tcPr>
          <w:p>
            <w:pPr>
              <w:spacing w:after="0"/>
              <w:jc w:val="left"/>
            </w:pPr>
            <w:r>
              <w:rPr>
                <w:rFonts w:ascii="Calibri" w:hAnsi="Calibri"/>
                <w:color w:val="0B2545"/>
                <w:sz w:val="19"/>
              </w:rPr>
              <w:t>Run simulations and interpret enterprise results</w:t>
            </w:r>
          </w:p>
        </w:tc>
      </w:tr>
      <w:tr>
        <w:tc>
          <w:tcPr>
            <w:tcW w:type="dxa" w:w="1200"/>
            <w:vAlign w:val="center"/>
            <w:tcMar>
              <w:top w:w="80" w:type="dxa"/>
              <w:start w:w="120" w:type="dxa"/>
              <w:bottom w:w="80" w:type="dxa"/>
              <w:end w:w="120" w:type="dxa"/>
            </w:tcMar>
          </w:tcPr>
          <w:p>
            <w:pPr>
              <w:spacing w:after="0"/>
              <w:jc w:val="center"/>
            </w:pPr>
            <w:r>
              <w:rPr>
                <w:rFonts w:ascii="Calibri" w:hAnsi="Calibri"/>
                <w:color w:val="0B2545"/>
                <w:sz w:val="19"/>
              </w:rPr>
              <w:t>6</w:t>
            </w:r>
          </w:p>
        </w:tc>
        <w:tc>
          <w:tcPr>
            <w:tcW w:type="dxa" w:w="8160"/>
            <w:vAlign w:val="center"/>
            <w:tcMar>
              <w:top w:w="80" w:type="dxa"/>
              <w:start w:w="120" w:type="dxa"/>
              <w:bottom w:w="80" w:type="dxa"/>
              <w:end w:w="120" w:type="dxa"/>
            </w:tcMar>
          </w:tcPr>
          <w:p>
            <w:pPr>
              <w:spacing w:after="0"/>
              <w:jc w:val="left"/>
            </w:pPr>
            <w:r>
              <w:rPr>
                <w:rFonts w:ascii="Calibri" w:hAnsi="Calibri"/>
                <w:color w:val="0B2545"/>
                <w:sz w:val="19"/>
              </w:rPr>
              <w:t>Use SAP Mentor responsibly</w:t>
            </w:r>
          </w:p>
        </w:tc>
      </w:tr>
      <w:tr>
        <w:tc>
          <w:tcPr>
            <w:tcW w:type="dxa" w:w="1200"/>
            <w:vAlign w:val="center"/>
            <w:tcMar>
              <w:top w:w="80" w:type="dxa"/>
              <w:start w:w="120" w:type="dxa"/>
              <w:bottom w:w="80" w:type="dxa"/>
              <w:end w:w="120" w:type="dxa"/>
            </w:tcMar>
          </w:tcPr>
          <w:p>
            <w:pPr>
              <w:spacing w:after="0"/>
              <w:jc w:val="center"/>
            </w:pPr>
            <w:r>
              <w:rPr>
                <w:rFonts w:ascii="Calibri" w:hAnsi="Calibri"/>
                <w:color w:val="0B2545"/>
                <w:sz w:val="19"/>
              </w:rPr>
              <w:t>7</w:t>
            </w:r>
          </w:p>
        </w:tc>
        <w:tc>
          <w:tcPr>
            <w:tcW w:type="dxa" w:w="8160"/>
            <w:vAlign w:val="center"/>
            <w:tcMar>
              <w:top w:w="80" w:type="dxa"/>
              <w:start w:w="120" w:type="dxa"/>
              <w:bottom w:w="80" w:type="dxa"/>
              <w:end w:w="120" w:type="dxa"/>
            </w:tcMar>
          </w:tcPr>
          <w:p>
            <w:pPr>
              <w:spacing w:after="0"/>
              <w:jc w:val="left"/>
            </w:pPr>
            <w:r>
              <w:rPr>
                <w:rFonts w:ascii="Calibri" w:hAnsi="Calibri"/>
                <w:color w:val="0B2545"/>
                <w:sz w:val="19"/>
              </w:rPr>
              <w:t>Use administrator and reviewer controls</w:t>
            </w:r>
          </w:p>
        </w:tc>
      </w:tr>
      <w:tr>
        <w:tc>
          <w:tcPr>
            <w:tcW w:type="dxa" w:w="1200"/>
            <w:vAlign w:val="center"/>
            <w:tcMar>
              <w:top w:w="80" w:type="dxa"/>
              <w:start w:w="120" w:type="dxa"/>
              <w:bottom w:w="80" w:type="dxa"/>
              <w:end w:w="120" w:type="dxa"/>
            </w:tcMar>
          </w:tcPr>
          <w:p>
            <w:pPr>
              <w:spacing w:after="0"/>
              <w:jc w:val="center"/>
            </w:pPr>
            <w:r>
              <w:rPr>
                <w:rFonts w:ascii="Calibri" w:hAnsi="Calibri"/>
                <w:color w:val="0B2545"/>
                <w:sz w:val="19"/>
              </w:rPr>
              <w:t>8</w:t>
            </w:r>
          </w:p>
        </w:tc>
        <w:tc>
          <w:tcPr>
            <w:tcW w:type="dxa" w:w="8160"/>
            <w:vAlign w:val="center"/>
            <w:tcMar>
              <w:top w:w="80" w:type="dxa"/>
              <w:start w:w="120" w:type="dxa"/>
              <w:bottom w:w="80" w:type="dxa"/>
              <w:end w:w="120" w:type="dxa"/>
            </w:tcMar>
          </w:tcPr>
          <w:p>
            <w:pPr>
              <w:spacing w:after="0"/>
              <w:jc w:val="left"/>
            </w:pPr>
            <w:r>
              <w:rPr>
                <w:rFonts w:ascii="Calibri" w:hAnsi="Calibri"/>
                <w:color w:val="0B2545"/>
                <w:sz w:val="19"/>
              </w:rPr>
              <w:t>Troubleshoot common issues and follow a study plan</w:t>
            </w:r>
          </w:p>
        </w:tc>
      </w:tr>
    </w:tbl>
    <w:p>
      <w:pPr>
        <w:spacing w:after="20"/>
      </w:pPr>
    </w:p>
    <w:p>
      <w:r>
        <w:br w:type="page"/>
      </w:r>
    </w:p>
    <w:p>
      <w:pPr>
        <w:pStyle w:val="Heading1"/>
      </w:pPr>
      <w:r>
        <w:t>1. Start safely: account, sign-in, and recovery</w:t>
      </w:r>
    </w:p>
    <w:p>
      <w:pPr>
        <w:spacing w:after="200"/>
      </w:pPr>
      <w:r>
        <w:rPr>
          <w:rFonts w:ascii="Calibri" w:hAnsi="Calibri"/>
          <w:i/>
          <w:color w:val="1F4D78"/>
          <w:sz w:val="23"/>
        </w:rPr>
        <w:t>Your account keeps progress, evidence, simulation history, and role-based access connected to you.</w:t>
      </w:r>
    </w:p>
    <w:p>
      <w:pPr>
        <w:pStyle w:val="Heading2"/>
      </w:pPr>
      <w:r>
        <w:t>Create a learner account</w:t>
      </w:r>
    </w:p>
    <w:p>
      <w:pPr>
        <w:pStyle w:val="ListNumber"/>
      </w:pPr>
      <w:r>
        <w:t>Open https://sap-world-pi.vercel.app.</w:t>
      </w:r>
    </w:p>
    <w:p>
      <w:pPr>
        <w:pStyle w:val="ListNumber"/>
      </w:pPr>
      <w:r>
        <w:t>Choose the registration option on the sign-in screen.</w:t>
      </w:r>
    </w:p>
    <w:p>
      <w:pPr>
        <w:pStyle w:val="ListNumber"/>
      </w:pPr>
      <w:r>
        <w:t>Enter the requested account details and use a unique password that you do not use elsewhere.</w:t>
      </w:r>
    </w:p>
    <w:p>
      <w:pPr>
        <w:pStyle w:val="ListNumber"/>
      </w:pPr>
      <w:r>
        <w:t>Submit the form, then sign in with the new account.</w:t>
      </w:r>
    </w:p>
    <w:p>
      <w:pPr>
        <w:pStyle w:val="ListNumber"/>
      </w:pPr>
      <w:r>
        <w:t>Confirm that the Enterprise overview opens and your learner navigation appears.</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Opening screen -&gt; Register / Create account -&gt; Sign in -&gt; Enterprise overview</w:t>
      </w:r>
    </w:p>
    <w:p>
      <w:pPr>
        <w:spacing w:before="60" w:after="160"/>
        <w:ind w:left="115" w:right="115"/>
        <w:shd w:fill="EEF7F1"/>
        <w:pBdr>
          <w:top w:val="single" w:sz="4" w:space="6" w:color="D7DBE2"/>
          <w:left w:val="single" w:sz="4" w:space="6" w:color="D7DBE2"/>
          <w:bottom w:val="single" w:sz="4" w:space="6" w:color="D7DBE2"/>
          <w:right w:val="single" w:sz="4" w:space="6" w:color="D7DBE2"/>
        </w:pBdr>
      </w:pPr>
      <w:r>
        <w:rPr>
          <w:rFonts w:ascii="Calibri" w:hAnsi="Calibri"/>
          <w:b/>
          <w:color w:val="276749"/>
          <w:sz w:val="21"/>
        </w:rPr>
        <w:t xml:space="preserve">Try it now: </w:t>
      </w:r>
      <w:r>
        <w:rPr>
          <w:rFonts w:ascii="Calibri" w:hAnsi="Calibri"/>
          <w:color w:val="0B2545"/>
          <w:sz w:val="21"/>
        </w:rPr>
        <w:t>Sign out once and sign in again. This confirms that you know your credentials before starting a long learning session.</w:t>
      </w:r>
    </w:p>
    <w:p>
      <w:pPr>
        <w:pStyle w:val="Heading2"/>
      </w:pPr>
      <w:r>
        <w:t>Recover a password</w:t>
      </w:r>
    </w:p>
    <w:p>
      <w:pPr>
        <w:pStyle w:val="ListNumber"/>
      </w:pPr>
      <w:r>
        <w:t>Choose Forgot password on the sign-in screen.</w:t>
      </w:r>
    </w:p>
    <w:p>
      <w:pPr>
        <w:pStyle w:val="ListNumber"/>
      </w:pPr>
      <w:r>
        <w:t>Enter the email address used for the account.</w:t>
      </w:r>
    </w:p>
    <w:p>
      <w:pPr>
        <w:pStyle w:val="ListNumber"/>
      </w:pPr>
      <w:r>
        <w:t>Follow the reset instructions. A reset token is time-limited and can be used only once.</w:t>
      </w:r>
    </w:p>
    <w:p>
      <w:pPr>
        <w:pStyle w:val="ListNumber"/>
      </w:pPr>
      <w:r>
        <w:t>Create a new unique password and sign in again.</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Opening screen -&gt; Forgot password</w:t>
      </w:r>
    </w:p>
    <w:p>
      <w:pPr>
        <w:spacing w:before="60" w:after="160"/>
        <w:ind w:left="115" w:right="115"/>
        <w:shd w:fill="FFF5F5"/>
        <w:pBdr>
          <w:top w:val="single" w:sz="4" w:space="6" w:color="D7DBE2"/>
          <w:left w:val="single" w:sz="4" w:space="6" w:color="D7DBE2"/>
          <w:bottom w:val="single" w:sz="4" w:space="6" w:color="D7DBE2"/>
          <w:right w:val="single" w:sz="4" w:space="6" w:color="D7DBE2"/>
        </w:pBdr>
      </w:pPr>
      <w:r>
        <w:rPr>
          <w:rFonts w:ascii="Calibri" w:hAnsi="Calibri"/>
          <w:b/>
          <w:color w:val="9B1C1C"/>
          <w:sz w:val="21"/>
        </w:rPr>
        <w:t xml:space="preserve">Important: </w:t>
      </w:r>
      <w:r>
        <w:rPr>
          <w:rFonts w:ascii="Calibri" w:hAnsi="Calibri"/>
          <w:color w:val="0B2545"/>
          <w:sz w:val="21"/>
        </w:rPr>
        <w:t>A password reset ends existing sessions. If you did not request the reset, contact the site operator and change your password immediately.</w:t>
      </w:r>
    </w:p>
    <w:p>
      <w:pPr>
        <w:pStyle w:val="Heading2"/>
      </w:pPr>
      <w:r>
        <w:t>Understand roles</w:t>
      </w:r>
    </w:p>
    <w:tbl>
      <w:tblPr>
        <w:tblStyle w:val="TableGrid"/>
        <w:tblW w:type="dxa" w:w="9360"/>
        <w:tblLayout w:type="fixed"/>
        <w:tblLook w:firstColumn="1" w:firstRow="1" w:lastColumn="0" w:lastRow="0" w:noHBand="0" w:noVBand="1" w:val="04A0"/>
        <w:jc w:val="left"/>
        <w:tblInd w:w="120" w:type="dxa"/>
      </w:tblPr>
      <w:tblGrid>
        <w:gridCol w:w="1500"/>
        <w:gridCol w:w="3900"/>
        <w:gridCol w:w="3960"/>
      </w:tblGrid>
      <w:tr>
        <w:trPr>
          <w:tblHeader w:val="true"/>
        </w:trPr>
        <w:tc>
          <w:tcPr>
            <w:tcW w:type="dxa" w:w="1500"/>
            <w:vAlign w:val="center"/>
            <w:tcMar>
              <w:top w:w="80" w:type="dxa"/>
              <w:start w:w="120" w:type="dxa"/>
              <w:bottom w:w="80" w:type="dxa"/>
              <w:end w:w="120" w:type="dxa"/>
            </w:tcMar>
            <w:shd w:fill="E8EEF5"/>
          </w:tcPr>
          <w:p>
            <w:pPr>
              <w:jc w:val="center"/>
            </w:pPr>
            <w:r>
              <w:rPr>
                <w:rFonts w:ascii="Calibri" w:hAnsi="Calibri"/>
                <w:b/>
                <w:color w:val="0B2545"/>
                <w:sz w:val="19"/>
              </w:rPr>
              <w:t>Role</w:t>
            </w:r>
          </w:p>
        </w:tc>
        <w:tc>
          <w:tcPr>
            <w:tcW w:type="dxa" w:w="3900"/>
            <w:vAlign w:val="center"/>
            <w:tcMar>
              <w:top w:w="80" w:type="dxa"/>
              <w:start w:w="120" w:type="dxa"/>
              <w:bottom w:w="80" w:type="dxa"/>
              <w:end w:w="120" w:type="dxa"/>
            </w:tcMar>
            <w:shd w:fill="E8EEF5"/>
          </w:tcPr>
          <w:p>
            <w:pPr>
              <w:jc w:val="left"/>
            </w:pPr>
            <w:r>
              <w:rPr>
                <w:rFonts w:ascii="Calibri" w:hAnsi="Calibri"/>
                <w:b/>
                <w:color w:val="0B2545"/>
                <w:sz w:val="19"/>
              </w:rPr>
              <w:t>What appears in the app</w:t>
            </w:r>
          </w:p>
        </w:tc>
        <w:tc>
          <w:tcPr>
            <w:tcW w:type="dxa" w:w="3960"/>
            <w:vAlign w:val="center"/>
            <w:tcMar>
              <w:top w:w="80" w:type="dxa"/>
              <w:start w:w="120" w:type="dxa"/>
              <w:bottom w:w="80" w:type="dxa"/>
              <w:end w:w="120" w:type="dxa"/>
            </w:tcMar>
            <w:shd w:fill="E8EEF5"/>
          </w:tcPr>
          <w:p>
            <w:pPr>
              <w:jc w:val="center"/>
            </w:pPr>
            <w:r>
              <w:rPr>
                <w:rFonts w:ascii="Calibri" w:hAnsi="Calibri"/>
                <w:b/>
                <w:color w:val="0B2545"/>
                <w:sz w:val="19"/>
              </w:rPr>
              <w:t>Use it for</w:t>
            </w:r>
          </w:p>
        </w:tc>
      </w:tr>
      <w:tr>
        <w:tc>
          <w:tcPr>
            <w:tcW w:type="dxa" w:w="1500"/>
            <w:vAlign w:val="center"/>
            <w:tcMar>
              <w:top w:w="80" w:type="dxa"/>
              <w:start w:w="120" w:type="dxa"/>
              <w:bottom w:w="80" w:type="dxa"/>
              <w:end w:w="120" w:type="dxa"/>
            </w:tcMar>
          </w:tcPr>
          <w:p>
            <w:pPr>
              <w:spacing w:after="0"/>
              <w:jc w:val="center"/>
            </w:pPr>
            <w:r>
              <w:rPr>
                <w:rFonts w:ascii="Calibri" w:hAnsi="Calibri"/>
                <w:color w:val="0B2545"/>
                <w:sz w:val="19"/>
              </w:rPr>
              <w:t>Learner</w:t>
            </w:r>
          </w:p>
        </w:tc>
        <w:tc>
          <w:tcPr>
            <w:tcW w:type="dxa" w:w="3900"/>
            <w:vAlign w:val="center"/>
            <w:tcMar>
              <w:top w:w="80" w:type="dxa"/>
              <w:start w:w="120" w:type="dxa"/>
              <w:bottom w:w="80" w:type="dxa"/>
              <w:end w:w="120" w:type="dxa"/>
            </w:tcMar>
          </w:tcPr>
          <w:p>
            <w:pPr>
              <w:spacing w:after="0"/>
              <w:jc w:val="left"/>
            </w:pPr>
            <w:r>
              <w:rPr>
                <w:rFonts w:ascii="Calibri" w:hAnsi="Calibri"/>
                <w:color w:val="0B2545"/>
                <w:sz w:val="19"/>
              </w:rPr>
              <w:t>Learning, simulations, tutor, evidence, analytics, history, and approvals</w:t>
            </w:r>
          </w:p>
        </w:tc>
        <w:tc>
          <w:tcPr>
            <w:tcW w:type="dxa" w:w="3960"/>
            <w:vAlign w:val="center"/>
            <w:tcMar>
              <w:top w:w="80" w:type="dxa"/>
              <w:start w:w="120" w:type="dxa"/>
              <w:bottom w:w="80" w:type="dxa"/>
              <w:end w:w="120" w:type="dxa"/>
            </w:tcMar>
          </w:tcPr>
          <w:p>
            <w:pPr>
              <w:spacing w:after="0"/>
              <w:jc w:val="left"/>
            </w:pPr>
            <w:r>
              <w:rPr>
                <w:rFonts w:ascii="Calibri" w:hAnsi="Calibri"/>
                <w:color w:val="0B2545"/>
                <w:sz w:val="19"/>
              </w:rPr>
              <w:t>Practising connected SAP work</w:t>
            </w:r>
          </w:p>
        </w:tc>
      </w:tr>
      <w:tr>
        <w:tc>
          <w:tcPr>
            <w:tcW w:type="dxa" w:w="1500"/>
            <w:vAlign w:val="center"/>
            <w:tcMar>
              <w:top w:w="80" w:type="dxa"/>
              <w:start w:w="120" w:type="dxa"/>
              <w:bottom w:w="80" w:type="dxa"/>
              <w:end w:w="120" w:type="dxa"/>
            </w:tcMar>
          </w:tcPr>
          <w:p>
            <w:pPr>
              <w:spacing w:after="0"/>
              <w:jc w:val="center"/>
            </w:pPr>
            <w:r>
              <w:rPr>
                <w:rFonts w:ascii="Calibri" w:hAnsi="Calibri"/>
                <w:color w:val="0B2545"/>
                <w:sz w:val="19"/>
              </w:rPr>
              <w:t>Administrator</w:t>
            </w:r>
          </w:p>
        </w:tc>
        <w:tc>
          <w:tcPr>
            <w:tcW w:type="dxa" w:w="3900"/>
            <w:vAlign w:val="center"/>
            <w:tcMar>
              <w:top w:w="80" w:type="dxa"/>
              <w:start w:w="120" w:type="dxa"/>
              <w:bottom w:w="80" w:type="dxa"/>
              <w:end w:w="120" w:type="dxa"/>
            </w:tcMar>
          </w:tcPr>
          <w:p>
            <w:pPr>
              <w:spacing w:after="0"/>
              <w:jc w:val="left"/>
            </w:pPr>
            <w:r>
              <w:rPr>
                <w:rFonts w:ascii="Calibri" w:hAnsi="Calibri"/>
                <w:color w:val="0B2545"/>
                <w:sz w:val="19"/>
              </w:rPr>
              <w:t>All learner areas plus Control plane</w:t>
            </w:r>
          </w:p>
        </w:tc>
        <w:tc>
          <w:tcPr>
            <w:tcW w:type="dxa" w:w="3960"/>
            <w:vAlign w:val="center"/>
            <w:tcMar>
              <w:top w:w="80" w:type="dxa"/>
              <w:start w:w="120" w:type="dxa"/>
              <w:bottom w:w="80" w:type="dxa"/>
              <w:end w:w="120" w:type="dxa"/>
            </w:tcMar>
          </w:tcPr>
          <w:p>
            <w:pPr>
              <w:spacing w:after="0"/>
              <w:jc w:val="left"/>
            </w:pPr>
            <w:r>
              <w:rPr>
                <w:rFonts w:ascii="Calibri" w:hAnsi="Calibri"/>
                <w:color w:val="0B2545"/>
                <w:sz w:val="19"/>
              </w:rPr>
              <w:t>Identity, governance, reviews, readiness, and release operations</w:t>
            </w:r>
          </w:p>
        </w:tc>
      </w:tr>
      <w:tr>
        <w:tc>
          <w:tcPr>
            <w:tcW w:type="dxa" w:w="1500"/>
            <w:vAlign w:val="center"/>
            <w:tcMar>
              <w:top w:w="80" w:type="dxa"/>
              <w:start w:w="120" w:type="dxa"/>
              <w:bottom w:w="80" w:type="dxa"/>
              <w:end w:w="120" w:type="dxa"/>
            </w:tcMar>
          </w:tcPr>
          <w:p>
            <w:pPr>
              <w:spacing w:after="0"/>
              <w:jc w:val="center"/>
            </w:pPr>
            <w:r>
              <w:rPr>
                <w:rFonts w:ascii="Calibri" w:hAnsi="Calibri"/>
                <w:color w:val="0B2545"/>
                <w:sz w:val="19"/>
              </w:rPr>
              <w:t>Suspended account</w:t>
            </w:r>
          </w:p>
        </w:tc>
        <w:tc>
          <w:tcPr>
            <w:tcW w:type="dxa" w:w="3900"/>
            <w:vAlign w:val="center"/>
            <w:tcMar>
              <w:top w:w="80" w:type="dxa"/>
              <w:start w:w="120" w:type="dxa"/>
              <w:bottom w:w="80" w:type="dxa"/>
              <w:end w:w="120" w:type="dxa"/>
            </w:tcMar>
          </w:tcPr>
          <w:p>
            <w:pPr>
              <w:spacing w:after="0"/>
              <w:jc w:val="left"/>
            </w:pPr>
            <w:r>
              <w:rPr>
                <w:rFonts w:ascii="Calibri" w:hAnsi="Calibri"/>
                <w:color w:val="0B2545"/>
                <w:sz w:val="19"/>
              </w:rPr>
              <w:t>Access is blocked</w:t>
            </w:r>
          </w:p>
        </w:tc>
        <w:tc>
          <w:tcPr>
            <w:tcW w:type="dxa" w:w="3960"/>
            <w:vAlign w:val="center"/>
            <w:tcMar>
              <w:top w:w="80" w:type="dxa"/>
              <w:start w:w="120" w:type="dxa"/>
              <w:bottom w:w="80" w:type="dxa"/>
              <w:end w:w="120" w:type="dxa"/>
            </w:tcMar>
          </w:tcPr>
          <w:p>
            <w:pPr>
              <w:spacing w:after="0"/>
              <w:jc w:val="left"/>
            </w:pPr>
            <w:r>
              <w:rPr>
                <w:rFonts w:ascii="Calibri" w:hAnsi="Calibri"/>
                <w:color w:val="0B2545"/>
                <w:sz w:val="19"/>
              </w:rPr>
              <w:t>Safety or lifecycle control; an administrator must reactivate it</w:t>
            </w:r>
          </w:p>
        </w:tc>
      </w:tr>
    </w:tbl>
    <w:p>
      <w:pPr>
        <w:spacing w:after="20"/>
      </w:pPr>
    </w:p>
    <w:p>
      <w:r>
        <w:br w:type="page"/>
      </w:r>
    </w:p>
    <w:p>
      <w:pPr>
        <w:pStyle w:val="Heading1"/>
      </w:pPr>
      <w:r>
        <w:t>2. Your first 30 minutes</w:t>
      </w:r>
    </w:p>
    <w:p>
      <w:pPr>
        <w:spacing w:after="200"/>
      </w:pPr>
      <w:r>
        <w:rPr>
          <w:rFonts w:ascii="Calibri" w:hAnsi="Calibri"/>
          <w:i/>
          <w:color w:val="1F4D78"/>
          <w:sz w:val="23"/>
        </w:rPr>
        <w:t>This short session teaches the navigation and gives you a first piece of saved progress.</w:t>
      </w:r>
    </w:p>
    <w:tbl>
      <w:tblPr>
        <w:tblStyle w:val="TableGrid"/>
        <w:tblW w:type="dxa" w:w="9360"/>
        <w:tblLayout w:type="fixed"/>
        <w:tblLook w:firstColumn="1" w:firstRow="1" w:lastColumn="0" w:lastRow="0" w:noHBand="0" w:noVBand="1" w:val="04A0"/>
        <w:jc w:val="left"/>
        <w:tblInd w:w="120" w:type="dxa"/>
      </w:tblPr>
      <w:tblGrid>
        <w:gridCol w:w="1000"/>
        <w:gridCol w:w="4700"/>
        <w:gridCol w:w="3660"/>
      </w:tblGrid>
      <w:tr>
        <w:trPr>
          <w:tblHeader w:val="true"/>
        </w:trPr>
        <w:tc>
          <w:tcPr>
            <w:tcW w:type="dxa" w:w="1000"/>
            <w:vAlign w:val="center"/>
            <w:tcMar>
              <w:top w:w="80" w:type="dxa"/>
              <w:start w:w="120" w:type="dxa"/>
              <w:bottom w:w="80" w:type="dxa"/>
              <w:end w:w="120" w:type="dxa"/>
            </w:tcMar>
            <w:shd w:fill="E8EEF5"/>
          </w:tcPr>
          <w:p>
            <w:pPr>
              <w:jc w:val="center"/>
            </w:pPr>
            <w:r>
              <w:rPr>
                <w:rFonts w:ascii="Calibri" w:hAnsi="Calibri"/>
                <w:b/>
                <w:color w:val="0B2545"/>
                <w:sz w:val="19"/>
              </w:rPr>
              <w:t>Minutes</w:t>
            </w:r>
          </w:p>
        </w:tc>
        <w:tc>
          <w:tcPr>
            <w:tcW w:type="dxa" w:w="4700"/>
            <w:vAlign w:val="center"/>
            <w:tcMar>
              <w:top w:w="80" w:type="dxa"/>
              <w:start w:w="120" w:type="dxa"/>
              <w:bottom w:w="80" w:type="dxa"/>
              <w:end w:w="120" w:type="dxa"/>
            </w:tcMar>
            <w:shd w:fill="E8EEF5"/>
          </w:tcPr>
          <w:p>
            <w:pPr>
              <w:jc w:val="center"/>
            </w:pPr>
            <w:r>
              <w:rPr>
                <w:rFonts w:ascii="Calibri" w:hAnsi="Calibri"/>
                <w:b/>
                <w:color w:val="0B2545"/>
                <w:sz w:val="19"/>
              </w:rPr>
              <w:t>Action</w:t>
            </w:r>
          </w:p>
        </w:tc>
        <w:tc>
          <w:tcPr>
            <w:tcW w:type="dxa" w:w="3660"/>
            <w:vAlign w:val="center"/>
            <w:tcMar>
              <w:top w:w="80" w:type="dxa"/>
              <w:start w:w="120" w:type="dxa"/>
              <w:bottom w:w="80" w:type="dxa"/>
              <w:end w:w="120" w:type="dxa"/>
            </w:tcMar>
            <w:shd w:fill="E8EEF5"/>
          </w:tcPr>
          <w:p>
            <w:pPr>
              <w:jc w:val="center"/>
            </w:pPr>
            <w:r>
              <w:rPr>
                <w:rFonts w:ascii="Calibri" w:hAnsi="Calibri"/>
                <w:b/>
                <w:color w:val="0B2545"/>
                <w:sz w:val="19"/>
              </w:rPr>
              <w:t>App reference</w:t>
            </w:r>
          </w:p>
        </w:tc>
      </w:tr>
      <w:tr>
        <w:tc>
          <w:tcPr>
            <w:tcW w:type="dxa" w:w="1000"/>
            <w:vAlign w:val="center"/>
            <w:tcMar>
              <w:top w:w="80" w:type="dxa"/>
              <w:start w:w="120" w:type="dxa"/>
              <w:bottom w:w="80" w:type="dxa"/>
              <w:end w:w="120" w:type="dxa"/>
            </w:tcMar>
          </w:tcPr>
          <w:p>
            <w:pPr>
              <w:spacing w:after="0"/>
              <w:jc w:val="center"/>
            </w:pPr>
            <w:r>
              <w:rPr>
                <w:rFonts w:ascii="Calibri" w:hAnsi="Calibri"/>
                <w:color w:val="0B2545"/>
                <w:sz w:val="19"/>
              </w:rPr>
              <w:t>0-5</w:t>
            </w:r>
          </w:p>
        </w:tc>
        <w:tc>
          <w:tcPr>
            <w:tcW w:type="dxa" w:w="4700"/>
            <w:vAlign w:val="center"/>
            <w:tcMar>
              <w:top w:w="80" w:type="dxa"/>
              <w:start w:w="120" w:type="dxa"/>
              <w:bottom w:w="80" w:type="dxa"/>
              <w:end w:w="120" w:type="dxa"/>
            </w:tcMar>
          </w:tcPr>
          <w:p>
            <w:pPr>
              <w:spacing w:after="0"/>
              <w:jc w:val="left"/>
            </w:pPr>
            <w:r>
              <w:rPr>
                <w:rFonts w:ascii="Calibri" w:hAnsi="Calibri"/>
                <w:color w:val="0B2545"/>
                <w:sz w:val="19"/>
              </w:rPr>
              <w:t>Review the dashboard and choose a focus process.</w:t>
            </w:r>
          </w:p>
        </w:tc>
        <w:tc>
          <w:tcPr>
            <w:tcW w:type="dxa" w:w="3660"/>
            <w:vAlign w:val="center"/>
            <w:tcMar>
              <w:top w:w="80" w:type="dxa"/>
              <w:start w:w="120" w:type="dxa"/>
              <w:bottom w:w="80" w:type="dxa"/>
              <w:end w:w="120" w:type="dxa"/>
            </w:tcMar>
          </w:tcPr>
          <w:p>
            <w:pPr>
              <w:spacing w:after="0"/>
              <w:jc w:val="left"/>
            </w:pPr>
            <w:r>
              <w:rPr>
                <w:rFonts w:ascii="Calibri" w:hAnsi="Calibri"/>
                <w:color w:val="0B2545"/>
                <w:sz w:val="19"/>
              </w:rPr>
              <w:t>Enterprise overview</w:t>
            </w:r>
          </w:p>
        </w:tc>
      </w:tr>
      <w:tr>
        <w:tc>
          <w:tcPr>
            <w:tcW w:type="dxa" w:w="1000"/>
            <w:vAlign w:val="center"/>
            <w:tcMar>
              <w:top w:w="80" w:type="dxa"/>
              <w:start w:w="120" w:type="dxa"/>
              <w:bottom w:w="80" w:type="dxa"/>
              <w:end w:w="120" w:type="dxa"/>
            </w:tcMar>
          </w:tcPr>
          <w:p>
            <w:pPr>
              <w:spacing w:after="0"/>
              <w:jc w:val="center"/>
            </w:pPr>
            <w:r>
              <w:rPr>
                <w:rFonts w:ascii="Calibri" w:hAnsi="Calibri"/>
                <w:color w:val="0B2545"/>
                <w:sz w:val="19"/>
              </w:rPr>
              <w:t>5-10</w:t>
            </w:r>
          </w:p>
        </w:tc>
        <w:tc>
          <w:tcPr>
            <w:tcW w:type="dxa" w:w="4700"/>
            <w:vAlign w:val="center"/>
            <w:tcMar>
              <w:top w:w="80" w:type="dxa"/>
              <w:start w:w="120" w:type="dxa"/>
              <w:bottom w:w="80" w:type="dxa"/>
              <w:end w:w="120" w:type="dxa"/>
            </w:tcMar>
          </w:tcPr>
          <w:p>
            <w:pPr>
              <w:spacing w:after="0"/>
              <w:jc w:val="left"/>
            </w:pPr>
            <w:r>
              <w:rPr>
                <w:rFonts w:ascii="Calibri" w:hAnsi="Calibri"/>
                <w:color w:val="0B2545"/>
                <w:sz w:val="19"/>
              </w:rPr>
              <w:t>Read one role-based pathway and its business outcome.</w:t>
            </w:r>
          </w:p>
        </w:tc>
        <w:tc>
          <w:tcPr>
            <w:tcW w:type="dxa" w:w="3660"/>
            <w:vAlign w:val="center"/>
            <w:tcMar>
              <w:top w:w="80" w:type="dxa"/>
              <w:start w:w="120" w:type="dxa"/>
              <w:bottom w:w="80" w:type="dxa"/>
              <w:end w:w="120" w:type="dxa"/>
            </w:tcMar>
          </w:tcPr>
          <w:p>
            <w:pPr>
              <w:spacing w:after="0"/>
              <w:jc w:val="left"/>
            </w:pPr>
            <w:r>
              <w:rPr>
                <w:rFonts w:ascii="Calibri" w:hAnsi="Calibri"/>
                <w:color w:val="0B2545"/>
                <w:sz w:val="19"/>
              </w:rPr>
              <w:t>Learning centre</w:t>
            </w:r>
          </w:p>
        </w:tc>
      </w:tr>
      <w:tr>
        <w:tc>
          <w:tcPr>
            <w:tcW w:type="dxa" w:w="1000"/>
            <w:vAlign w:val="center"/>
            <w:tcMar>
              <w:top w:w="80" w:type="dxa"/>
              <w:start w:w="120" w:type="dxa"/>
              <w:bottom w:w="80" w:type="dxa"/>
              <w:end w:w="120" w:type="dxa"/>
            </w:tcMar>
          </w:tcPr>
          <w:p>
            <w:pPr>
              <w:spacing w:after="0"/>
              <w:jc w:val="center"/>
            </w:pPr>
            <w:r>
              <w:rPr>
                <w:rFonts w:ascii="Calibri" w:hAnsi="Calibri"/>
                <w:color w:val="0B2545"/>
                <w:sz w:val="19"/>
              </w:rPr>
              <w:t>10-20</w:t>
            </w:r>
          </w:p>
        </w:tc>
        <w:tc>
          <w:tcPr>
            <w:tcW w:type="dxa" w:w="4700"/>
            <w:vAlign w:val="center"/>
            <w:tcMar>
              <w:top w:w="80" w:type="dxa"/>
              <w:start w:w="120" w:type="dxa"/>
              <w:bottom w:w="80" w:type="dxa"/>
              <w:end w:w="120" w:type="dxa"/>
            </w:tcMar>
          </w:tcPr>
          <w:p>
            <w:pPr>
              <w:spacing w:after="0"/>
              <w:jc w:val="left"/>
            </w:pPr>
            <w:r>
              <w:rPr>
                <w:rFonts w:ascii="Calibri" w:hAnsi="Calibri"/>
                <w:color w:val="0B2545"/>
                <w:sz w:val="19"/>
              </w:rPr>
              <w:t>Open the guided tutor and complete the first transaction step.</w:t>
            </w:r>
          </w:p>
        </w:tc>
        <w:tc>
          <w:tcPr>
            <w:tcW w:type="dxa" w:w="3660"/>
            <w:vAlign w:val="center"/>
            <w:tcMar>
              <w:top w:w="80" w:type="dxa"/>
              <w:start w:w="120" w:type="dxa"/>
              <w:bottom w:w="80" w:type="dxa"/>
              <w:end w:w="120" w:type="dxa"/>
            </w:tcMar>
          </w:tcPr>
          <w:p>
            <w:pPr>
              <w:spacing w:after="0"/>
              <w:jc w:val="left"/>
            </w:pPr>
            <w:r>
              <w:rPr>
                <w:rFonts w:ascii="Calibri" w:hAnsi="Calibri"/>
                <w:color w:val="0B2545"/>
                <w:sz w:val="19"/>
              </w:rPr>
              <w:t>Transaction tutor -&gt; Guided</w:t>
            </w:r>
          </w:p>
        </w:tc>
      </w:tr>
      <w:tr>
        <w:tc>
          <w:tcPr>
            <w:tcW w:type="dxa" w:w="1000"/>
            <w:vAlign w:val="center"/>
            <w:tcMar>
              <w:top w:w="80" w:type="dxa"/>
              <w:start w:w="120" w:type="dxa"/>
              <w:bottom w:w="80" w:type="dxa"/>
              <w:end w:w="120" w:type="dxa"/>
            </w:tcMar>
          </w:tcPr>
          <w:p>
            <w:pPr>
              <w:spacing w:after="0"/>
              <w:jc w:val="center"/>
            </w:pPr>
            <w:r>
              <w:rPr>
                <w:rFonts w:ascii="Calibri" w:hAnsi="Calibri"/>
                <w:color w:val="0B2545"/>
                <w:sz w:val="19"/>
              </w:rPr>
              <w:t>20-25</w:t>
            </w:r>
          </w:p>
        </w:tc>
        <w:tc>
          <w:tcPr>
            <w:tcW w:type="dxa" w:w="4700"/>
            <w:vAlign w:val="center"/>
            <w:tcMar>
              <w:top w:w="80" w:type="dxa"/>
              <w:start w:w="120" w:type="dxa"/>
              <w:bottom w:w="80" w:type="dxa"/>
              <w:end w:w="120" w:type="dxa"/>
            </w:tcMar>
          </w:tcPr>
          <w:p>
            <w:pPr>
              <w:spacing w:after="0"/>
              <w:jc w:val="left"/>
            </w:pPr>
            <w:r>
              <w:rPr>
                <w:rFonts w:ascii="Calibri" w:hAnsi="Calibri"/>
                <w:color w:val="0B2545"/>
                <w:sz w:val="19"/>
              </w:rPr>
              <w:t>Write a short evidence note: document, key field, effect, and proof.</w:t>
            </w:r>
          </w:p>
        </w:tc>
        <w:tc>
          <w:tcPr>
            <w:tcW w:type="dxa" w:w="3660"/>
            <w:vAlign w:val="center"/>
            <w:tcMar>
              <w:top w:w="80" w:type="dxa"/>
              <w:start w:w="120" w:type="dxa"/>
              <w:bottom w:w="80" w:type="dxa"/>
              <w:end w:w="120" w:type="dxa"/>
            </w:tcMar>
          </w:tcPr>
          <w:p>
            <w:pPr>
              <w:spacing w:after="0"/>
              <w:jc w:val="left"/>
            </w:pPr>
            <w:r>
              <w:rPr>
                <w:rFonts w:ascii="Calibri" w:hAnsi="Calibri"/>
                <w:color w:val="0B2545"/>
                <w:sz w:val="19"/>
              </w:rPr>
              <w:t>Transaction tutor -&gt; Evidence note</w:t>
            </w:r>
          </w:p>
        </w:tc>
      </w:tr>
      <w:tr>
        <w:tc>
          <w:tcPr>
            <w:tcW w:type="dxa" w:w="1000"/>
            <w:vAlign w:val="center"/>
            <w:tcMar>
              <w:top w:w="80" w:type="dxa"/>
              <w:start w:w="120" w:type="dxa"/>
              <w:bottom w:w="80" w:type="dxa"/>
              <w:end w:w="120" w:type="dxa"/>
            </w:tcMar>
          </w:tcPr>
          <w:p>
            <w:pPr>
              <w:spacing w:after="0"/>
              <w:jc w:val="center"/>
            </w:pPr>
            <w:r>
              <w:rPr>
                <w:rFonts w:ascii="Calibri" w:hAnsi="Calibri"/>
                <w:color w:val="0B2545"/>
                <w:sz w:val="19"/>
              </w:rPr>
              <w:t>25-30</w:t>
            </w:r>
          </w:p>
        </w:tc>
        <w:tc>
          <w:tcPr>
            <w:tcW w:type="dxa" w:w="4700"/>
            <w:vAlign w:val="center"/>
            <w:tcMar>
              <w:top w:w="80" w:type="dxa"/>
              <w:start w:w="120" w:type="dxa"/>
              <w:bottom w:w="80" w:type="dxa"/>
              <w:end w:w="120" w:type="dxa"/>
            </w:tcMar>
          </w:tcPr>
          <w:p>
            <w:pPr>
              <w:spacing w:after="0"/>
              <w:jc w:val="left"/>
            </w:pPr>
            <w:r>
              <w:rPr>
                <w:rFonts w:ascii="Calibri" w:hAnsi="Calibri"/>
                <w:color w:val="0B2545"/>
                <w:sz w:val="19"/>
              </w:rPr>
              <w:t>Ask one grounded integration question and review your next action.</w:t>
            </w:r>
          </w:p>
        </w:tc>
        <w:tc>
          <w:tcPr>
            <w:tcW w:type="dxa" w:w="3660"/>
            <w:vAlign w:val="center"/>
            <w:tcMar>
              <w:top w:w="80" w:type="dxa"/>
              <w:start w:w="120" w:type="dxa"/>
              <w:bottom w:w="80" w:type="dxa"/>
              <w:end w:w="120" w:type="dxa"/>
            </w:tcMar>
          </w:tcPr>
          <w:p>
            <w:pPr>
              <w:spacing w:after="0"/>
              <w:jc w:val="left"/>
            </w:pPr>
            <w:r>
              <w:rPr>
                <w:rFonts w:ascii="Calibri" w:hAnsi="Calibri"/>
                <w:color w:val="0B2545"/>
                <w:sz w:val="19"/>
              </w:rPr>
              <w:t>Ask SAP Mentor / Learning centre</w:t>
            </w:r>
          </w:p>
        </w:tc>
      </w:tr>
    </w:tbl>
    <w:p>
      <w:pPr>
        <w:spacing w:after="20"/>
      </w:pPr>
    </w:p>
    <w:p>
      <w:pPr>
        <w:spacing w:before="60" w:after="160"/>
        <w:ind w:left="115" w:right="115"/>
        <w:shd w:fill="EEF7F1"/>
        <w:pBdr>
          <w:top w:val="single" w:sz="4" w:space="6" w:color="D7DBE2"/>
          <w:left w:val="single" w:sz="4" w:space="6" w:color="D7DBE2"/>
          <w:bottom w:val="single" w:sz="4" w:space="6" w:color="D7DBE2"/>
          <w:right w:val="single" w:sz="4" w:space="6" w:color="D7DBE2"/>
        </w:pBdr>
      </w:pPr>
      <w:r>
        <w:rPr>
          <w:rFonts w:ascii="Calibri" w:hAnsi="Calibri"/>
          <w:b/>
          <w:color w:val="276749"/>
          <w:sz w:val="21"/>
        </w:rPr>
        <w:t xml:space="preserve">Try it now: </w:t>
      </w:r>
      <w:r>
        <w:rPr>
          <w:rFonts w:ascii="Calibri" w:hAnsi="Calibri"/>
          <w:color w:val="0B2545"/>
          <w:sz w:val="21"/>
        </w:rPr>
        <w:t>Use a simple evidence note such as: 'Posted goods receipt for the purchase order; verified material, quantity, plant, and movement; stock increased and the GR/IR accounting effect was created.'</w:t>
      </w:r>
    </w:p>
    <w:p>
      <w:pPr>
        <w:pStyle w:val="Heading2"/>
      </w:pPr>
      <w:r>
        <w:t>The learning loop</w:t>
      </w:r>
    </w:p>
    <w:p>
      <w:pPr>
        <w:pStyle w:val="ListNumber"/>
      </w:pPr>
      <w:r>
        <w:t>Orient: understand the enterprise context and the business reason for the process.</w:t>
      </w:r>
    </w:p>
    <w:p>
      <w:pPr>
        <w:pStyle w:val="ListNumber"/>
      </w:pPr>
      <w:r>
        <w:t>Observe: read the transaction playbook and document chain.</w:t>
      </w:r>
    </w:p>
    <w:p>
      <w:pPr>
        <w:pStyle w:val="ListNumber"/>
      </w:pPr>
      <w:r>
        <w:t>Perform: complete each guided transaction step.</w:t>
      </w:r>
    </w:p>
    <w:p>
      <w:pPr>
        <w:pStyle w:val="ListNumber"/>
      </w:pPr>
      <w:r>
        <w:t>Explain: record why the step matters and what changed downstream.</w:t>
      </w:r>
    </w:p>
    <w:p>
      <w:pPr>
        <w:pStyle w:val="ListNumber"/>
      </w:pPr>
      <w:r>
        <w:t>Recover: solve the troubleshooting diagnostic.</w:t>
      </w:r>
    </w:p>
    <w:p>
      <w:pPr>
        <w:pStyle w:val="ListNumber"/>
      </w:pPr>
      <w:r>
        <w:t>Prove: submit evidence and, when open, complete the capstone.</w:t>
      </w:r>
    </w:p>
    <w:p>
      <w:pPr>
        <w:pStyle w:val="ListNumber"/>
      </w:pPr>
      <w:r>
        <w:t>Reflect: review readiness and choose the next weakest area.</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Enterprise overview -&gt; Learning centre -&gt; Transaction tutor -&gt; Troubleshoot / Capstone -&gt; Portfolio</w:t>
      </w:r>
    </w:p>
    <w:p>
      <w:r>
        <w:br w:type="page"/>
      </w:r>
    </w:p>
    <w:p>
      <w:pPr>
        <w:pStyle w:val="Heading1"/>
      </w:pPr>
      <w:r>
        <w:t>3. Navigate the learner workspace</w:t>
      </w:r>
    </w:p>
    <w:p>
      <w:pPr>
        <w:spacing w:after="200"/>
      </w:pPr>
      <w:r>
        <w:rPr>
          <w:rFonts w:ascii="Calibri" w:hAnsi="Calibri"/>
          <w:i/>
          <w:color w:val="1F4D78"/>
          <w:sz w:val="23"/>
        </w:rPr>
        <w:t>The left navigation follows the way an SAP learner moves from context to practice and proof.</w:t>
      </w:r>
    </w:p>
    <w:tbl>
      <w:tblPr>
        <w:tblStyle w:val="TableGrid"/>
        <w:tblW w:type="dxa" w:w="9360"/>
        <w:tblLayout w:type="fixed"/>
        <w:tblLook w:firstColumn="1" w:firstRow="1" w:lastColumn="0" w:lastRow="0" w:noHBand="0" w:noVBand="1" w:val="04A0"/>
        <w:jc w:val="left"/>
        <w:tblInd w:w="120" w:type="dxa"/>
      </w:tblPr>
      <w:tblGrid>
        <w:gridCol w:w="2200"/>
        <w:gridCol w:w="4550"/>
        <w:gridCol w:w="2610"/>
      </w:tblGrid>
      <w:tr>
        <w:trPr>
          <w:tblHeader w:val="true"/>
        </w:trPr>
        <w:tc>
          <w:tcPr>
            <w:tcW w:type="dxa" w:w="2200"/>
            <w:vAlign w:val="center"/>
            <w:tcMar>
              <w:top w:w="80" w:type="dxa"/>
              <w:start w:w="120" w:type="dxa"/>
              <w:bottom w:w="80" w:type="dxa"/>
              <w:end w:w="120" w:type="dxa"/>
            </w:tcMar>
            <w:shd w:fill="E8EEF5"/>
          </w:tcPr>
          <w:p>
            <w:pPr>
              <w:jc w:val="center"/>
            </w:pPr>
            <w:r>
              <w:rPr>
                <w:rFonts w:ascii="Calibri" w:hAnsi="Calibri"/>
                <w:b/>
                <w:color w:val="0B2545"/>
                <w:sz w:val="19"/>
              </w:rPr>
              <w:t>Area</w:t>
            </w:r>
          </w:p>
        </w:tc>
        <w:tc>
          <w:tcPr>
            <w:tcW w:type="dxa" w:w="4550"/>
            <w:vAlign w:val="center"/>
            <w:tcMar>
              <w:top w:w="80" w:type="dxa"/>
              <w:start w:w="120" w:type="dxa"/>
              <w:bottom w:w="80" w:type="dxa"/>
              <w:end w:w="120" w:type="dxa"/>
            </w:tcMar>
            <w:shd w:fill="E8EEF5"/>
          </w:tcPr>
          <w:p>
            <w:pPr>
              <w:jc w:val="center"/>
            </w:pPr>
            <w:r>
              <w:rPr>
                <w:rFonts w:ascii="Calibri" w:hAnsi="Calibri"/>
                <w:b/>
                <w:color w:val="0B2545"/>
                <w:sz w:val="19"/>
              </w:rPr>
              <w:t>What it teaches</w:t>
            </w:r>
          </w:p>
        </w:tc>
        <w:tc>
          <w:tcPr>
            <w:tcW w:type="dxa" w:w="2610"/>
            <w:vAlign w:val="center"/>
            <w:tcMar>
              <w:top w:w="80" w:type="dxa"/>
              <w:start w:w="120" w:type="dxa"/>
              <w:bottom w:w="80" w:type="dxa"/>
              <w:end w:w="120" w:type="dxa"/>
            </w:tcMar>
            <w:shd w:fill="E8EEF5"/>
          </w:tcPr>
          <w:p>
            <w:pPr>
              <w:jc w:val="center"/>
            </w:pPr>
            <w:r>
              <w:rPr>
                <w:rFonts w:ascii="Calibri" w:hAnsi="Calibri"/>
                <w:b/>
                <w:color w:val="0B2545"/>
                <w:sz w:val="19"/>
              </w:rPr>
              <w:t>Best use</w:t>
            </w:r>
          </w:p>
        </w:tc>
      </w:tr>
      <w:tr>
        <w:tc>
          <w:tcPr>
            <w:tcW w:type="dxa" w:w="2200"/>
            <w:vAlign w:val="center"/>
            <w:tcMar>
              <w:top w:w="80" w:type="dxa"/>
              <w:start w:w="120" w:type="dxa"/>
              <w:bottom w:w="80" w:type="dxa"/>
              <w:end w:w="120" w:type="dxa"/>
            </w:tcMar>
          </w:tcPr>
          <w:p>
            <w:pPr>
              <w:spacing w:after="0"/>
              <w:jc w:val="left"/>
            </w:pPr>
            <w:r>
              <w:rPr>
                <w:rFonts w:ascii="Calibri" w:hAnsi="Calibri"/>
                <w:color w:val="0B2545"/>
                <w:sz w:val="19"/>
              </w:rPr>
              <w:t>Enterprise overview</w:t>
            </w:r>
          </w:p>
        </w:tc>
        <w:tc>
          <w:tcPr>
            <w:tcW w:type="dxa" w:w="4550"/>
            <w:vAlign w:val="center"/>
            <w:tcMar>
              <w:top w:w="80" w:type="dxa"/>
              <w:start w:w="120" w:type="dxa"/>
              <w:bottom w:w="80" w:type="dxa"/>
              <w:end w:w="120" w:type="dxa"/>
            </w:tcMar>
          </w:tcPr>
          <w:p>
            <w:pPr>
              <w:spacing w:after="0"/>
              <w:jc w:val="left"/>
            </w:pPr>
            <w:r>
              <w:rPr>
                <w:rFonts w:ascii="Calibri" w:hAnsi="Calibri"/>
                <w:color w:val="0B2545"/>
                <w:sz w:val="19"/>
              </w:rPr>
              <w:t>See the business snapshot, portfolio progress, focus process, and urgent actions.</w:t>
            </w:r>
          </w:p>
        </w:tc>
        <w:tc>
          <w:tcPr>
            <w:tcW w:type="dxa" w:w="2610"/>
            <w:vAlign w:val="center"/>
            <w:tcMar>
              <w:top w:w="80" w:type="dxa"/>
              <w:start w:w="120" w:type="dxa"/>
              <w:bottom w:w="80" w:type="dxa"/>
              <w:end w:w="120" w:type="dxa"/>
            </w:tcMar>
          </w:tcPr>
          <w:p>
            <w:pPr>
              <w:spacing w:after="0"/>
              <w:jc w:val="left"/>
            </w:pPr>
            <w:r>
              <w:rPr>
                <w:rFonts w:ascii="Calibri" w:hAnsi="Calibri"/>
                <w:color w:val="0B2545"/>
                <w:sz w:val="19"/>
              </w:rPr>
              <w:t>Start every session here.</w:t>
            </w:r>
          </w:p>
        </w:tc>
      </w:tr>
      <w:tr>
        <w:tc>
          <w:tcPr>
            <w:tcW w:type="dxa" w:w="2200"/>
            <w:vAlign w:val="center"/>
            <w:tcMar>
              <w:top w:w="80" w:type="dxa"/>
              <w:start w:w="120" w:type="dxa"/>
              <w:bottom w:w="80" w:type="dxa"/>
              <w:end w:w="120" w:type="dxa"/>
            </w:tcMar>
          </w:tcPr>
          <w:p>
            <w:pPr>
              <w:spacing w:after="0"/>
              <w:jc w:val="center"/>
            </w:pPr>
            <w:r>
              <w:rPr>
                <w:rFonts w:ascii="Calibri" w:hAnsi="Calibri"/>
                <w:color w:val="0B2545"/>
                <w:sz w:val="19"/>
              </w:rPr>
              <w:t>Learning centre</w:t>
            </w:r>
          </w:p>
        </w:tc>
        <w:tc>
          <w:tcPr>
            <w:tcW w:type="dxa" w:w="4550"/>
            <w:vAlign w:val="center"/>
            <w:tcMar>
              <w:top w:w="80" w:type="dxa"/>
              <w:start w:w="120" w:type="dxa"/>
              <w:bottom w:w="80" w:type="dxa"/>
              <w:end w:w="120" w:type="dxa"/>
            </w:tcMar>
          </w:tcPr>
          <w:p>
            <w:pPr>
              <w:spacing w:after="0"/>
              <w:jc w:val="left"/>
            </w:pPr>
            <w:r>
              <w:rPr>
                <w:rFonts w:ascii="Calibri" w:hAnsi="Calibri"/>
                <w:color w:val="0B2545"/>
                <w:sz w:val="19"/>
              </w:rPr>
              <w:t>Choose role-based pathways, review progress, readiness, portfolio, and certification evidence.</w:t>
            </w:r>
          </w:p>
        </w:tc>
        <w:tc>
          <w:tcPr>
            <w:tcW w:type="dxa" w:w="2610"/>
            <w:vAlign w:val="center"/>
            <w:tcMar>
              <w:top w:w="80" w:type="dxa"/>
              <w:start w:w="120" w:type="dxa"/>
              <w:bottom w:w="80" w:type="dxa"/>
              <w:end w:w="120" w:type="dxa"/>
            </w:tcMar>
          </w:tcPr>
          <w:p>
            <w:pPr>
              <w:spacing w:after="0"/>
              <w:jc w:val="left"/>
            </w:pPr>
            <w:r>
              <w:rPr>
                <w:rFonts w:ascii="Calibri" w:hAnsi="Calibri"/>
                <w:color w:val="0B2545"/>
                <w:sz w:val="19"/>
              </w:rPr>
              <w:t>Use this as your learning home.</w:t>
            </w:r>
          </w:p>
        </w:tc>
      </w:tr>
      <w:tr>
        <w:tc>
          <w:tcPr>
            <w:tcW w:type="dxa" w:w="2200"/>
            <w:vAlign w:val="center"/>
            <w:tcMar>
              <w:top w:w="80" w:type="dxa"/>
              <w:start w:w="120" w:type="dxa"/>
              <w:bottom w:w="80" w:type="dxa"/>
              <w:end w:w="120" w:type="dxa"/>
            </w:tcMar>
          </w:tcPr>
          <w:p>
            <w:pPr>
              <w:spacing w:after="0"/>
              <w:jc w:val="left"/>
            </w:pPr>
            <w:r>
              <w:rPr>
                <w:rFonts w:ascii="Calibri" w:hAnsi="Calibri"/>
                <w:color w:val="0B2545"/>
                <w:sz w:val="19"/>
              </w:rPr>
              <w:t>Industry blueprints</w:t>
            </w:r>
          </w:p>
        </w:tc>
        <w:tc>
          <w:tcPr>
            <w:tcW w:type="dxa" w:w="4550"/>
            <w:vAlign w:val="center"/>
            <w:tcMar>
              <w:top w:w="80" w:type="dxa"/>
              <w:start w:w="120" w:type="dxa"/>
              <w:bottom w:w="80" w:type="dxa"/>
              <w:end w:w="120" w:type="dxa"/>
            </w:tcMar>
          </w:tcPr>
          <w:p>
            <w:pPr>
              <w:spacing w:after="0"/>
              <w:jc w:val="left"/>
            </w:pPr>
            <w:r>
              <w:rPr>
                <w:rFonts w:ascii="Calibri" w:hAnsi="Calibri"/>
                <w:color w:val="0B2545"/>
                <w:sz w:val="19"/>
              </w:rPr>
              <w:t>Compare ten industries and see value chains, master data, KPIs, compliance, and failures.</w:t>
            </w:r>
          </w:p>
        </w:tc>
        <w:tc>
          <w:tcPr>
            <w:tcW w:type="dxa" w:w="2610"/>
            <w:vAlign w:val="center"/>
            <w:tcMar>
              <w:top w:w="80" w:type="dxa"/>
              <w:start w:w="120" w:type="dxa"/>
              <w:bottom w:w="80" w:type="dxa"/>
              <w:end w:w="120" w:type="dxa"/>
            </w:tcMar>
          </w:tcPr>
          <w:p>
            <w:pPr>
              <w:spacing w:after="0"/>
              <w:jc w:val="left"/>
            </w:pPr>
            <w:r>
              <w:rPr>
                <w:rFonts w:ascii="Calibri" w:hAnsi="Calibri"/>
                <w:color w:val="0B2545"/>
                <w:sz w:val="19"/>
              </w:rPr>
              <w:t>Use before choosing a specialism.</w:t>
            </w:r>
          </w:p>
        </w:tc>
      </w:tr>
      <w:tr>
        <w:tc>
          <w:tcPr>
            <w:tcW w:type="dxa" w:w="2200"/>
            <w:vAlign w:val="center"/>
            <w:tcMar>
              <w:top w:w="80" w:type="dxa"/>
              <w:start w:w="120" w:type="dxa"/>
              <w:bottom w:w="80" w:type="dxa"/>
              <w:end w:w="120" w:type="dxa"/>
            </w:tcMar>
          </w:tcPr>
          <w:p>
            <w:pPr>
              <w:spacing w:after="0"/>
              <w:jc w:val="center"/>
            </w:pPr>
            <w:r>
              <w:rPr>
                <w:rFonts w:ascii="Calibri" w:hAnsi="Calibri"/>
                <w:color w:val="0B2545"/>
                <w:sz w:val="19"/>
              </w:rPr>
              <w:t>Simulation studio</w:t>
            </w:r>
          </w:p>
        </w:tc>
        <w:tc>
          <w:tcPr>
            <w:tcW w:type="dxa" w:w="4550"/>
            <w:vAlign w:val="center"/>
            <w:tcMar>
              <w:top w:w="80" w:type="dxa"/>
              <w:start w:w="120" w:type="dxa"/>
              <w:bottom w:w="80" w:type="dxa"/>
              <w:end w:w="120" w:type="dxa"/>
            </w:tcMar>
          </w:tcPr>
          <w:p>
            <w:pPr>
              <w:spacing w:after="0"/>
              <w:jc w:val="left"/>
            </w:pPr>
            <w:r>
              <w:rPr>
                <w:rFonts w:ascii="Calibri" w:hAnsi="Calibri"/>
                <w:color w:val="0B2545"/>
                <w:sz w:val="19"/>
              </w:rPr>
              <w:t>Generate a deterministic multi-year SAP scenario from industry, year, event, and volume choices.</w:t>
            </w:r>
          </w:p>
        </w:tc>
        <w:tc>
          <w:tcPr>
            <w:tcW w:type="dxa" w:w="2610"/>
            <w:vAlign w:val="center"/>
            <w:tcMar>
              <w:top w:w="80" w:type="dxa"/>
              <w:start w:w="120" w:type="dxa"/>
              <w:bottom w:w="80" w:type="dxa"/>
              <w:end w:w="120" w:type="dxa"/>
            </w:tcMar>
          </w:tcPr>
          <w:p>
            <w:pPr>
              <w:spacing w:after="0"/>
              <w:jc w:val="left"/>
            </w:pPr>
            <w:r>
              <w:rPr>
                <w:rFonts w:ascii="Calibri" w:hAnsi="Calibri"/>
                <w:color w:val="0B2545"/>
                <w:sz w:val="19"/>
              </w:rPr>
              <w:t>Use to create connected practice data.</w:t>
            </w:r>
          </w:p>
        </w:tc>
      </w:tr>
      <w:tr>
        <w:tc>
          <w:tcPr>
            <w:tcW w:type="dxa" w:w="2200"/>
            <w:vAlign w:val="center"/>
            <w:tcMar>
              <w:top w:w="80" w:type="dxa"/>
              <w:start w:w="120" w:type="dxa"/>
              <w:bottom w:w="80" w:type="dxa"/>
              <w:end w:w="120" w:type="dxa"/>
            </w:tcMar>
          </w:tcPr>
          <w:p>
            <w:pPr>
              <w:spacing w:after="0"/>
              <w:jc w:val="center"/>
            </w:pPr>
            <w:r>
              <w:rPr>
                <w:rFonts w:ascii="Calibri" w:hAnsi="Calibri"/>
                <w:color w:val="0B2545"/>
                <w:sz w:val="19"/>
              </w:rPr>
              <w:t>Process explorer</w:t>
            </w:r>
          </w:p>
        </w:tc>
        <w:tc>
          <w:tcPr>
            <w:tcW w:type="dxa" w:w="4550"/>
            <w:vAlign w:val="center"/>
            <w:tcMar>
              <w:top w:w="80" w:type="dxa"/>
              <w:start w:w="120" w:type="dxa"/>
              <w:bottom w:w="80" w:type="dxa"/>
              <w:end w:w="120" w:type="dxa"/>
            </w:tcMar>
          </w:tcPr>
          <w:p>
            <w:pPr>
              <w:spacing w:after="0"/>
              <w:jc w:val="left"/>
            </w:pPr>
            <w:r>
              <w:rPr>
                <w:rFonts w:ascii="Calibri" w:hAnsi="Calibri"/>
                <w:color w:val="0B2545"/>
                <w:sz w:val="19"/>
              </w:rPr>
              <w:t>Trace document flow, upstream/downstream links, inventory, workflow, and journal evidence.</w:t>
            </w:r>
          </w:p>
        </w:tc>
        <w:tc>
          <w:tcPr>
            <w:tcW w:type="dxa" w:w="2610"/>
            <w:vAlign w:val="center"/>
            <w:tcMar>
              <w:top w:w="80" w:type="dxa"/>
              <w:start w:w="120" w:type="dxa"/>
              <w:bottom w:w="80" w:type="dxa"/>
              <w:end w:w="120" w:type="dxa"/>
            </w:tcMar>
          </w:tcPr>
          <w:p>
            <w:pPr>
              <w:spacing w:after="0"/>
              <w:jc w:val="left"/>
            </w:pPr>
            <w:r>
              <w:rPr>
                <w:rFonts w:ascii="Calibri" w:hAnsi="Calibri"/>
                <w:color w:val="0B2545"/>
                <w:sz w:val="19"/>
              </w:rPr>
              <w:t>Use to understand integration.</w:t>
            </w:r>
          </w:p>
        </w:tc>
      </w:tr>
      <w:tr>
        <w:tc>
          <w:tcPr>
            <w:tcW w:type="dxa" w:w="2200"/>
            <w:vAlign w:val="center"/>
            <w:tcMar>
              <w:top w:w="80" w:type="dxa"/>
              <w:start w:w="120" w:type="dxa"/>
              <w:bottom w:w="80" w:type="dxa"/>
              <w:end w:w="120" w:type="dxa"/>
            </w:tcMar>
          </w:tcPr>
          <w:p>
            <w:pPr>
              <w:spacing w:after="0"/>
              <w:jc w:val="left"/>
            </w:pPr>
            <w:r>
              <w:rPr>
                <w:rFonts w:ascii="Calibri" w:hAnsi="Calibri"/>
                <w:color w:val="0B2545"/>
                <w:sz w:val="19"/>
              </w:rPr>
              <w:t>Advanced transactions</w:t>
            </w:r>
          </w:p>
        </w:tc>
        <w:tc>
          <w:tcPr>
            <w:tcW w:type="dxa" w:w="4550"/>
            <w:vAlign w:val="center"/>
            <w:tcMar>
              <w:top w:w="80" w:type="dxa"/>
              <w:start w:w="120" w:type="dxa"/>
              <w:bottom w:w="80" w:type="dxa"/>
              <w:end w:w="120" w:type="dxa"/>
            </w:tcMar>
          </w:tcPr>
          <w:p>
            <w:pPr>
              <w:spacing w:after="0"/>
              <w:jc w:val="left"/>
            </w:pPr>
            <w:r>
              <w:rPr>
                <w:rFonts w:ascii="Calibri" w:hAnsi="Calibri"/>
                <w:color w:val="0B2545"/>
                <w:sz w:val="19"/>
              </w:rPr>
              <w:t>Practise specialist labs such as stock transfer, returns, assets, VAT, and year-end close.</w:t>
            </w:r>
          </w:p>
        </w:tc>
        <w:tc>
          <w:tcPr>
            <w:tcW w:type="dxa" w:w="2610"/>
            <w:vAlign w:val="center"/>
            <w:tcMar>
              <w:top w:w="80" w:type="dxa"/>
              <w:start w:w="120" w:type="dxa"/>
              <w:bottom w:w="80" w:type="dxa"/>
              <w:end w:w="120" w:type="dxa"/>
            </w:tcMar>
          </w:tcPr>
          <w:p>
            <w:pPr>
              <w:spacing w:after="0"/>
              <w:jc w:val="left"/>
            </w:pPr>
            <w:r>
              <w:rPr>
                <w:rFonts w:ascii="Calibri" w:hAnsi="Calibri"/>
                <w:color w:val="0B2545"/>
                <w:sz w:val="19"/>
              </w:rPr>
              <w:t>Use after core pathways.</w:t>
            </w:r>
          </w:p>
        </w:tc>
      </w:tr>
      <w:tr>
        <w:tc>
          <w:tcPr>
            <w:tcW w:type="dxa" w:w="2200"/>
            <w:vAlign w:val="center"/>
            <w:tcMar>
              <w:top w:w="80" w:type="dxa"/>
              <w:start w:w="120" w:type="dxa"/>
              <w:bottom w:w="80" w:type="dxa"/>
              <w:end w:w="120" w:type="dxa"/>
            </w:tcMar>
          </w:tcPr>
          <w:p>
            <w:pPr>
              <w:spacing w:after="0"/>
              <w:jc w:val="left"/>
            </w:pPr>
            <w:r>
              <w:rPr>
                <w:rFonts w:ascii="Calibri" w:hAnsi="Calibri"/>
                <w:color w:val="0B2545"/>
                <w:sz w:val="19"/>
              </w:rPr>
              <w:t>Performance analytics</w:t>
            </w:r>
          </w:p>
        </w:tc>
        <w:tc>
          <w:tcPr>
            <w:tcW w:type="dxa" w:w="4550"/>
            <w:vAlign w:val="center"/>
            <w:tcMar>
              <w:top w:w="80" w:type="dxa"/>
              <w:start w:w="120" w:type="dxa"/>
              <w:bottom w:w="80" w:type="dxa"/>
              <w:end w:w="120" w:type="dxa"/>
            </w:tcMar>
          </w:tcPr>
          <w:p>
            <w:pPr>
              <w:spacing w:after="0"/>
              <w:jc w:val="left"/>
            </w:pPr>
            <w:r>
              <w:rPr>
                <w:rFonts w:ascii="Calibri" w:hAnsi="Calibri"/>
                <w:color w:val="0B2545"/>
                <w:sz w:val="19"/>
              </w:rPr>
              <w:t>Interpret revenue, margin, inventory, service, downtime, waste, and profitability movements.</w:t>
            </w:r>
          </w:p>
        </w:tc>
        <w:tc>
          <w:tcPr>
            <w:tcW w:type="dxa" w:w="2610"/>
            <w:vAlign w:val="center"/>
            <w:tcMar>
              <w:top w:w="80" w:type="dxa"/>
              <w:start w:w="120" w:type="dxa"/>
              <w:bottom w:w="80" w:type="dxa"/>
              <w:end w:w="120" w:type="dxa"/>
            </w:tcMar>
          </w:tcPr>
          <w:p>
            <w:pPr>
              <w:spacing w:after="0"/>
              <w:jc w:val="left"/>
            </w:pPr>
            <w:r>
              <w:rPr>
                <w:rFonts w:ascii="Calibri" w:hAnsi="Calibri"/>
                <w:color w:val="0B2545"/>
                <w:sz w:val="19"/>
              </w:rPr>
              <w:t>Use to connect SAP work to management outcomes.</w:t>
            </w:r>
          </w:p>
        </w:tc>
      </w:tr>
      <w:tr>
        <w:tc>
          <w:tcPr>
            <w:tcW w:type="dxa" w:w="2200"/>
            <w:vAlign w:val="center"/>
            <w:tcMar>
              <w:top w:w="80" w:type="dxa"/>
              <w:start w:w="120" w:type="dxa"/>
              <w:bottom w:w="80" w:type="dxa"/>
              <w:end w:w="120" w:type="dxa"/>
            </w:tcMar>
          </w:tcPr>
          <w:p>
            <w:pPr>
              <w:spacing w:after="0"/>
              <w:jc w:val="left"/>
            </w:pPr>
            <w:r>
              <w:rPr>
                <w:rFonts w:ascii="Calibri" w:hAnsi="Calibri"/>
                <w:color w:val="0B2545"/>
                <w:sz w:val="19"/>
              </w:rPr>
              <w:t>Simulation history</w:t>
            </w:r>
          </w:p>
        </w:tc>
        <w:tc>
          <w:tcPr>
            <w:tcW w:type="dxa" w:w="4550"/>
            <w:vAlign w:val="center"/>
            <w:tcMar>
              <w:top w:w="80" w:type="dxa"/>
              <w:start w:w="120" w:type="dxa"/>
              <w:bottom w:w="80" w:type="dxa"/>
              <w:end w:w="120" w:type="dxa"/>
            </w:tcMar>
          </w:tcPr>
          <w:p>
            <w:pPr>
              <w:spacing w:after="0"/>
              <w:jc w:val="left"/>
            </w:pPr>
            <w:r>
              <w:rPr>
                <w:rFonts w:ascii="Calibri" w:hAnsi="Calibri"/>
                <w:color w:val="0B2545"/>
                <w:sz w:val="19"/>
              </w:rPr>
              <w:t>Review the enterprise chronology and how documents and events changed results.</w:t>
            </w:r>
          </w:p>
        </w:tc>
        <w:tc>
          <w:tcPr>
            <w:tcW w:type="dxa" w:w="2610"/>
            <w:vAlign w:val="center"/>
            <w:tcMar>
              <w:top w:w="80" w:type="dxa"/>
              <w:start w:w="120" w:type="dxa"/>
              <w:bottom w:w="80" w:type="dxa"/>
              <w:end w:w="120" w:type="dxa"/>
            </w:tcMar>
          </w:tcPr>
          <w:p>
            <w:pPr>
              <w:spacing w:after="0"/>
              <w:jc w:val="left"/>
            </w:pPr>
            <w:r>
              <w:rPr>
                <w:rFonts w:ascii="Calibri" w:hAnsi="Calibri"/>
                <w:color w:val="0B2545"/>
                <w:sz w:val="19"/>
              </w:rPr>
              <w:t>Use for revision and audit thinking.</w:t>
            </w:r>
          </w:p>
        </w:tc>
      </w:tr>
      <w:tr>
        <w:tc>
          <w:tcPr>
            <w:tcW w:type="dxa" w:w="2200"/>
            <w:vAlign w:val="center"/>
            <w:tcMar>
              <w:top w:w="80" w:type="dxa"/>
              <w:start w:w="120" w:type="dxa"/>
              <w:bottom w:w="80" w:type="dxa"/>
              <w:end w:w="120" w:type="dxa"/>
            </w:tcMar>
          </w:tcPr>
          <w:p>
            <w:pPr>
              <w:spacing w:after="0"/>
              <w:jc w:val="center"/>
            </w:pPr>
            <w:r>
              <w:rPr>
                <w:rFonts w:ascii="Calibri" w:hAnsi="Calibri"/>
                <w:color w:val="0B2545"/>
                <w:sz w:val="19"/>
              </w:rPr>
              <w:t>Approval inbox</w:t>
            </w:r>
          </w:p>
        </w:tc>
        <w:tc>
          <w:tcPr>
            <w:tcW w:type="dxa" w:w="4550"/>
            <w:vAlign w:val="center"/>
            <w:tcMar>
              <w:top w:w="80" w:type="dxa"/>
              <w:start w:w="120" w:type="dxa"/>
              <w:bottom w:w="80" w:type="dxa"/>
              <w:end w:w="120" w:type="dxa"/>
            </w:tcMar>
          </w:tcPr>
          <w:p>
            <w:pPr>
              <w:spacing w:after="0"/>
              <w:jc w:val="left"/>
            </w:pPr>
            <w:r>
              <w:rPr>
                <w:rFonts w:ascii="Calibri" w:hAnsi="Calibri"/>
                <w:color w:val="0B2545"/>
                <w:sz w:val="19"/>
              </w:rPr>
              <w:t>Inspect evidence and make simulated approve, reject, or request-information decisions.</w:t>
            </w:r>
          </w:p>
        </w:tc>
        <w:tc>
          <w:tcPr>
            <w:tcW w:type="dxa" w:w="2610"/>
            <w:vAlign w:val="center"/>
            <w:tcMar>
              <w:top w:w="80" w:type="dxa"/>
              <w:start w:w="120" w:type="dxa"/>
              <w:bottom w:w="80" w:type="dxa"/>
              <w:end w:w="120" w:type="dxa"/>
            </w:tcMar>
          </w:tcPr>
          <w:p>
            <w:pPr>
              <w:spacing w:after="0"/>
              <w:jc w:val="left"/>
            </w:pPr>
            <w:r>
              <w:rPr>
                <w:rFonts w:ascii="Calibri" w:hAnsi="Calibri"/>
                <w:color w:val="0B2545"/>
                <w:sz w:val="19"/>
              </w:rPr>
              <w:t>Use to practise controls.</w:t>
            </w:r>
          </w:p>
        </w:tc>
      </w:tr>
      <w:tr>
        <w:tc>
          <w:tcPr>
            <w:tcW w:type="dxa" w:w="2200"/>
            <w:vAlign w:val="center"/>
            <w:tcMar>
              <w:top w:w="80" w:type="dxa"/>
              <w:start w:w="120" w:type="dxa"/>
              <w:bottom w:w="80" w:type="dxa"/>
              <w:end w:w="120" w:type="dxa"/>
            </w:tcMar>
          </w:tcPr>
          <w:p>
            <w:pPr>
              <w:spacing w:after="0"/>
              <w:jc w:val="center"/>
            </w:pPr>
            <w:r>
              <w:rPr>
                <w:rFonts w:ascii="Calibri" w:hAnsi="Calibri"/>
                <w:color w:val="0B2545"/>
                <w:sz w:val="19"/>
              </w:rPr>
              <w:t>Transaction tutor</w:t>
            </w:r>
          </w:p>
        </w:tc>
        <w:tc>
          <w:tcPr>
            <w:tcW w:type="dxa" w:w="4550"/>
            <w:vAlign w:val="center"/>
            <w:tcMar>
              <w:top w:w="80" w:type="dxa"/>
              <w:start w:w="120" w:type="dxa"/>
              <w:bottom w:w="80" w:type="dxa"/>
              <w:end w:w="120" w:type="dxa"/>
            </w:tcMar>
          </w:tcPr>
          <w:p>
            <w:pPr>
              <w:spacing w:after="0"/>
              <w:jc w:val="left"/>
            </w:pPr>
            <w:r>
              <w:rPr>
                <w:rFonts w:ascii="Calibri" w:hAnsi="Calibri"/>
                <w:color w:val="0B2545"/>
                <w:sz w:val="19"/>
              </w:rPr>
              <w:t>Work step by step through guided, troubleshooting, implementation, and capstone modes.</w:t>
            </w:r>
          </w:p>
        </w:tc>
        <w:tc>
          <w:tcPr>
            <w:tcW w:type="dxa" w:w="2610"/>
            <w:vAlign w:val="center"/>
            <w:tcMar>
              <w:top w:w="80" w:type="dxa"/>
              <w:start w:w="120" w:type="dxa"/>
              <w:bottom w:w="80" w:type="dxa"/>
              <w:end w:w="120" w:type="dxa"/>
            </w:tcMar>
          </w:tcPr>
          <w:p>
            <w:pPr>
              <w:spacing w:after="0"/>
              <w:jc w:val="left"/>
            </w:pPr>
            <w:r>
              <w:rPr>
                <w:rFonts w:ascii="Calibri" w:hAnsi="Calibri"/>
                <w:color w:val="0B2545"/>
                <w:sz w:val="19"/>
              </w:rPr>
              <w:t>Use for hands-on learning.</w:t>
            </w:r>
          </w:p>
        </w:tc>
      </w:tr>
    </w:tbl>
    <w:p>
      <w:pPr>
        <w:spacing w:after="20"/>
      </w:pP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Left navigation -&gt; select any learner area listed above</w:t>
      </w:r>
    </w:p>
    <w:p>
      <w:pPr>
        <w:pStyle w:val="Heading2"/>
      </w:pPr>
      <w:r>
        <w:t>Enterprise data areas</w:t>
      </w:r>
    </w:p>
    <w:tbl>
      <w:tblPr>
        <w:tblStyle w:val="TableGrid"/>
        <w:tblW w:type="dxa" w:w="9360"/>
        <w:tblLayout w:type="fixed"/>
        <w:tblLook w:firstColumn="1" w:firstRow="1" w:lastColumn="0" w:lastRow="0" w:noHBand="0" w:noVBand="1" w:val="04A0"/>
        <w:jc w:val="left"/>
        <w:tblInd w:w="120" w:type="dxa"/>
      </w:tblPr>
      <w:tblGrid>
        <w:gridCol w:w="2400"/>
        <w:gridCol w:w="6960"/>
      </w:tblGrid>
      <w:tr>
        <w:trPr>
          <w:tblHeader w:val="true"/>
        </w:trPr>
        <w:tc>
          <w:tcPr>
            <w:tcW w:type="dxa" w:w="2400"/>
            <w:vAlign w:val="center"/>
            <w:tcMar>
              <w:top w:w="80" w:type="dxa"/>
              <w:start w:w="120" w:type="dxa"/>
              <w:bottom w:w="80" w:type="dxa"/>
              <w:end w:w="120" w:type="dxa"/>
            </w:tcMar>
            <w:shd w:fill="E8EEF5"/>
          </w:tcPr>
          <w:p>
            <w:pPr>
              <w:jc w:val="center"/>
            </w:pPr>
            <w:r>
              <w:rPr>
                <w:rFonts w:ascii="Calibri" w:hAnsi="Calibri"/>
                <w:b/>
                <w:color w:val="0B2545"/>
                <w:sz w:val="19"/>
              </w:rPr>
              <w:t>Area</w:t>
            </w:r>
          </w:p>
        </w:tc>
        <w:tc>
          <w:tcPr>
            <w:tcW w:type="dxa" w:w="6960"/>
            <w:vAlign w:val="center"/>
            <w:tcMar>
              <w:top w:w="80" w:type="dxa"/>
              <w:start w:w="120" w:type="dxa"/>
              <w:bottom w:w="80" w:type="dxa"/>
              <w:end w:w="120" w:type="dxa"/>
            </w:tcMar>
            <w:shd w:fill="E8EEF5"/>
          </w:tcPr>
          <w:p>
            <w:pPr>
              <w:jc w:val="left"/>
            </w:pPr>
            <w:r>
              <w:rPr>
                <w:rFonts w:ascii="Calibri" w:hAnsi="Calibri"/>
                <w:b/>
                <w:color w:val="0B2545"/>
                <w:sz w:val="19"/>
              </w:rPr>
              <w:t>Question it answers</w:t>
            </w:r>
          </w:p>
        </w:tc>
      </w:tr>
      <w:tr>
        <w:tc>
          <w:tcPr>
            <w:tcW w:type="dxa" w:w="2400"/>
            <w:vAlign w:val="center"/>
            <w:tcMar>
              <w:top w:w="80" w:type="dxa"/>
              <w:start w:w="120" w:type="dxa"/>
              <w:bottom w:w="80" w:type="dxa"/>
              <w:end w:w="120" w:type="dxa"/>
            </w:tcMar>
          </w:tcPr>
          <w:p>
            <w:pPr>
              <w:spacing w:after="0"/>
              <w:jc w:val="center"/>
            </w:pPr>
            <w:r>
              <w:rPr>
                <w:rFonts w:ascii="Calibri" w:hAnsi="Calibri"/>
                <w:color w:val="0B2545"/>
                <w:sz w:val="19"/>
              </w:rPr>
              <w:t>Company structure</w:t>
            </w:r>
          </w:p>
        </w:tc>
        <w:tc>
          <w:tcPr>
            <w:tcW w:type="dxa" w:w="6960"/>
            <w:vAlign w:val="center"/>
            <w:tcMar>
              <w:top w:w="80" w:type="dxa"/>
              <w:start w:w="120" w:type="dxa"/>
              <w:bottom w:w="80" w:type="dxa"/>
              <w:end w:w="120" w:type="dxa"/>
            </w:tcMar>
          </w:tcPr>
          <w:p>
            <w:pPr>
              <w:spacing w:after="0"/>
              <w:jc w:val="left"/>
            </w:pPr>
            <w:r>
              <w:rPr>
                <w:rFonts w:ascii="Calibri" w:hAnsi="Calibri"/>
                <w:color w:val="0B2545"/>
                <w:sz w:val="19"/>
              </w:rPr>
              <w:t>How do legal entities, sales, purchasing, manufacturing, and inventory units connect?</w:t>
            </w:r>
          </w:p>
        </w:tc>
      </w:tr>
      <w:tr>
        <w:tc>
          <w:tcPr>
            <w:tcW w:type="dxa" w:w="2400"/>
            <w:vAlign w:val="center"/>
            <w:tcMar>
              <w:top w:w="80" w:type="dxa"/>
              <w:start w:w="120" w:type="dxa"/>
              <w:bottom w:w="80" w:type="dxa"/>
              <w:end w:w="120" w:type="dxa"/>
            </w:tcMar>
          </w:tcPr>
          <w:p>
            <w:pPr>
              <w:spacing w:after="0"/>
              <w:jc w:val="center"/>
            </w:pPr>
            <w:r>
              <w:rPr>
                <w:rFonts w:ascii="Calibri" w:hAnsi="Calibri"/>
                <w:color w:val="0B2545"/>
                <w:sz w:val="19"/>
              </w:rPr>
              <w:t>Master data</w:t>
            </w:r>
          </w:p>
        </w:tc>
        <w:tc>
          <w:tcPr>
            <w:tcW w:type="dxa" w:w="6960"/>
            <w:vAlign w:val="center"/>
            <w:tcMar>
              <w:top w:w="80" w:type="dxa"/>
              <w:start w:w="120" w:type="dxa"/>
              <w:bottom w:w="80" w:type="dxa"/>
              <w:end w:w="120" w:type="dxa"/>
            </w:tcMar>
          </w:tcPr>
          <w:p>
            <w:pPr>
              <w:spacing w:after="0"/>
              <w:jc w:val="left"/>
            </w:pPr>
            <w:r>
              <w:rPr>
                <w:rFonts w:ascii="Calibri" w:hAnsi="Calibri"/>
                <w:color w:val="0B2545"/>
                <w:sz w:val="19"/>
              </w:rPr>
              <w:t>Which materials, valuation, MRP, sourcing, batch, quality, BOM, routing, and work-centre records drive transactions?</w:t>
            </w:r>
          </w:p>
        </w:tc>
      </w:tr>
      <w:tr>
        <w:tc>
          <w:tcPr>
            <w:tcW w:type="dxa" w:w="2400"/>
            <w:vAlign w:val="center"/>
            <w:tcMar>
              <w:top w:w="80" w:type="dxa"/>
              <w:start w:w="120" w:type="dxa"/>
              <w:bottom w:w="80" w:type="dxa"/>
              <w:end w:w="120" w:type="dxa"/>
            </w:tcMar>
          </w:tcPr>
          <w:p>
            <w:pPr>
              <w:spacing w:after="0"/>
              <w:jc w:val="center"/>
            </w:pPr>
            <w:r>
              <w:rPr>
                <w:rFonts w:ascii="Calibri" w:hAnsi="Calibri"/>
                <w:color w:val="0B2545"/>
                <w:sz w:val="19"/>
              </w:rPr>
              <w:t>Data governance</w:t>
            </w:r>
          </w:p>
        </w:tc>
        <w:tc>
          <w:tcPr>
            <w:tcW w:type="dxa" w:w="6960"/>
            <w:vAlign w:val="center"/>
            <w:tcMar>
              <w:top w:w="80" w:type="dxa"/>
              <w:start w:w="120" w:type="dxa"/>
              <w:bottom w:w="80" w:type="dxa"/>
              <w:end w:w="120" w:type="dxa"/>
            </w:tcMar>
          </w:tcPr>
          <w:p>
            <w:pPr>
              <w:spacing w:after="0"/>
              <w:jc w:val="left"/>
            </w:pPr>
            <w:r>
              <w:rPr>
                <w:rFonts w:ascii="Calibri" w:hAnsi="Calibri"/>
                <w:color w:val="0B2545"/>
                <w:sz w:val="19"/>
              </w:rPr>
              <w:t>How are master-data changes validated, approved, versioned, and audited?</w:t>
            </w:r>
          </w:p>
        </w:tc>
      </w:tr>
      <w:tr>
        <w:tc>
          <w:tcPr>
            <w:tcW w:type="dxa" w:w="2400"/>
            <w:vAlign w:val="center"/>
            <w:tcMar>
              <w:top w:w="80" w:type="dxa"/>
              <w:start w:w="120" w:type="dxa"/>
              <w:bottom w:w="80" w:type="dxa"/>
              <w:end w:w="120" w:type="dxa"/>
            </w:tcMar>
          </w:tcPr>
          <w:p>
            <w:pPr>
              <w:spacing w:after="0"/>
              <w:jc w:val="left"/>
            </w:pPr>
            <w:r>
              <w:rPr>
                <w:rFonts w:ascii="Calibri" w:hAnsi="Calibri"/>
                <w:color w:val="0B2545"/>
                <w:sz w:val="19"/>
              </w:rPr>
              <w:t>Plants &amp; operations</w:t>
            </w:r>
          </w:p>
        </w:tc>
        <w:tc>
          <w:tcPr>
            <w:tcW w:type="dxa" w:w="6960"/>
            <w:vAlign w:val="center"/>
            <w:tcMar>
              <w:top w:w="80" w:type="dxa"/>
              <w:start w:w="120" w:type="dxa"/>
              <w:bottom w:w="80" w:type="dxa"/>
              <w:end w:w="120" w:type="dxa"/>
            </w:tcMar>
          </w:tcPr>
          <w:p>
            <w:pPr>
              <w:spacing w:after="0"/>
              <w:jc w:val="left"/>
            </w:pPr>
            <w:r>
              <w:rPr>
                <w:rFonts w:ascii="Calibri" w:hAnsi="Calibri"/>
                <w:color w:val="0B2545"/>
                <w:sz w:val="19"/>
              </w:rPr>
              <w:t>Where are capacity, utilisation, staffing, storage, and operational demand visible?</w:t>
            </w:r>
          </w:p>
        </w:tc>
      </w:tr>
      <w:tr>
        <w:tc>
          <w:tcPr>
            <w:tcW w:type="dxa" w:w="2400"/>
            <w:vAlign w:val="center"/>
            <w:tcMar>
              <w:top w:w="80" w:type="dxa"/>
              <w:start w:w="120" w:type="dxa"/>
              <w:bottom w:w="80" w:type="dxa"/>
              <w:end w:w="120" w:type="dxa"/>
            </w:tcMar>
          </w:tcPr>
          <w:p>
            <w:pPr>
              <w:spacing w:after="0"/>
              <w:jc w:val="center"/>
            </w:pPr>
            <w:r>
              <w:rPr>
                <w:rFonts w:ascii="Calibri" w:hAnsi="Calibri"/>
                <w:color w:val="0B2545"/>
                <w:sz w:val="19"/>
              </w:rPr>
              <w:t>Business partners</w:t>
            </w:r>
          </w:p>
        </w:tc>
        <w:tc>
          <w:tcPr>
            <w:tcW w:type="dxa" w:w="6960"/>
            <w:vAlign w:val="center"/>
            <w:tcMar>
              <w:top w:w="80" w:type="dxa"/>
              <w:start w:w="120" w:type="dxa"/>
              <w:bottom w:w="80" w:type="dxa"/>
              <w:end w:w="120" w:type="dxa"/>
            </w:tcMar>
          </w:tcPr>
          <w:p>
            <w:pPr>
              <w:spacing w:after="0"/>
              <w:jc w:val="left"/>
            </w:pPr>
            <w:r>
              <w:rPr>
                <w:rFonts w:ascii="Calibri" w:hAnsi="Calibri"/>
                <w:color w:val="0B2545"/>
                <w:sz w:val="19"/>
              </w:rPr>
              <w:t>Which suppliers and customers carry commercial exposure, risk, or blocks?</w:t>
            </w:r>
          </w:p>
        </w:tc>
      </w:tr>
    </w:tbl>
    <w:p>
      <w:pPr>
        <w:spacing w:after="20"/>
      </w:pPr>
    </w:p>
    <w:p>
      <w:pPr>
        <w:spacing w:before="60" w:after="160"/>
        <w:ind w:left="115" w:right="115"/>
        <w:shd w:fill="EEF7F1"/>
        <w:pBdr>
          <w:top w:val="single" w:sz="4" w:space="6" w:color="D7DBE2"/>
          <w:left w:val="single" w:sz="4" w:space="6" w:color="D7DBE2"/>
          <w:bottom w:val="single" w:sz="4" w:space="6" w:color="D7DBE2"/>
          <w:right w:val="single" w:sz="4" w:space="6" w:color="D7DBE2"/>
        </w:pBdr>
      </w:pPr>
      <w:r>
        <w:rPr>
          <w:rFonts w:ascii="Calibri" w:hAnsi="Calibri"/>
          <w:b/>
          <w:color w:val="276749"/>
          <w:sz w:val="21"/>
        </w:rPr>
        <w:t xml:space="preserve">Try it now: </w:t>
      </w:r>
      <w:r>
        <w:rPr>
          <w:rFonts w:ascii="Calibri" w:hAnsi="Calibri"/>
          <w:color w:val="0B2545"/>
          <w:sz w:val="21"/>
        </w:rPr>
        <w:t>Open Company structure, select a plant, then open Master data and find a material associated with that operational context.</w:t>
      </w:r>
    </w:p>
    <w:p>
      <w:r>
        <w:br w:type="page"/>
      </w:r>
    </w:p>
    <w:p>
      <w:pPr>
        <w:pStyle w:val="Heading1"/>
      </w:pPr>
      <w:r>
        <w:t>4. Learn the eight core SAP processes</w:t>
      </w:r>
    </w:p>
    <w:p>
      <w:pPr>
        <w:spacing w:after="200"/>
      </w:pPr>
      <w:r>
        <w:rPr>
          <w:rFonts w:ascii="Calibri" w:hAnsi="Calibri"/>
          <w:i/>
          <w:color w:val="1F4D78"/>
          <w:sz w:val="23"/>
        </w:rPr>
        <w:t>Each pathway teaches a business outcome, SAP actions, document evidence, integration effects, and exception recovery.</w:t>
      </w:r>
    </w:p>
    <w:tbl>
      <w:tblPr>
        <w:tblStyle w:val="TableGrid"/>
        <w:tblW w:type="dxa" w:w="9360"/>
        <w:tblLayout w:type="fixed"/>
        <w:tblLook w:firstColumn="1" w:firstRow="1" w:lastColumn="0" w:lastRow="0" w:noHBand="0" w:noVBand="1" w:val="04A0"/>
        <w:jc w:val="left"/>
        <w:tblInd w:w="120" w:type="dxa"/>
      </w:tblPr>
      <w:tblGrid>
        <w:gridCol w:w="900"/>
        <w:gridCol w:w="2200"/>
        <w:gridCol w:w="4000"/>
        <w:gridCol w:w="2260"/>
      </w:tblGrid>
      <w:tr>
        <w:trPr>
          <w:tblHeader w:val="true"/>
        </w:trPr>
        <w:tc>
          <w:tcPr>
            <w:tcW w:type="dxa" w:w="900"/>
            <w:vAlign w:val="center"/>
            <w:tcMar>
              <w:top w:w="80" w:type="dxa"/>
              <w:start w:w="120" w:type="dxa"/>
              <w:bottom w:w="80" w:type="dxa"/>
              <w:end w:w="120" w:type="dxa"/>
            </w:tcMar>
            <w:shd w:fill="E8EEF5"/>
          </w:tcPr>
          <w:p>
            <w:pPr>
              <w:jc w:val="center"/>
            </w:pPr>
            <w:r>
              <w:rPr>
                <w:rFonts w:ascii="Calibri" w:hAnsi="Calibri"/>
                <w:b/>
                <w:color w:val="0B2545"/>
                <w:sz w:val="19"/>
              </w:rPr>
              <w:t>Code</w:t>
            </w:r>
          </w:p>
        </w:tc>
        <w:tc>
          <w:tcPr>
            <w:tcW w:type="dxa" w:w="2200"/>
            <w:vAlign w:val="center"/>
            <w:tcMar>
              <w:top w:w="80" w:type="dxa"/>
              <w:start w:w="120" w:type="dxa"/>
              <w:bottom w:w="80" w:type="dxa"/>
              <w:end w:w="120" w:type="dxa"/>
            </w:tcMar>
            <w:shd w:fill="E8EEF5"/>
          </w:tcPr>
          <w:p>
            <w:pPr>
              <w:jc w:val="center"/>
            </w:pPr>
            <w:r>
              <w:rPr>
                <w:rFonts w:ascii="Calibri" w:hAnsi="Calibri"/>
                <w:b/>
                <w:color w:val="0B2545"/>
                <w:sz w:val="19"/>
              </w:rPr>
              <w:t>Pathway</w:t>
            </w:r>
          </w:p>
        </w:tc>
        <w:tc>
          <w:tcPr>
            <w:tcW w:type="dxa" w:w="4000"/>
            <w:vAlign w:val="center"/>
            <w:tcMar>
              <w:top w:w="80" w:type="dxa"/>
              <w:start w:w="120" w:type="dxa"/>
              <w:bottom w:w="80" w:type="dxa"/>
              <w:end w:w="120" w:type="dxa"/>
            </w:tcMar>
            <w:shd w:fill="E8EEF5"/>
          </w:tcPr>
          <w:p>
            <w:pPr>
              <w:jc w:val="center"/>
            </w:pPr>
            <w:r>
              <w:rPr>
                <w:rFonts w:ascii="Calibri" w:hAnsi="Calibri"/>
                <w:b/>
                <w:color w:val="0B2545"/>
                <w:sz w:val="19"/>
              </w:rPr>
              <w:t>Business chain</w:t>
            </w:r>
          </w:p>
        </w:tc>
        <w:tc>
          <w:tcPr>
            <w:tcW w:type="dxa" w:w="2260"/>
            <w:vAlign w:val="center"/>
            <w:tcMar>
              <w:top w:w="80" w:type="dxa"/>
              <w:start w:w="120" w:type="dxa"/>
              <w:bottom w:w="80" w:type="dxa"/>
              <w:end w:w="120" w:type="dxa"/>
            </w:tcMar>
            <w:shd w:fill="E8EEF5"/>
          </w:tcPr>
          <w:p>
            <w:pPr>
              <w:jc w:val="center"/>
            </w:pPr>
            <w:r>
              <w:rPr>
                <w:rFonts w:ascii="Calibri" w:hAnsi="Calibri"/>
                <w:b/>
                <w:color w:val="0B2545"/>
                <w:sz w:val="19"/>
              </w:rPr>
              <w:t>Modules</w:t>
            </w:r>
          </w:p>
        </w:tc>
      </w:tr>
      <w:tr>
        <w:tc>
          <w:tcPr>
            <w:tcW w:type="dxa" w:w="900"/>
            <w:vAlign w:val="center"/>
            <w:tcMar>
              <w:top w:w="80" w:type="dxa"/>
              <w:start w:w="120" w:type="dxa"/>
              <w:bottom w:w="80" w:type="dxa"/>
              <w:end w:w="120" w:type="dxa"/>
            </w:tcMar>
          </w:tcPr>
          <w:p>
            <w:pPr>
              <w:spacing w:after="0"/>
              <w:jc w:val="center"/>
            </w:pPr>
            <w:r>
              <w:rPr>
                <w:rFonts w:ascii="Calibri" w:hAnsi="Calibri"/>
                <w:color w:val="0B2545"/>
                <w:sz w:val="19"/>
              </w:rPr>
              <w:t>P2P</w:t>
            </w:r>
          </w:p>
        </w:tc>
        <w:tc>
          <w:tcPr>
            <w:tcW w:type="dxa" w:w="2200"/>
            <w:vAlign w:val="center"/>
            <w:tcMar>
              <w:top w:w="80" w:type="dxa"/>
              <w:start w:w="120" w:type="dxa"/>
              <w:bottom w:w="80" w:type="dxa"/>
              <w:end w:w="120" w:type="dxa"/>
            </w:tcMar>
          </w:tcPr>
          <w:p>
            <w:pPr>
              <w:spacing w:after="0"/>
              <w:jc w:val="left"/>
            </w:pPr>
            <w:r>
              <w:rPr>
                <w:rFonts w:ascii="Calibri" w:hAnsi="Calibri"/>
                <w:color w:val="0B2545"/>
                <w:sz w:val="19"/>
              </w:rPr>
              <w:t>Procure-to-Pay</w:t>
            </w:r>
          </w:p>
        </w:tc>
        <w:tc>
          <w:tcPr>
            <w:tcW w:type="dxa" w:w="4000"/>
            <w:vAlign w:val="center"/>
            <w:tcMar>
              <w:top w:w="80" w:type="dxa"/>
              <w:start w:w="120" w:type="dxa"/>
              <w:bottom w:w="80" w:type="dxa"/>
              <w:end w:w="120" w:type="dxa"/>
            </w:tcMar>
          </w:tcPr>
          <w:p>
            <w:pPr>
              <w:spacing w:after="0"/>
              <w:jc w:val="left"/>
            </w:pPr>
            <w:r>
              <w:rPr>
                <w:rFonts w:ascii="Calibri" w:hAnsi="Calibri"/>
                <w:color w:val="0B2545"/>
                <w:sz w:val="19"/>
              </w:rPr>
              <w:t>Purchase requisition to supplier payment</w:t>
            </w:r>
          </w:p>
        </w:tc>
        <w:tc>
          <w:tcPr>
            <w:tcW w:type="dxa" w:w="2260"/>
            <w:vAlign w:val="center"/>
            <w:tcMar>
              <w:top w:w="80" w:type="dxa"/>
              <w:start w:w="120" w:type="dxa"/>
              <w:bottom w:w="80" w:type="dxa"/>
              <w:end w:w="120" w:type="dxa"/>
            </w:tcMar>
          </w:tcPr>
          <w:p>
            <w:pPr>
              <w:spacing w:after="0"/>
              <w:jc w:val="left"/>
            </w:pPr>
            <w:r>
              <w:rPr>
                <w:rFonts w:ascii="Calibri" w:hAnsi="Calibri"/>
                <w:color w:val="0B2545"/>
                <w:sz w:val="19"/>
              </w:rPr>
              <w:t>MM, QM, FI</w:t>
            </w:r>
          </w:p>
        </w:tc>
      </w:tr>
      <w:tr>
        <w:tc>
          <w:tcPr>
            <w:tcW w:type="dxa" w:w="900"/>
            <w:vAlign w:val="center"/>
            <w:tcMar>
              <w:top w:w="80" w:type="dxa"/>
              <w:start w:w="120" w:type="dxa"/>
              <w:bottom w:w="80" w:type="dxa"/>
              <w:end w:w="120" w:type="dxa"/>
            </w:tcMar>
          </w:tcPr>
          <w:p>
            <w:pPr>
              <w:spacing w:after="0"/>
              <w:jc w:val="center"/>
            </w:pPr>
            <w:r>
              <w:rPr>
                <w:rFonts w:ascii="Calibri" w:hAnsi="Calibri"/>
                <w:color w:val="0B2545"/>
                <w:sz w:val="19"/>
              </w:rPr>
              <w:t>O2C</w:t>
            </w:r>
          </w:p>
        </w:tc>
        <w:tc>
          <w:tcPr>
            <w:tcW w:type="dxa" w:w="2200"/>
            <w:vAlign w:val="center"/>
            <w:tcMar>
              <w:top w:w="80" w:type="dxa"/>
              <w:start w:w="120" w:type="dxa"/>
              <w:bottom w:w="80" w:type="dxa"/>
              <w:end w:w="120" w:type="dxa"/>
            </w:tcMar>
          </w:tcPr>
          <w:p>
            <w:pPr>
              <w:spacing w:after="0"/>
              <w:jc w:val="left"/>
            </w:pPr>
            <w:r>
              <w:rPr>
                <w:rFonts w:ascii="Calibri" w:hAnsi="Calibri"/>
                <w:color w:val="0B2545"/>
                <w:sz w:val="19"/>
              </w:rPr>
              <w:t>Order-to-Cash</w:t>
            </w:r>
          </w:p>
        </w:tc>
        <w:tc>
          <w:tcPr>
            <w:tcW w:type="dxa" w:w="4000"/>
            <w:vAlign w:val="center"/>
            <w:tcMar>
              <w:top w:w="80" w:type="dxa"/>
              <w:start w:w="120" w:type="dxa"/>
              <w:bottom w:w="80" w:type="dxa"/>
              <w:end w:w="120" w:type="dxa"/>
            </w:tcMar>
          </w:tcPr>
          <w:p>
            <w:pPr>
              <w:spacing w:after="0"/>
              <w:jc w:val="left"/>
            </w:pPr>
            <w:r>
              <w:rPr>
                <w:rFonts w:ascii="Calibri" w:hAnsi="Calibri"/>
                <w:color w:val="0B2545"/>
                <w:sz w:val="19"/>
              </w:rPr>
              <w:t>Customer demand to delivery and cash</w:t>
            </w:r>
          </w:p>
        </w:tc>
        <w:tc>
          <w:tcPr>
            <w:tcW w:type="dxa" w:w="2260"/>
            <w:vAlign w:val="center"/>
            <w:tcMar>
              <w:top w:w="80" w:type="dxa"/>
              <w:start w:w="120" w:type="dxa"/>
              <w:bottom w:w="80" w:type="dxa"/>
              <w:end w:w="120" w:type="dxa"/>
            </w:tcMar>
          </w:tcPr>
          <w:p>
            <w:pPr>
              <w:spacing w:after="0"/>
              <w:jc w:val="left"/>
            </w:pPr>
            <w:r>
              <w:rPr>
                <w:rFonts w:ascii="Calibri" w:hAnsi="Calibri"/>
                <w:color w:val="0B2545"/>
                <w:sz w:val="19"/>
              </w:rPr>
              <w:t>SD, EWM, PP, FI</w:t>
            </w:r>
          </w:p>
        </w:tc>
      </w:tr>
      <w:tr>
        <w:tc>
          <w:tcPr>
            <w:tcW w:type="dxa" w:w="900"/>
            <w:vAlign w:val="center"/>
            <w:tcMar>
              <w:top w:w="80" w:type="dxa"/>
              <w:start w:w="120" w:type="dxa"/>
              <w:bottom w:w="80" w:type="dxa"/>
              <w:end w:w="120" w:type="dxa"/>
            </w:tcMar>
          </w:tcPr>
          <w:p>
            <w:pPr>
              <w:spacing w:after="0"/>
              <w:jc w:val="center"/>
            </w:pPr>
            <w:r>
              <w:rPr>
                <w:rFonts w:ascii="Calibri" w:hAnsi="Calibri"/>
                <w:color w:val="0B2545"/>
                <w:sz w:val="19"/>
              </w:rPr>
              <w:t>P2P/PP</w:t>
            </w:r>
          </w:p>
        </w:tc>
        <w:tc>
          <w:tcPr>
            <w:tcW w:type="dxa" w:w="2200"/>
            <w:vAlign w:val="center"/>
            <w:tcMar>
              <w:top w:w="80" w:type="dxa"/>
              <w:start w:w="120" w:type="dxa"/>
              <w:bottom w:w="80" w:type="dxa"/>
              <w:end w:w="120" w:type="dxa"/>
            </w:tcMar>
          </w:tcPr>
          <w:p>
            <w:pPr>
              <w:spacing w:after="0"/>
              <w:jc w:val="left"/>
            </w:pPr>
            <w:r>
              <w:rPr>
                <w:rFonts w:ascii="Calibri" w:hAnsi="Calibri"/>
                <w:color w:val="0B2545"/>
                <w:sz w:val="19"/>
              </w:rPr>
              <w:t>Plan-to-Produce</w:t>
            </w:r>
          </w:p>
        </w:tc>
        <w:tc>
          <w:tcPr>
            <w:tcW w:type="dxa" w:w="4000"/>
            <w:vAlign w:val="center"/>
            <w:tcMar>
              <w:top w:w="80" w:type="dxa"/>
              <w:start w:w="120" w:type="dxa"/>
              <w:bottom w:w="80" w:type="dxa"/>
              <w:end w:w="120" w:type="dxa"/>
            </w:tcMar>
          </w:tcPr>
          <w:p>
            <w:pPr>
              <w:spacing w:after="0"/>
              <w:jc w:val="left"/>
            </w:pPr>
            <w:r>
              <w:rPr>
                <w:rFonts w:ascii="Calibri" w:hAnsi="Calibri"/>
                <w:color w:val="0B2545"/>
                <w:sz w:val="19"/>
              </w:rPr>
              <w:t>MRP demand to production completion</w:t>
            </w:r>
          </w:p>
        </w:tc>
        <w:tc>
          <w:tcPr>
            <w:tcW w:type="dxa" w:w="2260"/>
            <w:vAlign w:val="center"/>
            <w:tcMar>
              <w:top w:w="80" w:type="dxa"/>
              <w:start w:w="120" w:type="dxa"/>
              <w:bottom w:w="80" w:type="dxa"/>
              <w:end w:w="120" w:type="dxa"/>
            </w:tcMar>
          </w:tcPr>
          <w:p>
            <w:pPr>
              <w:spacing w:after="0"/>
              <w:jc w:val="left"/>
            </w:pPr>
            <w:r>
              <w:rPr>
                <w:rFonts w:ascii="Calibri" w:hAnsi="Calibri"/>
                <w:color w:val="0B2545"/>
                <w:sz w:val="19"/>
              </w:rPr>
              <w:t>PP, MM, EWM, CO, FI</w:t>
            </w:r>
          </w:p>
        </w:tc>
      </w:tr>
      <w:tr>
        <w:tc>
          <w:tcPr>
            <w:tcW w:type="dxa" w:w="900"/>
            <w:vAlign w:val="center"/>
            <w:tcMar>
              <w:top w:w="80" w:type="dxa"/>
              <w:start w:w="120" w:type="dxa"/>
              <w:bottom w:w="80" w:type="dxa"/>
              <w:end w:w="120" w:type="dxa"/>
            </w:tcMar>
          </w:tcPr>
          <w:p>
            <w:pPr>
              <w:spacing w:after="0"/>
              <w:jc w:val="center"/>
            </w:pPr>
            <w:r>
              <w:rPr>
                <w:rFonts w:ascii="Calibri" w:hAnsi="Calibri"/>
                <w:color w:val="0B2545"/>
                <w:sz w:val="19"/>
              </w:rPr>
              <w:t>R2R</w:t>
            </w:r>
          </w:p>
        </w:tc>
        <w:tc>
          <w:tcPr>
            <w:tcW w:type="dxa" w:w="2200"/>
            <w:vAlign w:val="center"/>
            <w:tcMar>
              <w:top w:w="80" w:type="dxa"/>
              <w:start w:w="120" w:type="dxa"/>
              <w:bottom w:w="80" w:type="dxa"/>
              <w:end w:w="120" w:type="dxa"/>
            </w:tcMar>
          </w:tcPr>
          <w:p>
            <w:pPr>
              <w:spacing w:after="0"/>
              <w:jc w:val="left"/>
            </w:pPr>
            <w:r>
              <w:rPr>
                <w:rFonts w:ascii="Calibri" w:hAnsi="Calibri"/>
                <w:color w:val="0B2545"/>
                <w:sz w:val="19"/>
              </w:rPr>
              <w:t>Record-to-Report</w:t>
            </w:r>
          </w:p>
        </w:tc>
        <w:tc>
          <w:tcPr>
            <w:tcW w:type="dxa" w:w="4000"/>
            <w:vAlign w:val="center"/>
            <w:tcMar>
              <w:top w:w="80" w:type="dxa"/>
              <w:start w:w="120" w:type="dxa"/>
              <w:bottom w:w="80" w:type="dxa"/>
              <w:end w:w="120" w:type="dxa"/>
            </w:tcMar>
          </w:tcPr>
          <w:p>
            <w:pPr>
              <w:spacing w:after="0"/>
              <w:jc w:val="left"/>
            </w:pPr>
            <w:r>
              <w:rPr>
                <w:rFonts w:ascii="Calibri" w:hAnsi="Calibri"/>
                <w:color w:val="0B2545"/>
                <w:sz w:val="19"/>
              </w:rPr>
              <w:t>Operational postings to period close and reporting</w:t>
            </w:r>
          </w:p>
        </w:tc>
        <w:tc>
          <w:tcPr>
            <w:tcW w:type="dxa" w:w="2260"/>
            <w:vAlign w:val="center"/>
            <w:tcMar>
              <w:top w:w="80" w:type="dxa"/>
              <w:start w:w="120" w:type="dxa"/>
              <w:bottom w:w="80" w:type="dxa"/>
              <w:end w:w="120" w:type="dxa"/>
            </w:tcMar>
          </w:tcPr>
          <w:p>
            <w:pPr>
              <w:spacing w:after="0"/>
              <w:jc w:val="left"/>
            </w:pPr>
            <w:r>
              <w:rPr>
                <w:rFonts w:ascii="Calibri" w:hAnsi="Calibri"/>
                <w:color w:val="0B2545"/>
                <w:sz w:val="19"/>
              </w:rPr>
              <w:t>FI-GL, AP, AR, CO</w:t>
            </w:r>
          </w:p>
        </w:tc>
      </w:tr>
      <w:tr>
        <w:tc>
          <w:tcPr>
            <w:tcW w:type="dxa" w:w="900"/>
            <w:vAlign w:val="center"/>
            <w:tcMar>
              <w:top w:w="80" w:type="dxa"/>
              <w:start w:w="120" w:type="dxa"/>
              <w:bottom w:w="80" w:type="dxa"/>
              <w:end w:w="120" w:type="dxa"/>
            </w:tcMar>
          </w:tcPr>
          <w:p>
            <w:pPr>
              <w:spacing w:after="0"/>
              <w:jc w:val="center"/>
            </w:pPr>
            <w:r>
              <w:rPr>
                <w:rFonts w:ascii="Calibri" w:hAnsi="Calibri"/>
                <w:color w:val="0B2545"/>
                <w:sz w:val="19"/>
              </w:rPr>
              <w:t>QM</w:t>
            </w:r>
          </w:p>
        </w:tc>
        <w:tc>
          <w:tcPr>
            <w:tcW w:type="dxa" w:w="2200"/>
            <w:vAlign w:val="center"/>
            <w:tcMar>
              <w:top w:w="80" w:type="dxa"/>
              <w:start w:w="120" w:type="dxa"/>
              <w:bottom w:w="80" w:type="dxa"/>
              <w:end w:w="120" w:type="dxa"/>
            </w:tcMar>
          </w:tcPr>
          <w:p>
            <w:pPr>
              <w:spacing w:after="0"/>
              <w:jc w:val="left"/>
            </w:pPr>
            <w:r>
              <w:rPr>
                <w:rFonts w:ascii="Calibri" w:hAnsi="Calibri"/>
                <w:color w:val="0B2545"/>
                <w:sz w:val="19"/>
              </w:rPr>
              <w:t>Quality Management</w:t>
            </w:r>
          </w:p>
        </w:tc>
        <w:tc>
          <w:tcPr>
            <w:tcW w:type="dxa" w:w="4000"/>
            <w:vAlign w:val="center"/>
            <w:tcMar>
              <w:top w:w="80" w:type="dxa"/>
              <w:start w:w="120" w:type="dxa"/>
              <w:bottom w:w="80" w:type="dxa"/>
              <w:end w:w="120" w:type="dxa"/>
            </w:tcMar>
          </w:tcPr>
          <w:p>
            <w:pPr>
              <w:spacing w:after="0"/>
              <w:jc w:val="left"/>
            </w:pPr>
            <w:r>
              <w:rPr>
                <w:rFonts w:ascii="Calibri" w:hAnsi="Calibri"/>
                <w:color w:val="0B2545"/>
                <w:sz w:val="19"/>
              </w:rPr>
              <w:t>Inspection lot to stock disposition and supplier feedback</w:t>
            </w:r>
          </w:p>
        </w:tc>
        <w:tc>
          <w:tcPr>
            <w:tcW w:type="dxa" w:w="2260"/>
            <w:vAlign w:val="center"/>
            <w:tcMar>
              <w:top w:w="80" w:type="dxa"/>
              <w:start w:w="120" w:type="dxa"/>
              <w:bottom w:w="80" w:type="dxa"/>
              <w:end w:w="120" w:type="dxa"/>
            </w:tcMar>
          </w:tcPr>
          <w:p>
            <w:pPr>
              <w:spacing w:after="0"/>
              <w:jc w:val="left"/>
            </w:pPr>
            <w:r>
              <w:rPr>
                <w:rFonts w:ascii="Calibri" w:hAnsi="Calibri"/>
                <w:color w:val="0B2545"/>
                <w:sz w:val="19"/>
              </w:rPr>
              <w:t>QM, MM</w:t>
            </w:r>
          </w:p>
        </w:tc>
      </w:tr>
      <w:tr>
        <w:tc>
          <w:tcPr>
            <w:tcW w:type="dxa" w:w="900"/>
            <w:vAlign w:val="center"/>
            <w:tcMar>
              <w:top w:w="80" w:type="dxa"/>
              <w:start w:w="120" w:type="dxa"/>
              <w:bottom w:w="80" w:type="dxa"/>
              <w:end w:w="120" w:type="dxa"/>
            </w:tcMar>
          </w:tcPr>
          <w:p>
            <w:pPr>
              <w:spacing w:after="0"/>
              <w:jc w:val="center"/>
            </w:pPr>
            <w:r>
              <w:rPr>
                <w:rFonts w:ascii="Calibri" w:hAnsi="Calibri"/>
                <w:color w:val="0B2545"/>
                <w:sz w:val="19"/>
              </w:rPr>
              <w:t>PM</w:t>
            </w:r>
          </w:p>
        </w:tc>
        <w:tc>
          <w:tcPr>
            <w:tcW w:type="dxa" w:w="2200"/>
            <w:vAlign w:val="center"/>
            <w:tcMar>
              <w:top w:w="80" w:type="dxa"/>
              <w:start w:w="120" w:type="dxa"/>
              <w:bottom w:w="80" w:type="dxa"/>
              <w:end w:w="120" w:type="dxa"/>
            </w:tcMar>
          </w:tcPr>
          <w:p>
            <w:pPr>
              <w:spacing w:after="0"/>
              <w:jc w:val="left"/>
            </w:pPr>
            <w:r>
              <w:rPr>
                <w:rFonts w:ascii="Calibri" w:hAnsi="Calibri"/>
                <w:color w:val="0B2545"/>
                <w:sz w:val="19"/>
              </w:rPr>
              <w:t>Maintenance</w:t>
            </w:r>
          </w:p>
        </w:tc>
        <w:tc>
          <w:tcPr>
            <w:tcW w:type="dxa" w:w="4000"/>
            <w:vAlign w:val="center"/>
            <w:tcMar>
              <w:top w:w="80" w:type="dxa"/>
              <w:start w:w="120" w:type="dxa"/>
              <w:bottom w:w="80" w:type="dxa"/>
              <w:end w:w="120" w:type="dxa"/>
            </w:tcMar>
          </w:tcPr>
          <w:p>
            <w:pPr>
              <w:spacing w:after="0"/>
              <w:jc w:val="left"/>
            </w:pPr>
            <w:r>
              <w:rPr>
                <w:rFonts w:ascii="Calibri" w:hAnsi="Calibri"/>
                <w:color w:val="0B2545"/>
                <w:sz w:val="19"/>
              </w:rPr>
              <w:t>Breakdown to repair, cost, safety, and reliability learning</w:t>
            </w:r>
          </w:p>
        </w:tc>
        <w:tc>
          <w:tcPr>
            <w:tcW w:type="dxa" w:w="2260"/>
            <w:vAlign w:val="center"/>
            <w:tcMar>
              <w:top w:w="80" w:type="dxa"/>
              <w:start w:w="120" w:type="dxa"/>
              <w:bottom w:w="80" w:type="dxa"/>
              <w:end w:w="120" w:type="dxa"/>
            </w:tcMar>
          </w:tcPr>
          <w:p>
            <w:pPr>
              <w:spacing w:after="0"/>
              <w:jc w:val="left"/>
            </w:pPr>
            <w:r>
              <w:rPr>
                <w:rFonts w:ascii="Calibri" w:hAnsi="Calibri"/>
                <w:color w:val="0B2545"/>
                <w:sz w:val="19"/>
              </w:rPr>
              <w:t>PM, MM, CO</w:t>
            </w:r>
          </w:p>
        </w:tc>
      </w:tr>
      <w:tr>
        <w:tc>
          <w:tcPr>
            <w:tcW w:type="dxa" w:w="900"/>
            <w:vAlign w:val="center"/>
            <w:tcMar>
              <w:top w:w="80" w:type="dxa"/>
              <w:start w:w="120" w:type="dxa"/>
              <w:bottom w:w="80" w:type="dxa"/>
              <w:end w:w="120" w:type="dxa"/>
            </w:tcMar>
          </w:tcPr>
          <w:p>
            <w:pPr>
              <w:spacing w:after="0"/>
              <w:jc w:val="center"/>
            </w:pPr>
            <w:r>
              <w:rPr>
                <w:rFonts w:ascii="Calibri" w:hAnsi="Calibri"/>
                <w:color w:val="0B2545"/>
                <w:sz w:val="19"/>
              </w:rPr>
              <w:t>H2R</w:t>
            </w:r>
          </w:p>
        </w:tc>
        <w:tc>
          <w:tcPr>
            <w:tcW w:type="dxa" w:w="2200"/>
            <w:vAlign w:val="center"/>
            <w:tcMar>
              <w:top w:w="80" w:type="dxa"/>
              <w:start w:w="120" w:type="dxa"/>
              <w:bottom w:w="80" w:type="dxa"/>
              <w:end w:w="120" w:type="dxa"/>
            </w:tcMar>
          </w:tcPr>
          <w:p>
            <w:pPr>
              <w:spacing w:after="0"/>
              <w:jc w:val="left"/>
            </w:pPr>
            <w:r>
              <w:rPr>
                <w:rFonts w:ascii="Calibri" w:hAnsi="Calibri"/>
                <w:color w:val="0B2545"/>
                <w:sz w:val="19"/>
              </w:rPr>
              <w:t>Hire-to-Retire</w:t>
            </w:r>
          </w:p>
        </w:tc>
        <w:tc>
          <w:tcPr>
            <w:tcW w:type="dxa" w:w="4000"/>
            <w:vAlign w:val="center"/>
            <w:tcMar>
              <w:top w:w="80" w:type="dxa"/>
              <w:start w:w="120" w:type="dxa"/>
              <w:bottom w:w="80" w:type="dxa"/>
              <w:end w:w="120" w:type="dxa"/>
            </w:tcMar>
          </w:tcPr>
          <w:p>
            <w:pPr>
              <w:spacing w:after="0"/>
              <w:jc w:val="left"/>
            </w:pPr>
            <w:r>
              <w:rPr>
                <w:rFonts w:ascii="Calibri" w:hAnsi="Calibri"/>
                <w:color w:val="0B2545"/>
                <w:sz w:val="19"/>
              </w:rPr>
              <w:t>Onboarding through payroll and organisational assignment</w:t>
            </w:r>
          </w:p>
        </w:tc>
        <w:tc>
          <w:tcPr>
            <w:tcW w:type="dxa" w:w="2260"/>
            <w:vAlign w:val="center"/>
            <w:tcMar>
              <w:top w:w="80" w:type="dxa"/>
              <w:start w:w="120" w:type="dxa"/>
              <w:bottom w:w="80" w:type="dxa"/>
              <w:end w:w="120" w:type="dxa"/>
            </w:tcMar>
          </w:tcPr>
          <w:p>
            <w:pPr>
              <w:spacing w:after="0"/>
              <w:jc w:val="left"/>
            </w:pPr>
            <w:r>
              <w:rPr>
                <w:rFonts w:ascii="Calibri" w:hAnsi="Calibri"/>
                <w:color w:val="0B2545"/>
                <w:sz w:val="19"/>
              </w:rPr>
              <w:t>HCM, SuccessFactors, FI, CO</w:t>
            </w:r>
          </w:p>
        </w:tc>
      </w:tr>
      <w:tr>
        <w:tc>
          <w:tcPr>
            <w:tcW w:type="dxa" w:w="900"/>
            <w:vAlign w:val="center"/>
            <w:tcMar>
              <w:top w:w="80" w:type="dxa"/>
              <w:start w:w="120" w:type="dxa"/>
              <w:bottom w:w="80" w:type="dxa"/>
              <w:end w:w="120" w:type="dxa"/>
            </w:tcMar>
          </w:tcPr>
          <w:p>
            <w:pPr>
              <w:spacing w:after="0"/>
              <w:jc w:val="center"/>
            </w:pPr>
            <w:r>
              <w:rPr>
                <w:rFonts w:ascii="Calibri" w:hAnsi="Calibri"/>
                <w:color w:val="0B2545"/>
                <w:sz w:val="19"/>
              </w:rPr>
              <w:t>W2D</w:t>
            </w:r>
          </w:p>
        </w:tc>
        <w:tc>
          <w:tcPr>
            <w:tcW w:type="dxa" w:w="2200"/>
            <w:vAlign w:val="center"/>
            <w:tcMar>
              <w:top w:w="80" w:type="dxa"/>
              <w:start w:w="120" w:type="dxa"/>
              <w:bottom w:w="80" w:type="dxa"/>
              <w:end w:w="120" w:type="dxa"/>
            </w:tcMar>
          </w:tcPr>
          <w:p>
            <w:pPr>
              <w:spacing w:after="0"/>
              <w:jc w:val="left"/>
            </w:pPr>
            <w:r>
              <w:rPr>
                <w:rFonts w:ascii="Calibri" w:hAnsi="Calibri"/>
                <w:color w:val="0B2545"/>
                <w:sz w:val="19"/>
              </w:rPr>
              <w:t>Warehouse-to-Dispatch</w:t>
            </w:r>
          </w:p>
        </w:tc>
        <w:tc>
          <w:tcPr>
            <w:tcW w:type="dxa" w:w="4000"/>
            <w:vAlign w:val="center"/>
            <w:tcMar>
              <w:top w:w="80" w:type="dxa"/>
              <w:start w:w="120" w:type="dxa"/>
              <w:bottom w:w="80" w:type="dxa"/>
              <w:end w:w="120" w:type="dxa"/>
            </w:tcMar>
          </w:tcPr>
          <w:p>
            <w:pPr>
              <w:spacing w:after="0"/>
              <w:jc w:val="left"/>
            </w:pPr>
            <w:r>
              <w:rPr>
                <w:rFonts w:ascii="Calibri" w:hAnsi="Calibri"/>
                <w:color w:val="0B2545"/>
                <w:sz w:val="19"/>
              </w:rPr>
              <w:t>Warehouse demand to picking, goods issue, and transport</w:t>
            </w:r>
          </w:p>
        </w:tc>
        <w:tc>
          <w:tcPr>
            <w:tcW w:type="dxa" w:w="2260"/>
            <w:vAlign w:val="center"/>
            <w:tcMar>
              <w:top w:w="80" w:type="dxa"/>
              <w:start w:w="120" w:type="dxa"/>
              <w:bottom w:w="80" w:type="dxa"/>
              <w:end w:w="120" w:type="dxa"/>
            </w:tcMar>
          </w:tcPr>
          <w:p>
            <w:pPr>
              <w:spacing w:after="0"/>
              <w:jc w:val="left"/>
            </w:pPr>
            <w:r>
              <w:rPr>
                <w:rFonts w:ascii="Calibri" w:hAnsi="Calibri"/>
                <w:color w:val="0B2545"/>
                <w:sz w:val="19"/>
              </w:rPr>
              <w:t>EWM, TM, SD, MM, FI</w:t>
            </w:r>
          </w:p>
        </w:tc>
      </w:tr>
    </w:tbl>
    <w:p>
      <w:pPr>
        <w:spacing w:after="20"/>
      </w:pP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Learning centre -&gt; choose a pathway -&gt; Open lesson / Continue learning</w:t>
      </w:r>
    </w:p>
    <w:p>
      <w:pPr>
        <w:pStyle w:val="Heading2"/>
      </w:pPr>
      <w:r>
        <w:t>How to complete a guided lesson</w:t>
      </w:r>
    </w:p>
    <w:p>
      <w:pPr>
        <w:pStyle w:val="ListNumber"/>
      </w:pPr>
      <w:r>
        <w:t>Choose one pathway in Learning centre and read the outcome, role, modules, and prerequisites.</w:t>
      </w:r>
    </w:p>
    <w:p>
      <w:pPr>
        <w:pStyle w:val="ListNumber"/>
      </w:pPr>
      <w:r>
        <w:t>Open Transaction tutor and select Guided mode.</w:t>
      </w:r>
    </w:p>
    <w:p>
      <w:pPr>
        <w:pStyle w:val="ListNumber"/>
      </w:pPr>
      <w:r>
        <w:t>For the active step, read the prerequisite, SAP app or transaction, fields, validation, integration impact, and proof to keep.</w:t>
      </w:r>
    </w:p>
    <w:p>
      <w:pPr>
        <w:pStyle w:val="ListNumber"/>
      </w:pPr>
      <w:r>
        <w:t>Perform the simulated action and inspect the resulting document or status.</w:t>
      </w:r>
    </w:p>
    <w:p>
      <w:pPr>
        <w:pStyle w:val="ListNumber"/>
      </w:pPr>
      <w:r>
        <w:t>Write an evidence note with four parts: document proof, key-field proof, integration effect, and audit detail.</w:t>
      </w:r>
    </w:p>
    <w:p>
      <w:pPr>
        <w:pStyle w:val="ListNumber"/>
      </w:pPr>
      <w:r>
        <w:t>Use the evidence coach feedback to improve the note before continuing.</w:t>
      </w:r>
    </w:p>
    <w:p>
      <w:pPr>
        <w:pStyle w:val="ListNumber"/>
      </w:pPr>
      <w:r>
        <w:t>Complete the knowledge check and review corrective feedback.</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Transaction tutor -&gt; Guided -&gt; Active step -&gt; SAP processing guide -&gt; Evidence note -&gt; Knowledge check</w:t>
      </w:r>
    </w:p>
    <w:p>
      <w:pPr>
        <w:spacing w:before="60" w:after="160"/>
        <w:ind w:left="115" w:right="115"/>
        <w:shd w:fill="EEF7F1"/>
        <w:pBdr>
          <w:top w:val="single" w:sz="4" w:space="6" w:color="D7DBE2"/>
          <w:left w:val="single" w:sz="4" w:space="6" w:color="D7DBE2"/>
          <w:bottom w:val="single" w:sz="4" w:space="6" w:color="D7DBE2"/>
          <w:right w:val="single" w:sz="4" w:space="6" w:color="D7DBE2"/>
        </w:pBdr>
      </w:pPr>
      <w:r>
        <w:rPr>
          <w:rFonts w:ascii="Calibri" w:hAnsi="Calibri"/>
          <w:b/>
          <w:color w:val="276749"/>
          <w:sz w:val="21"/>
        </w:rPr>
        <w:t xml:space="preserve">Try it now: </w:t>
      </w:r>
      <w:r>
        <w:rPr>
          <w:rFonts w:ascii="Calibri" w:hAnsi="Calibri"/>
          <w:color w:val="0B2545"/>
          <w:sz w:val="21"/>
        </w:rPr>
        <w:t>Before clicking the next step, explain aloud: What was the input? What SAP object changed? Which process receives the output next?</w:t>
      </w:r>
    </w:p>
    <w:p>
      <w:pPr>
        <w:pStyle w:val="Heading2"/>
      </w:pPr>
      <w:r>
        <w:t>How to read a document chain</w:t>
      </w:r>
    </w:p>
    <w:p>
      <w:r>
        <w:t>A document chain is the evidence that one business action caused the next. In P2P, for example, the chain moves from purchase requisition to purchase order, goods receipt, quality inspection, invoice verification, and vendor payment.</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Process explorer -&gt; select a process/document -&gt; Upstream links / Downstream links / Inventory / Journal evidence</w:t>
      </w:r>
    </w:p>
    <w:p>
      <w:pPr>
        <w:pStyle w:val="ListBullet"/>
      </w:pPr>
      <w:r>
        <w:t>Upstream: what authorised or created the current document?</w:t>
      </w:r>
    </w:p>
    <w:p>
      <w:pPr>
        <w:pStyle w:val="ListBullet"/>
      </w:pPr>
      <w:r>
        <w:t>Current document: what business event was recorded?</w:t>
      </w:r>
    </w:p>
    <w:p>
      <w:pPr>
        <w:pStyle w:val="ListBullet"/>
      </w:pPr>
      <w:r>
        <w:t>Downstream: which operational or financial action is now possible?</w:t>
      </w:r>
    </w:p>
    <w:p>
      <w:pPr>
        <w:pStyle w:val="ListBullet"/>
      </w:pPr>
      <w:r>
        <w:t>Control: which approval, match, tolerance, or validation protects the step?</w:t>
      </w:r>
    </w:p>
    <w:p>
      <w:pPr>
        <w:pStyle w:val="ListBullet"/>
      </w:pPr>
      <w:r>
        <w:t>Evidence: which document number, status, quantity, amount, or journal proves completion?</w:t>
      </w:r>
    </w:p>
    <w:p>
      <w:r>
        <w:br w:type="page"/>
      </w:r>
    </w:p>
    <w:p>
      <w:pPr>
        <w:pStyle w:val="Heading1"/>
      </w:pPr>
      <w:r>
        <w:t>5. Troubleshooting, implementation, and capstone modes</w:t>
      </w:r>
    </w:p>
    <w:p>
      <w:pPr>
        <w:spacing w:after="200"/>
      </w:pPr>
      <w:r>
        <w:rPr>
          <w:rFonts w:ascii="Calibri" w:hAnsi="Calibri"/>
          <w:i/>
          <w:color w:val="1F4D78"/>
          <w:sz w:val="23"/>
        </w:rPr>
        <w:t>Knowing the happy path is useful; knowing how to diagnose failure is what makes the learning job-ready.</w:t>
      </w:r>
    </w:p>
    <w:p>
      <w:pPr>
        <w:pStyle w:val="Heading2"/>
      </w:pPr>
      <w:r>
        <w:t>Troubleshooting mode</w:t>
      </w:r>
    </w:p>
    <w:p>
      <w:pPr>
        <w:pStyle w:val="ListNumber"/>
      </w:pPr>
      <w:r>
        <w:t>Open the same pathway in Transaction tutor and switch to Troubleshoot.</w:t>
      </w:r>
    </w:p>
    <w:p>
      <w:pPr>
        <w:pStyle w:val="ListNumber"/>
      </w:pPr>
      <w:r>
        <w:t>Read the symptom without jumping directly to the answer.</w:t>
      </w:r>
    </w:p>
    <w:p>
      <w:pPr>
        <w:pStyle w:val="ListNumber"/>
      </w:pPr>
      <w:r>
        <w:t>Identify the failed document, status, master data, control, or integration hand-off.</w:t>
      </w:r>
    </w:p>
    <w:p>
      <w:pPr>
        <w:pStyle w:val="ListNumber"/>
      </w:pPr>
      <w:r>
        <w:t>Choose the diagnosis and recovery action.</w:t>
      </w:r>
    </w:p>
    <w:p>
      <w:pPr>
        <w:pStyle w:val="ListNumber"/>
      </w:pPr>
      <w:r>
        <w:t>Review corrective feedback and retry if required.</w:t>
      </w:r>
    </w:p>
    <w:p>
      <w:pPr>
        <w:pStyle w:val="ListNumber"/>
      </w:pPr>
      <w:r>
        <w:t>Confirm that diagnostic completion appears in your progress and readiness.</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Transaction tutor -&gt; Troubleshoot -&gt; Select diagnosis / recovery -&gt; Submit</w:t>
      </w:r>
    </w:p>
    <w:p>
      <w:pPr>
        <w:spacing w:before="60" w:after="160"/>
        <w:ind w:left="115" w:right="115"/>
        <w:shd w:fill="EEF7F1"/>
        <w:pBdr>
          <w:top w:val="single" w:sz="4" w:space="6" w:color="D7DBE2"/>
          <w:left w:val="single" w:sz="4" w:space="6" w:color="D7DBE2"/>
          <w:bottom w:val="single" w:sz="4" w:space="6" w:color="D7DBE2"/>
          <w:right w:val="single" w:sz="4" w:space="6" w:color="D7DBE2"/>
        </w:pBdr>
      </w:pPr>
      <w:r>
        <w:rPr>
          <w:rFonts w:ascii="Calibri" w:hAnsi="Calibri"/>
          <w:b/>
          <w:color w:val="276749"/>
          <w:sz w:val="21"/>
        </w:rPr>
        <w:t xml:space="preserve">Try it now: </w:t>
      </w:r>
      <w:r>
        <w:rPr>
          <w:rFonts w:ascii="Calibri" w:hAnsi="Calibri"/>
          <w:color w:val="0B2545"/>
          <w:sz w:val="21"/>
        </w:rPr>
        <w:t>Use the sequence 'symptom -&gt; evidence -&gt; likely cause -&gt; safe correction -&gt; downstream check'. Write one sentence for each before submitting.</w:t>
      </w:r>
    </w:p>
    <w:p>
      <w:pPr>
        <w:pStyle w:val="Heading2"/>
      </w:pPr>
      <w:r>
        <w:t>Implementation mode</w:t>
      </w:r>
    </w:p>
    <w:p>
      <w:r>
        <w:t>Implementation mode changes the question from 'how do I post this transaction?' to 'what must be designed, configured, integrated, tested, controlled, and supported so the process works reliably?'</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Transaction tutor -&gt; Implementation</w:t>
      </w:r>
    </w:p>
    <w:p>
      <w:pPr>
        <w:pStyle w:val="ListBullet"/>
      </w:pPr>
      <w:r>
        <w:t>Organisation: company code, plant, purchasing, sales, storage, and responsibility design.</w:t>
      </w:r>
    </w:p>
    <w:p>
      <w:pPr>
        <w:pStyle w:val="ListBullet"/>
      </w:pPr>
      <w:r>
        <w:t>Master data: ownership, validation, dependencies, migration, and cutover.</w:t>
      </w:r>
    </w:p>
    <w:p>
      <w:pPr>
        <w:pStyle w:val="ListBullet"/>
      </w:pPr>
      <w:r>
        <w:t>Configuration: process rules, tolerances, account determination, outputs, and controls.</w:t>
      </w:r>
    </w:p>
    <w:p>
      <w:pPr>
        <w:pStyle w:val="ListBullet"/>
      </w:pPr>
      <w:r>
        <w:t>Integration: hand-offs between modules and evidence that postings reconcile.</w:t>
      </w:r>
    </w:p>
    <w:p>
      <w:pPr>
        <w:pStyle w:val="ListBullet"/>
      </w:pPr>
      <w:r>
        <w:t>Testing: positive, negative, volume, security, and end-to-end scenarios.</w:t>
      </w:r>
    </w:p>
    <w:p>
      <w:pPr>
        <w:pStyle w:val="ListBullet"/>
      </w:pPr>
      <w:r>
        <w:t>Go-live: access, monitoring, support, fallback, and hypercare.</w:t>
      </w:r>
    </w:p>
    <w:p>
      <w:pPr>
        <w:pStyle w:val="Heading2"/>
      </w:pPr>
      <w:r>
        <w:t>Capstone mode</w:t>
      </w:r>
    </w:p>
    <w:p>
      <w:r>
        <w:t>A capstone opens only when the required learning evidence is ready. It asks you to explain the process, document chain, control logic, exception handling, and business impact in your own words.</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Transaction tutor -&gt; Capstone; Learning centre -&gt; Portfolio / Readiness</w:t>
      </w:r>
    </w:p>
    <w:p>
      <w:pPr>
        <w:pStyle w:val="ListNumber"/>
      </w:pPr>
      <w:r>
        <w:t>Check the readiness actions for the selected process.</w:t>
      </w:r>
    </w:p>
    <w:p>
      <w:pPr>
        <w:pStyle w:val="ListNumber"/>
      </w:pPr>
      <w:r>
        <w:t>Complete missing guided steps, diagnostics, or evidence notes.</w:t>
      </w:r>
    </w:p>
    <w:p>
      <w:pPr>
        <w:pStyle w:val="ListNumber"/>
      </w:pPr>
      <w:r>
        <w:t>Open the capstone and read the scenario and rubric.</w:t>
      </w:r>
    </w:p>
    <w:p>
      <w:pPr>
        <w:pStyle w:val="ListNumber"/>
      </w:pPr>
      <w:r>
        <w:t>Write a structured response of at least the minimum length shown by the app.</w:t>
      </w:r>
    </w:p>
    <w:p>
      <w:pPr>
        <w:pStyle w:val="ListNumber"/>
      </w:pPr>
      <w:r>
        <w:t>Include document evidence, control reasoning, integration effects, and the recovery or recommendation.</w:t>
      </w:r>
    </w:p>
    <w:p>
      <w:pPr>
        <w:pStyle w:val="ListNumber"/>
      </w:pPr>
      <w:r>
        <w:t>Submit, review the score and status, and revise if the evidence is not yet review-ready.</w:t>
      </w:r>
    </w:p>
    <w:p>
      <w:pPr>
        <w:spacing w:before="60" w:after="160"/>
        <w:ind w:left="115" w:right="115"/>
        <w:shd w:fill="FFF5F5"/>
        <w:pBdr>
          <w:top w:val="single" w:sz="4" w:space="6" w:color="D7DBE2"/>
          <w:left w:val="single" w:sz="4" w:space="6" w:color="D7DBE2"/>
          <w:bottom w:val="single" w:sz="4" w:space="6" w:color="D7DBE2"/>
          <w:right w:val="single" w:sz="4" w:space="6" w:color="D7DBE2"/>
        </w:pBdr>
      </w:pPr>
      <w:r>
        <w:rPr>
          <w:rFonts w:ascii="Calibri" w:hAnsi="Calibri"/>
          <w:b/>
          <w:color w:val="9B1C1C"/>
          <w:sz w:val="21"/>
        </w:rPr>
        <w:t xml:space="preserve">Important: </w:t>
      </w:r>
      <w:r>
        <w:rPr>
          <w:rFonts w:ascii="Calibri" w:hAnsi="Calibri"/>
          <w:color w:val="0B2545"/>
          <w:sz w:val="21"/>
        </w:rPr>
        <w:t>Do not paste confidential employer work, copyrighted training answers, or real system credentials into a capstone response.</w:t>
      </w:r>
    </w:p>
    <w:p>
      <w:r>
        <w:br w:type="page"/>
      </w:r>
    </w:p>
    <w:p>
      <w:pPr>
        <w:pStyle w:val="Heading1"/>
      </w:pPr>
      <w:r>
        <w:t>6. Portfolio, readiness, and certification evidence</w:t>
      </w:r>
    </w:p>
    <w:p>
      <w:pPr>
        <w:spacing w:after="200"/>
      </w:pPr>
      <w:r>
        <w:rPr>
          <w:rFonts w:ascii="Calibri" w:hAnsi="Calibri"/>
          <w:i/>
          <w:color w:val="1F4D78"/>
          <w:sz w:val="23"/>
        </w:rPr>
        <w:t>The portfolio converts activity into a practical record of what you can explain and prove.</w:t>
      </w:r>
    </w:p>
    <w:p>
      <w:pPr>
        <w:pStyle w:val="Heading2"/>
      </w:pPr>
      <w:r>
        <w:t>Read your readiness score</w:t>
      </w:r>
    </w:p>
    <w:p>
      <w:r>
        <w:t>Readiness is based on demonstrated progress: guided completion, troubleshooting diagnostics, evidence coverage, and capstone outcomes. It is not a formal SAP certification result.</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Enterprise overview -&gt; Portfolio / Focus process; Learning centre -&gt; Portfolio / Readiness</w:t>
      </w:r>
    </w:p>
    <w:tbl>
      <w:tblPr>
        <w:tblStyle w:val="TableGrid"/>
        <w:tblW w:type="dxa" w:w="9360"/>
        <w:tblLayout w:type="fixed"/>
        <w:tblLook w:firstColumn="1" w:firstRow="1" w:lastColumn="0" w:lastRow="0" w:noHBand="0" w:noVBand="1" w:val="04A0"/>
        <w:jc w:val="left"/>
        <w:tblInd w:w="120" w:type="dxa"/>
      </w:tblPr>
      <w:tblGrid>
        <w:gridCol w:w="1900"/>
        <w:gridCol w:w="3900"/>
        <w:gridCol w:w="3560"/>
      </w:tblGrid>
      <w:tr>
        <w:trPr>
          <w:tblHeader w:val="true"/>
        </w:trPr>
        <w:tc>
          <w:tcPr>
            <w:tcW w:type="dxa" w:w="1900"/>
            <w:vAlign w:val="center"/>
            <w:tcMar>
              <w:top w:w="80" w:type="dxa"/>
              <w:start w:w="120" w:type="dxa"/>
              <w:bottom w:w="80" w:type="dxa"/>
              <w:end w:w="120" w:type="dxa"/>
            </w:tcMar>
            <w:shd w:fill="E8EEF5"/>
          </w:tcPr>
          <w:p>
            <w:pPr>
              <w:jc w:val="center"/>
            </w:pPr>
            <w:r>
              <w:rPr>
                <w:rFonts w:ascii="Calibri" w:hAnsi="Calibri"/>
                <w:b/>
                <w:color w:val="0B2545"/>
                <w:sz w:val="19"/>
              </w:rPr>
              <w:t>Signal</w:t>
            </w:r>
          </w:p>
        </w:tc>
        <w:tc>
          <w:tcPr>
            <w:tcW w:type="dxa" w:w="3900"/>
            <w:vAlign w:val="center"/>
            <w:tcMar>
              <w:top w:w="80" w:type="dxa"/>
              <w:start w:w="120" w:type="dxa"/>
              <w:bottom w:w="80" w:type="dxa"/>
              <w:end w:w="120" w:type="dxa"/>
            </w:tcMar>
            <w:shd w:fill="E8EEF5"/>
          </w:tcPr>
          <w:p>
            <w:pPr>
              <w:jc w:val="center"/>
            </w:pPr>
            <w:r>
              <w:rPr>
                <w:rFonts w:ascii="Calibri" w:hAnsi="Calibri"/>
                <w:b/>
                <w:color w:val="0B2545"/>
                <w:sz w:val="19"/>
              </w:rPr>
              <w:t>Meaning</w:t>
            </w:r>
          </w:p>
        </w:tc>
        <w:tc>
          <w:tcPr>
            <w:tcW w:type="dxa" w:w="3560"/>
            <w:vAlign w:val="center"/>
            <w:tcMar>
              <w:top w:w="80" w:type="dxa"/>
              <w:start w:w="120" w:type="dxa"/>
              <w:bottom w:w="80" w:type="dxa"/>
              <w:end w:w="120" w:type="dxa"/>
            </w:tcMar>
            <w:shd w:fill="E8EEF5"/>
          </w:tcPr>
          <w:p>
            <w:pPr>
              <w:jc w:val="center"/>
            </w:pPr>
            <w:r>
              <w:rPr>
                <w:rFonts w:ascii="Calibri" w:hAnsi="Calibri"/>
                <w:b/>
                <w:color w:val="0B2545"/>
                <w:sz w:val="19"/>
              </w:rPr>
              <w:t>Next action</w:t>
            </w:r>
          </w:p>
        </w:tc>
      </w:tr>
      <w:tr>
        <w:tc>
          <w:tcPr>
            <w:tcW w:type="dxa" w:w="1900"/>
            <w:vAlign w:val="center"/>
            <w:tcMar>
              <w:top w:w="80" w:type="dxa"/>
              <w:start w:w="120" w:type="dxa"/>
              <w:bottom w:w="80" w:type="dxa"/>
              <w:end w:w="120" w:type="dxa"/>
            </w:tcMar>
          </w:tcPr>
          <w:p>
            <w:pPr>
              <w:spacing w:after="0"/>
              <w:jc w:val="center"/>
            </w:pPr>
            <w:r>
              <w:rPr>
                <w:rFonts w:ascii="Calibri" w:hAnsi="Calibri"/>
                <w:color w:val="0B2545"/>
                <w:sz w:val="19"/>
              </w:rPr>
              <w:t>Guided progress</w:t>
            </w:r>
          </w:p>
        </w:tc>
        <w:tc>
          <w:tcPr>
            <w:tcW w:type="dxa" w:w="3900"/>
            <w:vAlign w:val="center"/>
            <w:tcMar>
              <w:top w:w="80" w:type="dxa"/>
              <w:start w:w="120" w:type="dxa"/>
              <w:bottom w:w="80" w:type="dxa"/>
              <w:end w:w="120" w:type="dxa"/>
            </w:tcMar>
          </w:tcPr>
          <w:p>
            <w:pPr>
              <w:spacing w:after="0"/>
              <w:jc w:val="left"/>
            </w:pPr>
            <w:r>
              <w:rPr>
                <w:rFonts w:ascii="Calibri" w:hAnsi="Calibri"/>
                <w:color w:val="0B2545"/>
                <w:sz w:val="19"/>
              </w:rPr>
              <w:t>You completed the core transaction flow.</w:t>
            </w:r>
          </w:p>
        </w:tc>
        <w:tc>
          <w:tcPr>
            <w:tcW w:type="dxa" w:w="3560"/>
            <w:vAlign w:val="center"/>
            <w:tcMar>
              <w:top w:w="80" w:type="dxa"/>
              <w:start w:w="120" w:type="dxa"/>
              <w:bottom w:w="80" w:type="dxa"/>
              <w:end w:w="120" w:type="dxa"/>
            </w:tcMar>
          </w:tcPr>
          <w:p>
            <w:pPr>
              <w:spacing w:after="0"/>
              <w:jc w:val="left"/>
            </w:pPr>
            <w:r>
              <w:rPr>
                <w:rFonts w:ascii="Calibri" w:hAnsi="Calibri"/>
                <w:color w:val="0B2545"/>
                <w:sz w:val="19"/>
              </w:rPr>
              <w:t>Finish missing tutor steps and the knowledge check.</w:t>
            </w:r>
          </w:p>
        </w:tc>
      </w:tr>
      <w:tr>
        <w:tc>
          <w:tcPr>
            <w:tcW w:type="dxa" w:w="1900"/>
            <w:vAlign w:val="center"/>
            <w:tcMar>
              <w:top w:w="80" w:type="dxa"/>
              <w:start w:w="120" w:type="dxa"/>
              <w:bottom w:w="80" w:type="dxa"/>
              <w:end w:w="120" w:type="dxa"/>
            </w:tcMar>
          </w:tcPr>
          <w:p>
            <w:pPr>
              <w:spacing w:after="0"/>
              <w:jc w:val="left"/>
            </w:pPr>
            <w:r>
              <w:rPr>
                <w:rFonts w:ascii="Calibri" w:hAnsi="Calibri"/>
                <w:color w:val="0B2545"/>
                <w:sz w:val="19"/>
              </w:rPr>
              <w:t>Diagnostic progress</w:t>
            </w:r>
          </w:p>
        </w:tc>
        <w:tc>
          <w:tcPr>
            <w:tcW w:type="dxa" w:w="3900"/>
            <w:vAlign w:val="center"/>
            <w:tcMar>
              <w:top w:w="80" w:type="dxa"/>
              <w:start w:w="120" w:type="dxa"/>
              <w:bottom w:w="80" w:type="dxa"/>
              <w:end w:w="120" w:type="dxa"/>
            </w:tcMar>
          </w:tcPr>
          <w:p>
            <w:pPr>
              <w:spacing w:after="0"/>
              <w:jc w:val="left"/>
            </w:pPr>
            <w:r>
              <w:rPr>
                <w:rFonts w:ascii="Calibri" w:hAnsi="Calibri"/>
                <w:color w:val="0B2545"/>
                <w:sz w:val="19"/>
              </w:rPr>
              <w:t>You demonstrated exception diagnosis and recovery.</w:t>
            </w:r>
          </w:p>
        </w:tc>
        <w:tc>
          <w:tcPr>
            <w:tcW w:type="dxa" w:w="3560"/>
            <w:vAlign w:val="center"/>
            <w:tcMar>
              <w:top w:w="80" w:type="dxa"/>
              <w:start w:w="120" w:type="dxa"/>
              <w:bottom w:w="80" w:type="dxa"/>
              <w:end w:w="120" w:type="dxa"/>
            </w:tcMar>
          </w:tcPr>
          <w:p>
            <w:pPr>
              <w:spacing w:after="0"/>
              <w:jc w:val="left"/>
            </w:pPr>
            <w:r>
              <w:rPr>
                <w:rFonts w:ascii="Calibri" w:hAnsi="Calibri"/>
                <w:color w:val="0B2545"/>
                <w:sz w:val="19"/>
              </w:rPr>
              <w:t>Complete the troubleshooting lab.</w:t>
            </w:r>
          </w:p>
        </w:tc>
      </w:tr>
      <w:tr>
        <w:tc>
          <w:tcPr>
            <w:tcW w:type="dxa" w:w="1900"/>
            <w:vAlign w:val="center"/>
            <w:tcMar>
              <w:top w:w="80" w:type="dxa"/>
              <w:start w:w="120" w:type="dxa"/>
              <w:bottom w:w="80" w:type="dxa"/>
              <w:end w:w="120" w:type="dxa"/>
            </w:tcMar>
          </w:tcPr>
          <w:p>
            <w:pPr>
              <w:spacing w:after="0"/>
              <w:jc w:val="center"/>
            </w:pPr>
            <w:r>
              <w:rPr>
                <w:rFonts w:ascii="Calibri" w:hAnsi="Calibri"/>
                <w:color w:val="0B2545"/>
                <w:sz w:val="19"/>
              </w:rPr>
              <w:t>Evidence coverage</w:t>
            </w:r>
          </w:p>
        </w:tc>
        <w:tc>
          <w:tcPr>
            <w:tcW w:type="dxa" w:w="3900"/>
            <w:vAlign w:val="center"/>
            <w:tcMar>
              <w:top w:w="80" w:type="dxa"/>
              <w:start w:w="120" w:type="dxa"/>
              <w:bottom w:w="80" w:type="dxa"/>
              <w:end w:w="120" w:type="dxa"/>
            </w:tcMar>
          </w:tcPr>
          <w:p>
            <w:pPr>
              <w:spacing w:after="0"/>
              <w:jc w:val="left"/>
            </w:pPr>
            <w:r>
              <w:rPr>
                <w:rFonts w:ascii="Calibri" w:hAnsi="Calibri"/>
                <w:color w:val="0B2545"/>
                <w:sz w:val="19"/>
              </w:rPr>
              <w:t>Your notes contain useful completion proof.</w:t>
            </w:r>
          </w:p>
        </w:tc>
        <w:tc>
          <w:tcPr>
            <w:tcW w:type="dxa" w:w="3560"/>
            <w:vAlign w:val="center"/>
            <w:tcMar>
              <w:top w:w="80" w:type="dxa"/>
              <w:start w:w="120" w:type="dxa"/>
              <w:bottom w:w="80" w:type="dxa"/>
              <w:end w:w="120" w:type="dxa"/>
            </w:tcMar>
          </w:tcPr>
          <w:p>
            <w:pPr>
              <w:spacing w:after="0"/>
              <w:jc w:val="left"/>
            </w:pPr>
            <w:r>
              <w:rPr>
                <w:rFonts w:ascii="Calibri" w:hAnsi="Calibri"/>
                <w:color w:val="0B2545"/>
                <w:sz w:val="19"/>
              </w:rPr>
              <w:t>Add document, key field, impact, and audit detail.</w:t>
            </w:r>
          </w:p>
        </w:tc>
      </w:tr>
      <w:tr>
        <w:tc>
          <w:tcPr>
            <w:tcW w:type="dxa" w:w="1900"/>
            <w:vAlign w:val="center"/>
            <w:tcMar>
              <w:top w:w="80" w:type="dxa"/>
              <w:start w:w="120" w:type="dxa"/>
              <w:bottom w:w="80" w:type="dxa"/>
              <w:end w:w="120" w:type="dxa"/>
            </w:tcMar>
          </w:tcPr>
          <w:p>
            <w:pPr>
              <w:spacing w:after="0"/>
              <w:jc w:val="center"/>
            </w:pPr>
            <w:r>
              <w:rPr>
                <w:rFonts w:ascii="Calibri" w:hAnsi="Calibri"/>
                <w:color w:val="0B2545"/>
                <w:sz w:val="19"/>
              </w:rPr>
              <w:t>Capstone status</w:t>
            </w:r>
          </w:p>
        </w:tc>
        <w:tc>
          <w:tcPr>
            <w:tcW w:type="dxa" w:w="3900"/>
            <w:vAlign w:val="center"/>
            <w:tcMar>
              <w:top w:w="80" w:type="dxa"/>
              <w:start w:w="120" w:type="dxa"/>
              <w:bottom w:w="80" w:type="dxa"/>
              <w:end w:w="120" w:type="dxa"/>
            </w:tcMar>
          </w:tcPr>
          <w:p>
            <w:pPr>
              <w:spacing w:after="0"/>
              <w:jc w:val="left"/>
            </w:pPr>
            <w:r>
              <w:rPr>
                <w:rFonts w:ascii="Calibri" w:hAnsi="Calibri"/>
                <w:color w:val="0B2545"/>
                <w:sz w:val="19"/>
              </w:rPr>
              <w:t>Your scenario response has been scored and classified.</w:t>
            </w:r>
          </w:p>
        </w:tc>
        <w:tc>
          <w:tcPr>
            <w:tcW w:type="dxa" w:w="3560"/>
            <w:vAlign w:val="center"/>
            <w:tcMar>
              <w:top w:w="80" w:type="dxa"/>
              <w:start w:w="120" w:type="dxa"/>
              <w:bottom w:w="80" w:type="dxa"/>
              <w:end w:w="120" w:type="dxa"/>
            </w:tcMar>
          </w:tcPr>
          <w:p>
            <w:pPr>
              <w:spacing w:after="0"/>
              <w:jc w:val="left"/>
            </w:pPr>
            <w:r>
              <w:rPr>
                <w:rFonts w:ascii="Calibri" w:hAnsi="Calibri"/>
                <w:color w:val="0B2545"/>
                <w:sz w:val="19"/>
              </w:rPr>
              <w:t>Revise weak evidence or wait for assessor review.</w:t>
            </w:r>
          </w:p>
        </w:tc>
      </w:tr>
      <w:tr>
        <w:tc>
          <w:tcPr>
            <w:tcW w:type="dxa" w:w="1900"/>
            <w:vAlign w:val="center"/>
            <w:tcMar>
              <w:top w:w="80" w:type="dxa"/>
              <w:start w:w="120" w:type="dxa"/>
              <w:bottom w:w="80" w:type="dxa"/>
              <w:end w:w="120" w:type="dxa"/>
            </w:tcMar>
          </w:tcPr>
          <w:p>
            <w:pPr>
              <w:spacing w:after="0"/>
              <w:jc w:val="center"/>
            </w:pPr>
            <w:r>
              <w:rPr>
                <w:rFonts w:ascii="Calibri" w:hAnsi="Calibri"/>
                <w:color w:val="0B2545"/>
                <w:sz w:val="19"/>
              </w:rPr>
              <w:t>Next best action</w:t>
            </w:r>
          </w:p>
        </w:tc>
        <w:tc>
          <w:tcPr>
            <w:tcW w:type="dxa" w:w="3900"/>
            <w:vAlign w:val="center"/>
            <w:tcMar>
              <w:top w:w="80" w:type="dxa"/>
              <w:start w:w="120" w:type="dxa"/>
              <w:bottom w:w="80" w:type="dxa"/>
              <w:end w:w="120" w:type="dxa"/>
            </w:tcMar>
          </w:tcPr>
          <w:p>
            <w:pPr>
              <w:spacing w:after="0"/>
              <w:jc w:val="left"/>
            </w:pPr>
            <w:r>
              <w:rPr>
                <w:rFonts w:ascii="Calibri" w:hAnsi="Calibri"/>
                <w:color w:val="0B2545"/>
                <w:sz w:val="19"/>
              </w:rPr>
              <w:t>The app has identified the highest-value next move.</w:t>
            </w:r>
          </w:p>
        </w:tc>
        <w:tc>
          <w:tcPr>
            <w:tcW w:type="dxa" w:w="3560"/>
            <w:vAlign w:val="center"/>
            <w:tcMar>
              <w:top w:w="80" w:type="dxa"/>
              <w:start w:w="120" w:type="dxa"/>
              <w:bottom w:w="80" w:type="dxa"/>
              <w:end w:w="120" w:type="dxa"/>
            </w:tcMar>
          </w:tcPr>
          <w:p>
            <w:pPr>
              <w:spacing w:after="0"/>
              <w:jc w:val="left"/>
            </w:pPr>
            <w:r>
              <w:rPr>
                <w:rFonts w:ascii="Calibri" w:hAnsi="Calibri"/>
                <w:color w:val="0B2545"/>
                <w:sz w:val="19"/>
              </w:rPr>
              <w:t>Follow it before starting a new pathway.</w:t>
            </w:r>
          </w:p>
        </w:tc>
      </w:tr>
    </w:tbl>
    <w:p>
      <w:pPr>
        <w:spacing w:after="20"/>
      </w:pPr>
    </w:p>
    <w:p>
      <w:pPr>
        <w:pStyle w:val="Heading2"/>
      </w:pPr>
      <w:r>
        <w:t>Generate certification-style evidence</w:t>
      </w:r>
    </w:p>
    <w:p>
      <w:pPr>
        <w:pStyle w:val="ListNumber"/>
      </w:pPr>
      <w:r>
        <w:t>Open the portfolio in Learning centre.</w:t>
      </w:r>
    </w:p>
    <w:p>
      <w:pPr>
        <w:pStyle w:val="ListNumber"/>
      </w:pPr>
      <w:r>
        <w:t>Review process-by-process evidence gaps and capstone status.</w:t>
      </w:r>
    </w:p>
    <w:p>
      <w:pPr>
        <w:pStyle w:val="ListNumber"/>
      </w:pPr>
      <w:r>
        <w:t>Generate the certification evidence export when the app shows sufficient evidence.</w:t>
      </w:r>
    </w:p>
    <w:p>
      <w:pPr>
        <w:pStyle w:val="ListNumber"/>
      </w:pPr>
      <w:r>
        <w:t>Check that the export summarises progress without exposing raw private notes or capstone text.</w:t>
      </w:r>
    </w:p>
    <w:p>
      <w:pPr>
        <w:pStyle w:val="ListNumber"/>
      </w:pPr>
      <w:r>
        <w:t>If your organisation uses assessor review, wait for approve, reject, or revision-request status.</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Learning centre -&gt; Portfolio -&gt; Certification evidence / Export</w:t>
      </w:r>
    </w:p>
    <w:p>
      <w:pPr>
        <w:spacing w:before="60" w:after="160"/>
        <w:ind w:left="115" w:right="115"/>
        <w:shd w:fill="FFF5F5"/>
        <w:pBdr>
          <w:top w:val="single" w:sz="4" w:space="6" w:color="D7DBE2"/>
          <w:left w:val="single" w:sz="4" w:space="6" w:color="D7DBE2"/>
          <w:bottom w:val="single" w:sz="4" w:space="6" w:color="D7DBE2"/>
          <w:right w:val="single" w:sz="4" w:space="6" w:color="D7DBE2"/>
        </w:pBdr>
      </w:pPr>
      <w:r>
        <w:rPr>
          <w:rFonts w:ascii="Calibri" w:hAnsi="Calibri"/>
          <w:b/>
          <w:color w:val="9B1C1C"/>
          <w:sz w:val="21"/>
        </w:rPr>
        <w:t xml:space="preserve">Important: </w:t>
      </w:r>
      <w:r>
        <w:rPr>
          <w:rFonts w:ascii="Calibri" w:hAnsi="Calibri"/>
          <w:color w:val="0B2545"/>
          <w:sz w:val="21"/>
        </w:rPr>
        <w:t>The export is evidence from SAP World, not an SAP SE credential. Present it as a learning portfolio unless an authorised issuer explicitly confirms otherwise.</w:t>
      </w:r>
    </w:p>
    <w:p>
      <w:r>
        <w:br w:type="page"/>
      </w:r>
    </w:p>
    <w:p>
      <w:pPr>
        <w:pStyle w:val="Heading1"/>
      </w:pPr>
      <w:r>
        <w:t>7. Industry blueprints and choosing a specialism</w:t>
      </w:r>
    </w:p>
    <w:p>
      <w:pPr>
        <w:spacing w:after="200"/>
      </w:pPr>
      <w:r>
        <w:rPr>
          <w:rFonts w:ascii="Calibri" w:hAnsi="Calibri"/>
          <w:i/>
          <w:color w:val="1F4D78"/>
          <w:sz w:val="23"/>
        </w:rPr>
        <w:t>Use industry context to understand why the same SAP module is configured and controlled differently across businesses.</w:t>
      </w:r>
    </w:p>
    <w:p>
      <w:r>
        <w:t>The catalogue contains ten industry blueprints. Each blueprint connects value chain, lifecycle, organisation, master data, KPIs, compliance, reporting, dependencies, common failures, and seasonality.</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Industry blueprints -&gt; Filter by industry or SAP capability -&gt; Open blueprint</w:t>
      </w:r>
    </w:p>
    <w:p>
      <w:pPr>
        <w:pStyle w:val="ListNumber"/>
      </w:pPr>
      <w:r>
        <w:t>Open Industry blueprints and scan the industries before filtering.</w:t>
      </w:r>
    </w:p>
    <w:p>
      <w:pPr>
        <w:pStyle w:val="ListNumber"/>
      </w:pPr>
      <w:r>
        <w:t>Choose an industry that matches your experience or target role.</w:t>
      </w:r>
    </w:p>
    <w:p>
      <w:pPr>
        <w:pStyle w:val="ListNumber"/>
      </w:pPr>
      <w:r>
        <w:t>Read the value chain first; it explains how the business earns and delivers value.</w:t>
      </w:r>
    </w:p>
    <w:p>
      <w:pPr>
        <w:pStyle w:val="ListNumber"/>
      </w:pPr>
      <w:r>
        <w:t>Review master data and compliance next; they reveal what must be accurate and controlled.</w:t>
      </w:r>
    </w:p>
    <w:p>
      <w:pPr>
        <w:pStyle w:val="ListNumber"/>
      </w:pPr>
      <w:r>
        <w:t>Finish with KPIs and failures; these become useful interview and troubleshooting examples.</w:t>
      </w:r>
    </w:p>
    <w:p>
      <w:pPr>
        <w:pStyle w:val="ListNumber"/>
      </w:pPr>
      <w:r>
        <w:t>Save the roadmap preference when the app offers it.</w:t>
      </w:r>
    </w:p>
    <w:p>
      <w:pPr>
        <w:spacing w:before="60" w:after="160"/>
        <w:ind w:left="115" w:right="115"/>
        <w:shd w:fill="EEF7F1"/>
        <w:pBdr>
          <w:top w:val="single" w:sz="4" w:space="6" w:color="D7DBE2"/>
          <w:left w:val="single" w:sz="4" w:space="6" w:color="D7DBE2"/>
          <w:bottom w:val="single" w:sz="4" w:space="6" w:color="D7DBE2"/>
          <w:right w:val="single" w:sz="4" w:space="6" w:color="D7DBE2"/>
        </w:pBdr>
      </w:pPr>
      <w:r>
        <w:rPr>
          <w:rFonts w:ascii="Calibri" w:hAnsi="Calibri"/>
          <w:b/>
          <w:color w:val="276749"/>
          <w:sz w:val="21"/>
        </w:rPr>
        <w:t xml:space="preserve">Try it now: </w:t>
      </w:r>
      <w:r>
        <w:rPr>
          <w:rFonts w:ascii="Calibri" w:hAnsi="Calibri"/>
          <w:color w:val="0B2545"/>
          <w:sz w:val="21"/>
        </w:rPr>
        <w:t>Compare one common capability, such as procurement or finance, across two industries. Record three differences in master data, controls, or KPIs.</w:t>
      </w:r>
    </w:p>
    <w:p>
      <w:r>
        <w:br w:type="page"/>
      </w:r>
    </w:p>
    <w:p>
      <w:pPr>
        <w:pStyle w:val="Heading1"/>
      </w:pPr>
      <w:r>
        <w:t>8. Simulation Studio and generated ledgers</w:t>
      </w:r>
    </w:p>
    <w:p>
      <w:pPr>
        <w:spacing w:after="200"/>
      </w:pPr>
      <w:r>
        <w:rPr>
          <w:rFonts w:ascii="Calibri" w:hAnsi="Calibri"/>
          <w:i/>
          <w:color w:val="1F4D78"/>
          <w:sz w:val="23"/>
        </w:rPr>
        <w:t>Simulations let you see how connected SAP documents accumulate over time and change enterprise performance.</w:t>
      </w:r>
    </w:p>
    <w:p>
      <w:pPr>
        <w:pStyle w:val="Heading2"/>
      </w:pPr>
      <w:r>
        <w:t>Create a simulation</w:t>
      </w:r>
    </w:p>
    <w:p>
      <w:pPr>
        <w:pStyle w:val="ListNumber"/>
      </w:pPr>
      <w:r>
        <w:t>Open Simulation studio.</w:t>
      </w:r>
    </w:p>
    <w:p>
      <w:pPr>
        <w:pStyle w:val="ListNumber"/>
      </w:pPr>
      <w:r>
        <w:t>Choose an industry, fiscal-year starting point, curated business event, and volume profile.</w:t>
      </w:r>
    </w:p>
    <w:p>
      <w:pPr>
        <w:pStyle w:val="ListNumber"/>
      </w:pPr>
      <w:r>
        <w:t>Review the scenario summary, organisation dependencies, master data, document flow, controls, and expected impacts.</w:t>
      </w:r>
    </w:p>
    <w:p>
      <w:pPr>
        <w:pStyle w:val="ListNumber"/>
      </w:pPr>
      <w:r>
        <w:t>Generate and save the simulation to your account.</w:t>
      </w:r>
    </w:p>
    <w:p>
      <w:pPr>
        <w:pStyle w:val="ListNumber"/>
      </w:pPr>
      <w:r>
        <w:t>Open the resulting ledger or history and inspect chronology, process, module, exception, and journal links.</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Simulation studio -&gt; Industry / Fiscal year / Event / Volume -&gt; Generate / Save</w:t>
      </w:r>
    </w:p>
    <w:p>
      <w:r>
        <w:t>The same inputs produce a stable scenario signature. This makes the simulation repeatable and lets the app reuse saved generated ledger evidence.</w:t>
      </w:r>
    </w:p>
    <w:p>
      <w:pPr>
        <w:spacing w:before="60" w:after="160"/>
        <w:ind w:left="115" w:right="115"/>
        <w:shd w:fill="FFF5F5"/>
        <w:pBdr>
          <w:top w:val="single" w:sz="4" w:space="6" w:color="D7DBE2"/>
          <w:left w:val="single" w:sz="4" w:space="6" w:color="D7DBE2"/>
          <w:bottom w:val="single" w:sz="4" w:space="6" w:color="D7DBE2"/>
          <w:right w:val="single" w:sz="4" w:space="6" w:color="D7DBE2"/>
        </w:pBdr>
      </w:pPr>
      <w:r>
        <w:rPr>
          <w:rFonts w:ascii="Calibri" w:hAnsi="Calibri"/>
          <w:b/>
          <w:color w:val="9B1C1C"/>
          <w:sz w:val="21"/>
        </w:rPr>
        <w:t xml:space="preserve">Important: </w:t>
      </w:r>
      <w:r>
        <w:rPr>
          <w:rFonts w:ascii="Calibri" w:hAnsi="Calibri"/>
          <w:color w:val="0B2545"/>
          <w:sz w:val="21"/>
        </w:rPr>
        <w:t>A simulation result is educational and deterministic. Do not use its financial or operational figures as real business forecasts.</w:t>
      </w:r>
    </w:p>
    <w:p>
      <w:pPr>
        <w:pStyle w:val="Heading2"/>
      </w:pPr>
      <w:r>
        <w:t>Interpret Performance analytics</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Performance analytics -&gt; choose period, process, module, industry, or simulation</w:t>
      </w:r>
    </w:p>
    <w:p>
      <w:pPr>
        <w:pStyle w:val="ListBullet"/>
      </w:pPr>
      <w:r>
        <w:t>Movement: what changed in revenue, margin, service, inventory, downtime, waste, working capital, or profitability?</w:t>
      </w:r>
    </w:p>
    <w:p>
      <w:pPr>
        <w:pStyle w:val="ListBullet"/>
      </w:pPr>
      <w:r>
        <w:t>Driver: which event or SAP document explains the movement?</w:t>
      </w:r>
    </w:p>
    <w:p>
      <w:pPr>
        <w:pStyle w:val="ListBullet"/>
      </w:pPr>
      <w:r>
        <w:t>Module: where was the operational or accounting effect recorded?</w:t>
      </w:r>
    </w:p>
    <w:p>
      <w:pPr>
        <w:pStyle w:val="ListBullet"/>
      </w:pPr>
      <w:r>
        <w:t>Action: which management response is recommended, and what evidence supports it?</w:t>
      </w:r>
    </w:p>
    <w:p>
      <w:pPr>
        <w:pStyle w:val="ListBullet"/>
      </w:pPr>
      <w:r>
        <w:t>Integrity: do document links, journals, quantities, and statuses reconcile?</w:t>
      </w:r>
    </w:p>
    <w:p>
      <w:pPr>
        <w:pStyle w:val="Heading2"/>
      </w:pPr>
      <w:r>
        <w:t>Use Simulation history</w:t>
      </w:r>
    </w:p>
    <w:p>
      <w:r>
        <w:t>History shows the enterprise chronology from 2023 to 2026 and links decisions, disruptions, and SAP documents to later effects. Use it to practise audit narratives: what happened, when, why, and with what result.</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Simulation history -&gt; filter events/documents -&gt; open an event -&gt; follow related documents</w:t>
      </w:r>
    </w:p>
    <w:p>
      <w:r>
        <w:br w:type="page"/>
      </w:r>
    </w:p>
    <w:p>
      <w:pPr>
        <w:pStyle w:val="Heading1"/>
      </w:pPr>
      <w:r>
        <w:t>9. Process explorer, approvals, and advanced labs</w:t>
      </w:r>
    </w:p>
    <w:p>
      <w:pPr>
        <w:spacing w:after="200"/>
      </w:pPr>
      <w:r>
        <w:rPr>
          <w:rFonts w:ascii="Calibri" w:hAnsi="Calibri"/>
          <w:i/>
          <w:color w:val="1F4D78"/>
          <w:sz w:val="23"/>
        </w:rPr>
        <w:t>These areas teach cross-module integration and control judgement.</w:t>
      </w:r>
    </w:p>
    <w:p>
      <w:pPr>
        <w:pStyle w:val="Heading2"/>
      </w:pPr>
      <w:r>
        <w:t>Process explorer</w:t>
      </w:r>
    </w:p>
    <w:p>
      <w:pPr>
        <w:pStyle w:val="ListNumber"/>
      </w:pPr>
      <w:r>
        <w:t>Choose a process and open a document in the flow.</w:t>
      </w:r>
    </w:p>
    <w:p>
      <w:pPr>
        <w:pStyle w:val="ListNumber"/>
      </w:pPr>
      <w:r>
        <w:t>Trace the upstream source and downstream references.</w:t>
      </w:r>
    </w:p>
    <w:p>
      <w:pPr>
        <w:pStyle w:val="ListNumber"/>
      </w:pPr>
      <w:r>
        <w:t>Check quantity, status, inventory movement, approval, and journal evidence.</w:t>
      </w:r>
    </w:p>
    <w:p>
      <w:pPr>
        <w:pStyle w:val="ListNumber"/>
      </w:pPr>
      <w:r>
        <w:t>Explain whether the chain is complete and internally consistent.</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Process explorer -&gt; Process filter -&gt; Document -&gt; Links / Workflow / Inventory / Journal</w:t>
      </w:r>
    </w:p>
    <w:p>
      <w:pPr>
        <w:pStyle w:val="Heading2"/>
      </w:pPr>
      <w:r>
        <w:t>Approval inbox</w:t>
      </w:r>
    </w:p>
    <w:p>
      <w:pPr>
        <w:pStyle w:val="ListNumber"/>
      </w:pPr>
      <w:r>
        <w:t>Open a pending item and read the business request.</w:t>
      </w:r>
    </w:p>
    <w:p>
      <w:pPr>
        <w:pStyle w:val="ListNumber"/>
      </w:pPr>
      <w:r>
        <w:t>Inspect supporting evidence, amount, risk, route, and prior decisions.</w:t>
      </w:r>
    </w:p>
    <w:p>
      <w:pPr>
        <w:pStyle w:val="ListNumber"/>
      </w:pPr>
      <w:r>
        <w:t>Choose approve only when evidence and authority are sufficient.</w:t>
      </w:r>
    </w:p>
    <w:p>
      <w:pPr>
        <w:pStyle w:val="ListNumber"/>
      </w:pPr>
      <w:r>
        <w:t>Choose request information when a correctable evidence gap exists.</w:t>
      </w:r>
    </w:p>
    <w:p>
      <w:pPr>
        <w:pStyle w:val="ListNumber"/>
      </w:pPr>
      <w:r>
        <w:t>Choose reject when the request is unsafe, invalid, or outside policy.</w:t>
      </w:r>
    </w:p>
    <w:p>
      <w:pPr>
        <w:pStyle w:val="ListNumber"/>
      </w:pPr>
      <w:r>
        <w:t>Write a clear reason; the decision is retained in the audit trail.</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Approval inbox -&gt; select item -&gt; Evidence / Route -&gt; Approve, Reject, or Request information</w:t>
      </w:r>
    </w:p>
    <w:p>
      <w:pPr>
        <w:pStyle w:val="Heading2"/>
      </w:pPr>
      <w:r>
        <w:t>Advanced transactions</w:t>
      </w:r>
    </w:p>
    <w:p>
      <w:r>
        <w:t>Advanced labs extend core process knowledge into stock transfers, customer returns, asset acquisition and depreciation, VAT adjustments, year-end close, and other specialist scenarios. Each lab explains the SAP entry point, fields, document effects, accounting, controls, and learner evidence.</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Advanced transactions -&gt; choose lab -&gt; complete steps -&gt; review evidence and resulting documents</w:t>
      </w:r>
    </w:p>
    <w:p>
      <w:pPr>
        <w:spacing w:before="60" w:after="160"/>
        <w:ind w:left="115" w:right="115"/>
        <w:shd w:fill="EEF7F1"/>
        <w:pBdr>
          <w:top w:val="single" w:sz="4" w:space="6" w:color="D7DBE2"/>
          <w:left w:val="single" w:sz="4" w:space="6" w:color="D7DBE2"/>
          <w:bottom w:val="single" w:sz="4" w:space="6" w:color="D7DBE2"/>
          <w:right w:val="single" w:sz="4" w:space="6" w:color="D7DBE2"/>
        </w:pBdr>
      </w:pPr>
      <w:r>
        <w:rPr>
          <w:rFonts w:ascii="Calibri" w:hAnsi="Calibri"/>
          <w:b/>
          <w:color w:val="276749"/>
          <w:sz w:val="21"/>
        </w:rPr>
        <w:t xml:space="preserve">Try it now: </w:t>
      </w:r>
      <w:r>
        <w:rPr>
          <w:rFonts w:ascii="Calibri" w:hAnsi="Calibri"/>
          <w:color w:val="0B2545"/>
          <w:sz w:val="21"/>
        </w:rPr>
        <w:t>Complete an advanced lab only after you can explain its core pathway. For example, understand O2C before customer returns and R2R before year-end close.</w:t>
      </w:r>
    </w:p>
    <w:p>
      <w:r>
        <w:br w:type="page"/>
      </w:r>
    </w:p>
    <w:p>
      <w:pPr>
        <w:pStyle w:val="Heading1"/>
      </w:pPr>
      <w:r>
        <w:t>10. Use SAP Mentor well</w:t>
      </w:r>
    </w:p>
    <w:p>
      <w:pPr>
        <w:spacing w:after="200"/>
      </w:pPr>
      <w:r>
        <w:rPr>
          <w:rFonts w:ascii="Calibri" w:hAnsi="Calibri"/>
          <w:i/>
          <w:color w:val="1F4D78"/>
          <w:sz w:val="23"/>
        </w:rPr>
        <w:t>SAP Mentor is most useful when you ask focused questions grounded in the current simulation or your saved learning progress.</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Bottom/right floating button -&gt; Ask SAP Mentor</w:t>
      </w:r>
    </w:p>
    <w:p>
      <w:pPr>
        <w:pStyle w:val="Heading2"/>
      </w:pPr>
      <w:r>
        <w:t>Good questions</w:t>
      </w:r>
    </w:p>
    <w:p>
      <w:pPr>
        <w:pStyle w:val="ListBullet"/>
      </w:pPr>
      <w:r>
        <w:t>Why does this goods receipt affect inventory and GR/IR?</w:t>
      </w:r>
    </w:p>
    <w:p>
      <w:pPr>
        <w:pStyle w:val="ListBullet"/>
      </w:pPr>
      <w:r>
        <w:t>What downstream documents should exist after this sales order step?</w:t>
      </w:r>
    </w:p>
    <w:p>
      <w:pPr>
        <w:pStyle w:val="ListBullet"/>
      </w:pPr>
      <w:r>
        <w:t>Which evidence is missing from my P2P portfolio?</w:t>
      </w:r>
    </w:p>
    <w:p>
      <w:pPr>
        <w:pStyle w:val="ListBullet"/>
      </w:pPr>
      <w:r>
        <w:t>Help me improve the control reasoning in my capstone evidence.</w:t>
      </w:r>
    </w:p>
    <w:p>
      <w:pPr>
        <w:pStyle w:val="ListBullet"/>
      </w:pPr>
      <w:r>
        <w:t>What master-data issue could cause this production exception?</w:t>
      </w:r>
    </w:p>
    <w:p>
      <w:pPr>
        <w:pStyle w:val="Heading2"/>
      </w:pPr>
      <w:r>
        <w:t>Questions to avoid</w:t>
      </w:r>
    </w:p>
    <w:p>
      <w:pPr>
        <w:pStyle w:val="ListBullet"/>
      </w:pPr>
      <w:r>
        <w:t>Requests containing real customer, employee, financial, or employer-confidential data.</w:t>
      </w:r>
    </w:p>
    <w:p>
      <w:pPr>
        <w:pStyle w:val="ListBullet"/>
      </w:pPr>
      <w:r>
        <w:t>Requests for passwords, credentials, security bypasses, or unauthorised access.</w:t>
      </w:r>
    </w:p>
    <w:p>
      <w:pPr>
        <w:pStyle w:val="ListBullet"/>
      </w:pPr>
      <w:r>
        <w:t>Assuming an answer is official SAP, legal, accounting, tax, employment, or audit advice.</w:t>
      </w:r>
    </w:p>
    <w:p>
      <w:pPr>
        <w:pStyle w:val="ListBullet"/>
      </w:pPr>
      <w:r>
        <w:t>Copying an answer into evidence without checking it against the simulation and document chain.</w:t>
      </w:r>
    </w:p>
    <w:p>
      <w:pPr>
        <w:spacing w:before="60" w:after="160"/>
        <w:ind w:left="115" w:right="115"/>
        <w:shd w:fill="EEF7F1"/>
        <w:pBdr>
          <w:top w:val="single" w:sz="4" w:space="6" w:color="D7DBE2"/>
          <w:left w:val="single" w:sz="4" w:space="6" w:color="D7DBE2"/>
          <w:bottom w:val="single" w:sz="4" w:space="6" w:color="D7DBE2"/>
          <w:right w:val="single" w:sz="4" w:space="6" w:color="D7DBE2"/>
        </w:pBdr>
      </w:pPr>
      <w:r>
        <w:rPr>
          <w:rFonts w:ascii="Calibri" w:hAnsi="Calibri"/>
          <w:b/>
          <w:color w:val="276749"/>
          <w:sz w:val="21"/>
        </w:rPr>
        <w:t xml:space="preserve">Try it now: </w:t>
      </w:r>
      <w:r>
        <w:rPr>
          <w:rFonts w:ascii="Calibri" w:hAnsi="Calibri"/>
          <w:color w:val="0B2545"/>
          <w:sz w:val="21"/>
        </w:rPr>
        <w:t>Use the pattern: 'In [process], at [step], I see [document/status]. Explain [integration/control question] and tell me what evidence to verify.'</w:t>
      </w:r>
    </w:p>
    <w:p>
      <w:r>
        <w:br w:type="page"/>
      </w:r>
    </w:p>
    <w:p>
      <w:pPr>
        <w:pStyle w:val="Heading1"/>
      </w:pPr>
      <w:r>
        <w:t>11. Administrator and assessor guide</w:t>
      </w:r>
    </w:p>
    <w:p>
      <w:pPr>
        <w:spacing w:after="200"/>
      </w:pPr>
      <w:r>
        <w:rPr>
          <w:rFonts w:ascii="Calibri" w:hAnsi="Calibri"/>
          <w:i/>
          <w:color w:val="1F4D78"/>
          <w:sz w:val="23"/>
        </w:rPr>
        <w:t>Administration is role-protected. It controls access, content, evidence review, readiness, and production operations.</w:t>
      </w:r>
    </w:p>
    <w:p>
      <w:pPr>
        <w:spacing w:before="60" w:after="160"/>
        <w:ind w:left="115" w:right="115"/>
        <w:shd w:fill="FFF5F5"/>
        <w:pBdr>
          <w:top w:val="single" w:sz="4" w:space="6" w:color="D7DBE2"/>
          <w:left w:val="single" w:sz="4" w:space="6" w:color="D7DBE2"/>
          <w:bottom w:val="single" w:sz="4" w:space="6" w:color="D7DBE2"/>
          <w:right w:val="single" w:sz="4" w:space="6" w:color="D7DBE2"/>
        </w:pBdr>
      </w:pPr>
      <w:r>
        <w:rPr>
          <w:rFonts w:ascii="Calibri" w:hAnsi="Calibri"/>
          <w:b/>
          <w:color w:val="9B1C1C"/>
          <w:sz w:val="21"/>
        </w:rPr>
        <w:t xml:space="preserve">Important: </w:t>
      </w:r>
      <w:r>
        <w:rPr>
          <w:rFonts w:ascii="Calibri" w:hAnsi="Calibri"/>
          <w:color w:val="0B2545"/>
          <w:sz w:val="21"/>
        </w:rPr>
        <w:t>Only authorised administrators should use the Control plane. Never promote a learner to administrator simply to resolve a learning issue.</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Left navigation -&gt; Admin -&gt; Control plane</w:t>
      </w:r>
    </w:p>
    <w:p>
      <w:pPr>
        <w:pStyle w:val="Heading2"/>
      </w:pPr>
      <w:r>
        <w:t>Identity management</w:t>
      </w:r>
    </w:p>
    <w:p>
      <w:pPr>
        <w:pStyle w:val="ListBullet"/>
      </w:pPr>
      <w:r>
        <w:t>Assign or remove administrator and learner roles using least privilege.</w:t>
      </w:r>
    </w:p>
    <w:p>
      <w:pPr>
        <w:pStyle w:val="ListBullet"/>
      </w:pPr>
      <w:r>
        <w:t>Suspend an account when access must stop; suspension revokes active sessions.</w:t>
      </w:r>
    </w:p>
    <w:p>
      <w:pPr>
        <w:pStyle w:val="ListBullet"/>
      </w:pPr>
      <w:r>
        <w:t>Reactivate only after verifying the person and the reason for restoration.</w:t>
      </w:r>
    </w:p>
    <w:p>
      <w:pPr>
        <w:pStyle w:val="ListBullet"/>
      </w:pPr>
      <w:r>
        <w:t>Review access lifecycle history for assignment, removal, suspension, recovery, and reactivation events.</w:t>
      </w:r>
    </w:p>
    <w:p>
      <w:pPr>
        <w:pStyle w:val="ListBullet"/>
      </w:pPr>
      <w:r>
        <w:t>Configure a real OIDC or SAML provider before enterprise production use.</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Control plane -&gt; Identity management / Access lifecycle</w:t>
      </w:r>
    </w:p>
    <w:p>
      <w:pPr>
        <w:pStyle w:val="Heading2"/>
      </w:pPr>
      <w:r>
        <w:t>Certification review</w:t>
      </w:r>
    </w:p>
    <w:p>
      <w:pPr>
        <w:pStyle w:val="ListNumber"/>
      </w:pPr>
      <w:r>
        <w:t>Open the certification review queue.</w:t>
      </w:r>
    </w:p>
    <w:p>
      <w:pPr>
        <w:pStyle w:val="ListNumber"/>
      </w:pPr>
      <w:r>
        <w:t>Select the learner and process submission.</w:t>
      </w:r>
    </w:p>
    <w:p>
      <w:pPr>
        <w:pStyle w:val="ListNumber"/>
      </w:pPr>
      <w:r>
        <w:t>Review readiness, evidence coverage, diagnostic completion, capstone score, and verification notes.</w:t>
      </w:r>
    </w:p>
    <w:p>
      <w:pPr>
        <w:pStyle w:val="ListNumber"/>
      </w:pPr>
      <w:r>
        <w:t>Record approve, reject, or revision requested with a specific assessor note.</w:t>
      </w:r>
    </w:p>
    <w:p>
      <w:pPr>
        <w:pStyle w:val="ListNumber"/>
      </w:pPr>
      <w:r>
        <w:t>Confirm the decision appears in persistent history.</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Control plane -&gt; Certification review / Assessment portfolio review</w:t>
      </w:r>
    </w:p>
    <w:p>
      <w:pPr>
        <w:pStyle w:val="Heading2"/>
      </w:pPr>
      <w:r>
        <w:t>Content and release governance</w:t>
      </w:r>
    </w:p>
    <w:p>
      <w:pPr>
        <w:pStyle w:val="ListBullet"/>
      </w:pPr>
      <w:r>
        <w:t>Use the controlled content register to inspect owners, versions, readiness, evidence gates, blockers, and release notes.</w:t>
      </w:r>
    </w:p>
    <w:p>
      <w:pPr>
        <w:pStyle w:val="ListBullet"/>
      </w:pPr>
      <w:r>
        <w:t>Use Deployment gate summary to review storage, security, identity, content, ledger, mentor, and deployment checks.</w:t>
      </w:r>
    </w:p>
    <w:p>
      <w:pPr>
        <w:pStyle w:val="ListBullet"/>
      </w:pPr>
      <w:r>
        <w:t>Record a release decision only for the current readiness fingerprint; changed evidence requires a new decision.</w:t>
      </w:r>
    </w:p>
    <w:p>
      <w:pPr>
        <w:pStyle w:val="ListBullet"/>
      </w:pPr>
      <w:r>
        <w:t>Use release operations for controlled promotion or rollback and preserve the audit evidence.</w:t>
      </w:r>
    </w:p>
    <w:p>
      <w:pPr>
        <w:pStyle w:val="ListBullet"/>
      </w:pPr>
      <w:r>
        <w:t>Treat the development roadmap as planning information, not automatic deployment approval.</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Control plane -&gt; Release readiness register / Deployment gate summary / Release governance / Release operations</w:t>
      </w:r>
    </w:p>
    <w:p>
      <w:r>
        <w:br w:type="page"/>
      </w:r>
    </w:p>
    <w:p>
      <w:pPr>
        <w:pStyle w:val="Heading1"/>
      </w:pPr>
      <w:r>
        <w:t>12. Troubleshooting and safe use</w:t>
      </w:r>
    </w:p>
    <w:p>
      <w:pPr>
        <w:spacing w:after="200"/>
      </w:pPr>
      <w:r>
        <w:rPr>
          <w:rFonts w:ascii="Calibri" w:hAnsi="Calibri"/>
          <w:i/>
          <w:color w:val="1F4D78"/>
          <w:sz w:val="23"/>
        </w:rPr>
        <w:t>Most learner problems can be solved by checking account state, saved progress, and the active process before repeating an action.</w:t>
      </w:r>
    </w:p>
    <w:tbl>
      <w:tblPr>
        <w:tblStyle w:val="TableGrid"/>
        <w:tblW w:type="dxa" w:w="9360"/>
        <w:tblLayout w:type="fixed"/>
        <w:tblLook w:firstColumn="1" w:firstRow="1" w:lastColumn="0" w:lastRow="0" w:noHBand="0" w:noVBand="1" w:val="04A0"/>
        <w:jc w:val="left"/>
        <w:tblInd w:w="120" w:type="dxa"/>
      </w:tblPr>
      <w:tblGrid>
        <w:gridCol w:w="1900"/>
        <w:gridCol w:w="3300"/>
        <w:gridCol w:w="4160"/>
      </w:tblGrid>
      <w:tr>
        <w:trPr>
          <w:tblHeader w:val="true"/>
        </w:trPr>
        <w:tc>
          <w:tcPr>
            <w:tcW w:type="dxa" w:w="1900"/>
            <w:vAlign w:val="center"/>
            <w:tcMar>
              <w:top w:w="80" w:type="dxa"/>
              <w:start w:w="120" w:type="dxa"/>
              <w:bottom w:w="80" w:type="dxa"/>
              <w:end w:w="120" w:type="dxa"/>
            </w:tcMar>
            <w:shd w:fill="E8EEF5"/>
          </w:tcPr>
          <w:p>
            <w:pPr>
              <w:jc w:val="center"/>
            </w:pPr>
            <w:r>
              <w:rPr>
                <w:rFonts w:ascii="Calibri" w:hAnsi="Calibri"/>
                <w:b/>
                <w:color w:val="0B2545"/>
                <w:sz w:val="19"/>
              </w:rPr>
              <w:t>Problem</w:t>
            </w:r>
          </w:p>
        </w:tc>
        <w:tc>
          <w:tcPr>
            <w:tcW w:type="dxa" w:w="3300"/>
            <w:vAlign w:val="center"/>
            <w:tcMar>
              <w:top w:w="80" w:type="dxa"/>
              <w:start w:w="120" w:type="dxa"/>
              <w:bottom w:w="80" w:type="dxa"/>
              <w:end w:w="120" w:type="dxa"/>
            </w:tcMar>
            <w:shd w:fill="E8EEF5"/>
          </w:tcPr>
          <w:p>
            <w:pPr>
              <w:jc w:val="center"/>
            </w:pPr>
            <w:r>
              <w:rPr>
                <w:rFonts w:ascii="Calibri" w:hAnsi="Calibri"/>
                <w:b/>
                <w:color w:val="0B2545"/>
                <w:sz w:val="19"/>
              </w:rPr>
              <w:t>What to check</w:t>
            </w:r>
          </w:p>
        </w:tc>
        <w:tc>
          <w:tcPr>
            <w:tcW w:type="dxa" w:w="4160"/>
            <w:vAlign w:val="center"/>
            <w:tcMar>
              <w:top w:w="80" w:type="dxa"/>
              <w:start w:w="120" w:type="dxa"/>
              <w:bottom w:w="80" w:type="dxa"/>
              <w:end w:w="120" w:type="dxa"/>
            </w:tcMar>
            <w:shd w:fill="E8EEF5"/>
          </w:tcPr>
          <w:p>
            <w:pPr>
              <w:jc w:val="center"/>
            </w:pPr>
            <w:r>
              <w:rPr>
                <w:rFonts w:ascii="Calibri" w:hAnsi="Calibri"/>
                <w:b/>
                <w:color w:val="0B2545"/>
                <w:sz w:val="19"/>
              </w:rPr>
              <w:t>Safe action</w:t>
            </w:r>
          </w:p>
        </w:tc>
      </w:tr>
      <w:tr>
        <w:tc>
          <w:tcPr>
            <w:tcW w:type="dxa" w:w="1900"/>
            <w:vAlign w:val="center"/>
            <w:tcMar>
              <w:top w:w="80" w:type="dxa"/>
              <w:start w:w="120" w:type="dxa"/>
              <w:bottom w:w="80" w:type="dxa"/>
              <w:end w:w="120" w:type="dxa"/>
            </w:tcMar>
          </w:tcPr>
          <w:p>
            <w:pPr>
              <w:spacing w:after="0"/>
              <w:jc w:val="center"/>
            </w:pPr>
            <w:r>
              <w:rPr>
                <w:rFonts w:ascii="Calibri" w:hAnsi="Calibri"/>
                <w:color w:val="0B2545"/>
                <w:sz w:val="19"/>
              </w:rPr>
              <w:t>Cannot sign in</w:t>
            </w:r>
          </w:p>
        </w:tc>
        <w:tc>
          <w:tcPr>
            <w:tcW w:type="dxa" w:w="3300"/>
            <w:vAlign w:val="center"/>
            <w:tcMar>
              <w:top w:w="80" w:type="dxa"/>
              <w:start w:w="120" w:type="dxa"/>
              <w:bottom w:w="80" w:type="dxa"/>
              <w:end w:w="120" w:type="dxa"/>
            </w:tcMar>
          </w:tcPr>
          <w:p>
            <w:pPr>
              <w:spacing w:after="0"/>
              <w:jc w:val="left"/>
            </w:pPr>
            <w:r>
              <w:rPr>
                <w:rFonts w:ascii="Calibri" w:hAnsi="Calibri"/>
                <w:color w:val="0B2545"/>
                <w:sz w:val="19"/>
              </w:rPr>
              <w:t>Email, password, account suspension, reset status</w:t>
            </w:r>
          </w:p>
        </w:tc>
        <w:tc>
          <w:tcPr>
            <w:tcW w:type="dxa" w:w="4160"/>
            <w:vAlign w:val="center"/>
            <w:tcMar>
              <w:top w:w="80" w:type="dxa"/>
              <w:start w:w="120" w:type="dxa"/>
              <w:bottom w:w="80" w:type="dxa"/>
              <w:end w:w="120" w:type="dxa"/>
            </w:tcMar>
          </w:tcPr>
          <w:p>
            <w:pPr>
              <w:spacing w:after="0"/>
              <w:jc w:val="left"/>
            </w:pPr>
            <w:r>
              <w:rPr>
                <w:rFonts w:ascii="Calibri" w:hAnsi="Calibri"/>
                <w:color w:val="0B2545"/>
                <w:sz w:val="19"/>
              </w:rPr>
              <w:t>Use password recovery; contact support if suspended.</w:t>
            </w:r>
          </w:p>
        </w:tc>
      </w:tr>
      <w:tr>
        <w:tc>
          <w:tcPr>
            <w:tcW w:type="dxa" w:w="1900"/>
            <w:vAlign w:val="center"/>
            <w:tcMar>
              <w:top w:w="80" w:type="dxa"/>
              <w:start w:w="120" w:type="dxa"/>
              <w:bottom w:w="80" w:type="dxa"/>
              <w:end w:w="120" w:type="dxa"/>
            </w:tcMar>
          </w:tcPr>
          <w:p>
            <w:pPr>
              <w:spacing w:after="0"/>
              <w:jc w:val="left"/>
            </w:pPr>
            <w:r>
              <w:rPr>
                <w:rFonts w:ascii="Calibri" w:hAnsi="Calibri"/>
                <w:color w:val="0B2545"/>
                <w:sz w:val="19"/>
              </w:rPr>
              <w:t>Progress did not update</w:t>
            </w:r>
          </w:p>
        </w:tc>
        <w:tc>
          <w:tcPr>
            <w:tcW w:type="dxa" w:w="3300"/>
            <w:vAlign w:val="center"/>
            <w:tcMar>
              <w:top w:w="80" w:type="dxa"/>
              <w:start w:w="120" w:type="dxa"/>
              <w:bottom w:w="80" w:type="dxa"/>
              <w:end w:w="120" w:type="dxa"/>
            </w:tcMar>
          </w:tcPr>
          <w:p>
            <w:pPr>
              <w:spacing w:after="0"/>
              <w:jc w:val="left"/>
            </w:pPr>
            <w:r>
              <w:rPr>
                <w:rFonts w:ascii="Calibri" w:hAnsi="Calibri"/>
                <w:color w:val="0B2545"/>
                <w:sz w:val="19"/>
              </w:rPr>
              <w:t>Signed-in account, network, page response</w:t>
            </w:r>
          </w:p>
        </w:tc>
        <w:tc>
          <w:tcPr>
            <w:tcW w:type="dxa" w:w="4160"/>
            <w:vAlign w:val="center"/>
            <w:tcMar>
              <w:top w:w="80" w:type="dxa"/>
              <w:start w:w="120" w:type="dxa"/>
              <w:bottom w:w="80" w:type="dxa"/>
              <w:end w:w="120" w:type="dxa"/>
            </w:tcMar>
          </w:tcPr>
          <w:p>
            <w:pPr>
              <w:spacing w:after="0"/>
              <w:jc w:val="left"/>
            </w:pPr>
            <w:r>
              <w:rPr>
                <w:rFonts w:ascii="Calibri" w:hAnsi="Calibri"/>
                <w:color w:val="0B2545"/>
                <w:sz w:val="19"/>
              </w:rPr>
              <w:t>Refresh once; reopen the lesson; do not repeatedly submit.</w:t>
            </w:r>
          </w:p>
        </w:tc>
      </w:tr>
      <w:tr>
        <w:tc>
          <w:tcPr>
            <w:tcW w:type="dxa" w:w="1900"/>
            <w:vAlign w:val="center"/>
            <w:tcMar>
              <w:top w:w="80" w:type="dxa"/>
              <w:start w:w="120" w:type="dxa"/>
              <w:bottom w:w="80" w:type="dxa"/>
              <w:end w:w="120" w:type="dxa"/>
            </w:tcMar>
          </w:tcPr>
          <w:p>
            <w:pPr>
              <w:spacing w:after="0"/>
              <w:jc w:val="left"/>
            </w:pPr>
            <w:r>
              <w:rPr>
                <w:rFonts w:ascii="Calibri" w:hAnsi="Calibri"/>
                <w:color w:val="0B2545"/>
                <w:sz w:val="19"/>
              </w:rPr>
              <w:t>Capstone is locked</w:t>
            </w:r>
          </w:p>
        </w:tc>
        <w:tc>
          <w:tcPr>
            <w:tcW w:type="dxa" w:w="3300"/>
            <w:vAlign w:val="center"/>
            <w:tcMar>
              <w:top w:w="80" w:type="dxa"/>
              <w:start w:w="120" w:type="dxa"/>
              <w:bottom w:w="80" w:type="dxa"/>
              <w:end w:w="120" w:type="dxa"/>
            </w:tcMar>
          </w:tcPr>
          <w:p>
            <w:pPr>
              <w:spacing w:after="0"/>
              <w:jc w:val="left"/>
            </w:pPr>
            <w:r>
              <w:rPr>
                <w:rFonts w:ascii="Calibri" w:hAnsi="Calibri"/>
                <w:color w:val="0B2545"/>
                <w:sz w:val="19"/>
              </w:rPr>
              <w:t>Guided, diagnostic, and evidence readiness</w:t>
            </w:r>
          </w:p>
        </w:tc>
        <w:tc>
          <w:tcPr>
            <w:tcW w:type="dxa" w:w="4160"/>
            <w:vAlign w:val="center"/>
            <w:tcMar>
              <w:top w:w="80" w:type="dxa"/>
              <w:start w:w="120" w:type="dxa"/>
              <w:bottom w:w="80" w:type="dxa"/>
              <w:end w:w="120" w:type="dxa"/>
            </w:tcMar>
          </w:tcPr>
          <w:p>
            <w:pPr>
              <w:spacing w:after="0"/>
              <w:jc w:val="left"/>
            </w:pPr>
            <w:r>
              <w:rPr>
                <w:rFonts w:ascii="Calibri" w:hAnsi="Calibri"/>
                <w:color w:val="0B2545"/>
                <w:sz w:val="19"/>
              </w:rPr>
              <w:t>Complete the listed readiness actions.</w:t>
            </w:r>
          </w:p>
        </w:tc>
      </w:tr>
      <w:tr>
        <w:tc>
          <w:tcPr>
            <w:tcW w:type="dxa" w:w="1900"/>
            <w:vAlign w:val="center"/>
            <w:tcMar>
              <w:top w:w="80" w:type="dxa"/>
              <w:start w:w="120" w:type="dxa"/>
              <w:bottom w:w="80" w:type="dxa"/>
              <w:end w:w="120" w:type="dxa"/>
            </w:tcMar>
          </w:tcPr>
          <w:p>
            <w:pPr>
              <w:spacing w:after="0"/>
              <w:jc w:val="left"/>
            </w:pPr>
            <w:r>
              <w:rPr>
                <w:rFonts w:ascii="Calibri" w:hAnsi="Calibri"/>
                <w:color w:val="0B2545"/>
                <w:sz w:val="19"/>
              </w:rPr>
              <w:t>Mentor answer seems wrong</w:t>
            </w:r>
          </w:p>
        </w:tc>
        <w:tc>
          <w:tcPr>
            <w:tcW w:type="dxa" w:w="3300"/>
            <w:vAlign w:val="center"/>
            <w:tcMar>
              <w:top w:w="80" w:type="dxa"/>
              <w:start w:w="120" w:type="dxa"/>
              <w:bottom w:w="80" w:type="dxa"/>
              <w:end w:w="120" w:type="dxa"/>
            </w:tcMar>
          </w:tcPr>
          <w:p>
            <w:pPr>
              <w:spacing w:after="0"/>
              <w:jc w:val="left"/>
            </w:pPr>
            <w:r>
              <w:rPr>
                <w:rFonts w:ascii="Calibri" w:hAnsi="Calibri"/>
                <w:color w:val="0B2545"/>
                <w:sz w:val="19"/>
              </w:rPr>
              <w:t>Current process, document, and cited context</w:t>
            </w:r>
          </w:p>
        </w:tc>
        <w:tc>
          <w:tcPr>
            <w:tcW w:type="dxa" w:w="4160"/>
            <w:vAlign w:val="center"/>
            <w:tcMar>
              <w:top w:w="80" w:type="dxa"/>
              <w:start w:w="120" w:type="dxa"/>
              <w:bottom w:w="80" w:type="dxa"/>
              <w:end w:w="120" w:type="dxa"/>
            </w:tcMar>
          </w:tcPr>
          <w:p>
            <w:pPr>
              <w:spacing w:after="0"/>
              <w:jc w:val="left"/>
            </w:pPr>
            <w:r>
              <w:rPr>
                <w:rFonts w:ascii="Calibri" w:hAnsi="Calibri"/>
                <w:color w:val="0B2545"/>
                <w:sz w:val="19"/>
              </w:rPr>
              <w:t>Ask a narrower question and verify against Process explorer.</w:t>
            </w:r>
          </w:p>
        </w:tc>
      </w:tr>
      <w:tr>
        <w:tc>
          <w:tcPr>
            <w:tcW w:type="dxa" w:w="1900"/>
            <w:vAlign w:val="center"/>
            <w:tcMar>
              <w:top w:w="80" w:type="dxa"/>
              <w:start w:w="120" w:type="dxa"/>
              <w:bottom w:w="80" w:type="dxa"/>
              <w:end w:w="120" w:type="dxa"/>
            </w:tcMar>
          </w:tcPr>
          <w:p>
            <w:pPr>
              <w:spacing w:after="0"/>
              <w:jc w:val="left"/>
            </w:pPr>
            <w:r>
              <w:rPr>
                <w:rFonts w:ascii="Calibri" w:hAnsi="Calibri"/>
                <w:color w:val="0B2545"/>
                <w:sz w:val="19"/>
              </w:rPr>
              <w:t>Simulation not found</w:t>
            </w:r>
          </w:p>
        </w:tc>
        <w:tc>
          <w:tcPr>
            <w:tcW w:type="dxa" w:w="3300"/>
            <w:vAlign w:val="center"/>
            <w:tcMar>
              <w:top w:w="80" w:type="dxa"/>
              <w:start w:w="120" w:type="dxa"/>
              <w:bottom w:w="80" w:type="dxa"/>
              <w:end w:w="120" w:type="dxa"/>
            </w:tcMar>
          </w:tcPr>
          <w:p>
            <w:pPr>
              <w:spacing w:after="0"/>
              <w:jc w:val="left"/>
            </w:pPr>
            <w:r>
              <w:rPr>
                <w:rFonts w:ascii="Calibri" w:hAnsi="Calibri"/>
                <w:color w:val="0B2545"/>
                <w:sz w:val="19"/>
              </w:rPr>
              <w:t>Correct account and saved simulation</w:t>
            </w:r>
          </w:p>
        </w:tc>
        <w:tc>
          <w:tcPr>
            <w:tcW w:type="dxa" w:w="4160"/>
            <w:vAlign w:val="center"/>
            <w:tcMar>
              <w:top w:w="80" w:type="dxa"/>
              <w:start w:w="120" w:type="dxa"/>
              <w:bottom w:w="80" w:type="dxa"/>
              <w:end w:w="120" w:type="dxa"/>
            </w:tcMar>
          </w:tcPr>
          <w:p>
            <w:pPr>
              <w:spacing w:after="0"/>
              <w:jc w:val="left"/>
            </w:pPr>
            <w:r>
              <w:rPr>
                <w:rFonts w:ascii="Calibri" w:hAnsi="Calibri"/>
                <w:color w:val="0B2545"/>
                <w:sz w:val="19"/>
              </w:rPr>
              <w:t>Return to Simulation studio and check saved history.</w:t>
            </w:r>
          </w:p>
        </w:tc>
      </w:tr>
      <w:tr>
        <w:tc>
          <w:tcPr>
            <w:tcW w:type="dxa" w:w="1900"/>
            <w:vAlign w:val="center"/>
            <w:tcMar>
              <w:top w:w="80" w:type="dxa"/>
              <w:start w:w="120" w:type="dxa"/>
              <w:bottom w:w="80" w:type="dxa"/>
              <w:end w:w="120" w:type="dxa"/>
            </w:tcMar>
          </w:tcPr>
          <w:p>
            <w:pPr>
              <w:spacing w:after="0"/>
              <w:jc w:val="left"/>
            </w:pPr>
            <w:r>
              <w:rPr>
                <w:rFonts w:ascii="Calibri" w:hAnsi="Calibri"/>
                <w:color w:val="0B2545"/>
                <w:sz w:val="19"/>
              </w:rPr>
              <w:t>Admin area missing</w:t>
            </w:r>
          </w:p>
        </w:tc>
        <w:tc>
          <w:tcPr>
            <w:tcW w:type="dxa" w:w="3300"/>
            <w:vAlign w:val="center"/>
            <w:tcMar>
              <w:top w:w="80" w:type="dxa"/>
              <w:start w:w="120" w:type="dxa"/>
              <w:bottom w:w="80" w:type="dxa"/>
              <w:end w:w="120" w:type="dxa"/>
            </w:tcMar>
          </w:tcPr>
          <w:p>
            <w:pPr>
              <w:spacing w:after="0"/>
              <w:jc w:val="left"/>
            </w:pPr>
            <w:r>
              <w:rPr>
                <w:rFonts w:ascii="Calibri" w:hAnsi="Calibri"/>
                <w:color w:val="0B2545"/>
                <w:sz w:val="19"/>
              </w:rPr>
              <w:t>Your current role</w:t>
            </w:r>
          </w:p>
        </w:tc>
        <w:tc>
          <w:tcPr>
            <w:tcW w:type="dxa" w:w="4160"/>
            <w:vAlign w:val="center"/>
            <w:tcMar>
              <w:top w:w="80" w:type="dxa"/>
              <w:start w:w="120" w:type="dxa"/>
              <w:bottom w:w="80" w:type="dxa"/>
              <w:end w:w="120" w:type="dxa"/>
            </w:tcMar>
          </w:tcPr>
          <w:p>
            <w:pPr>
              <w:spacing w:after="0"/>
              <w:jc w:val="left"/>
            </w:pPr>
            <w:r>
              <w:rPr>
                <w:rFonts w:ascii="Calibri" w:hAnsi="Calibri"/>
                <w:color w:val="0B2545"/>
                <w:sz w:val="19"/>
              </w:rPr>
              <w:t>Ask an existing administrator; do not create a second account to bypass access.</w:t>
            </w:r>
          </w:p>
        </w:tc>
      </w:tr>
      <w:tr>
        <w:tc>
          <w:tcPr>
            <w:tcW w:type="dxa" w:w="1900"/>
            <w:vAlign w:val="center"/>
            <w:tcMar>
              <w:top w:w="80" w:type="dxa"/>
              <w:start w:w="120" w:type="dxa"/>
              <w:bottom w:w="80" w:type="dxa"/>
              <w:end w:w="120" w:type="dxa"/>
            </w:tcMar>
          </w:tcPr>
          <w:p>
            <w:pPr>
              <w:spacing w:after="0"/>
              <w:jc w:val="center"/>
            </w:pPr>
            <w:r>
              <w:rPr>
                <w:rFonts w:ascii="Calibri" w:hAnsi="Calibri"/>
                <w:color w:val="0B2545"/>
                <w:sz w:val="19"/>
              </w:rPr>
              <w:t>Unexpected error</w:t>
            </w:r>
          </w:p>
        </w:tc>
        <w:tc>
          <w:tcPr>
            <w:tcW w:type="dxa" w:w="3300"/>
            <w:vAlign w:val="center"/>
            <w:tcMar>
              <w:top w:w="80" w:type="dxa"/>
              <w:start w:w="120" w:type="dxa"/>
              <w:bottom w:w="80" w:type="dxa"/>
              <w:end w:w="120" w:type="dxa"/>
            </w:tcMar>
          </w:tcPr>
          <w:p>
            <w:pPr>
              <w:spacing w:after="0"/>
              <w:jc w:val="left"/>
            </w:pPr>
            <w:r>
              <w:rPr>
                <w:rFonts w:ascii="Calibri" w:hAnsi="Calibri"/>
                <w:color w:val="0B2545"/>
                <w:sz w:val="19"/>
              </w:rPr>
              <w:t>Time, page, action, and non-sensitive screenshot</w:t>
            </w:r>
          </w:p>
        </w:tc>
        <w:tc>
          <w:tcPr>
            <w:tcW w:type="dxa" w:w="4160"/>
            <w:vAlign w:val="center"/>
            <w:tcMar>
              <w:top w:w="80" w:type="dxa"/>
              <w:start w:w="120" w:type="dxa"/>
              <w:bottom w:w="80" w:type="dxa"/>
              <w:end w:w="120" w:type="dxa"/>
            </w:tcMar>
          </w:tcPr>
          <w:p>
            <w:pPr>
              <w:spacing w:after="0"/>
              <w:jc w:val="left"/>
            </w:pPr>
            <w:r>
              <w:rPr>
                <w:rFonts w:ascii="Calibri" w:hAnsi="Calibri"/>
                <w:color w:val="0B2545"/>
                <w:sz w:val="19"/>
              </w:rPr>
              <w:t>Record the details, avoid including personal data, and contact support.</w:t>
            </w:r>
          </w:p>
        </w:tc>
      </w:tr>
    </w:tbl>
    <w:p>
      <w:pPr>
        <w:spacing w:after="20"/>
      </w:pPr>
    </w:p>
    <w:p>
      <w:pPr>
        <w:spacing w:before="60" w:after="160"/>
        <w:ind w:left="115" w:right="115"/>
        <w:shd w:fill="FFF5F5"/>
        <w:pBdr>
          <w:top w:val="single" w:sz="4" w:space="6" w:color="D7DBE2"/>
          <w:left w:val="single" w:sz="4" w:space="6" w:color="D7DBE2"/>
          <w:bottom w:val="single" w:sz="4" w:space="6" w:color="D7DBE2"/>
          <w:right w:val="single" w:sz="4" w:space="6" w:color="D7DBE2"/>
        </w:pBdr>
      </w:pPr>
      <w:r>
        <w:rPr>
          <w:rFonts w:ascii="Calibri" w:hAnsi="Calibri"/>
          <w:b/>
          <w:color w:val="9B1C1C"/>
          <w:sz w:val="21"/>
        </w:rPr>
        <w:t xml:space="preserve">Important: </w:t>
      </w:r>
      <w:r>
        <w:rPr>
          <w:rFonts w:ascii="Calibri" w:hAnsi="Calibri"/>
          <w:color w:val="0B2545"/>
          <w:sz w:val="21"/>
        </w:rPr>
        <w:t>If the site shows a security warning, exposes another user's data, or behaves as though you have the wrong role, stop using it and report the issue immediately.</w:t>
      </w:r>
    </w:p>
    <w:p>
      <w:pPr>
        <w:pStyle w:val="Heading2"/>
      </w:pPr>
      <w:r>
        <w:t>A four-week learning plan</w:t>
      </w:r>
    </w:p>
    <w:tbl>
      <w:tblPr>
        <w:tblStyle w:val="TableGrid"/>
        <w:tblW w:type="dxa" w:w="9360"/>
        <w:tblLayout w:type="fixed"/>
        <w:tblLook w:firstColumn="1" w:firstRow="1" w:lastColumn="0" w:lastRow="0" w:noHBand="0" w:noVBand="1" w:val="04A0"/>
        <w:jc w:val="left"/>
        <w:tblInd w:w="120" w:type="dxa"/>
      </w:tblPr>
      <w:tblGrid>
        <w:gridCol w:w="900"/>
        <w:gridCol w:w="2200"/>
        <w:gridCol w:w="3400"/>
        <w:gridCol w:w="2860"/>
      </w:tblGrid>
      <w:tr>
        <w:trPr>
          <w:tblHeader w:val="true"/>
        </w:trPr>
        <w:tc>
          <w:tcPr>
            <w:tcW w:type="dxa" w:w="900"/>
            <w:vAlign w:val="center"/>
            <w:tcMar>
              <w:top w:w="80" w:type="dxa"/>
              <w:start w:w="120" w:type="dxa"/>
              <w:bottom w:w="80" w:type="dxa"/>
              <w:end w:w="120" w:type="dxa"/>
            </w:tcMar>
            <w:shd w:fill="E8EEF5"/>
          </w:tcPr>
          <w:p>
            <w:pPr>
              <w:jc w:val="center"/>
            </w:pPr>
            <w:r>
              <w:rPr>
                <w:rFonts w:ascii="Calibri" w:hAnsi="Calibri"/>
                <w:b/>
                <w:color w:val="0B2545"/>
                <w:sz w:val="19"/>
              </w:rPr>
              <w:t>Week</w:t>
            </w:r>
          </w:p>
        </w:tc>
        <w:tc>
          <w:tcPr>
            <w:tcW w:type="dxa" w:w="2200"/>
            <w:vAlign w:val="center"/>
            <w:tcMar>
              <w:top w:w="80" w:type="dxa"/>
              <w:start w:w="120" w:type="dxa"/>
              <w:bottom w:w="80" w:type="dxa"/>
              <w:end w:w="120" w:type="dxa"/>
            </w:tcMar>
            <w:shd w:fill="E8EEF5"/>
          </w:tcPr>
          <w:p>
            <w:pPr>
              <w:jc w:val="center"/>
            </w:pPr>
            <w:r>
              <w:rPr>
                <w:rFonts w:ascii="Calibri" w:hAnsi="Calibri"/>
                <w:b/>
                <w:color w:val="0B2545"/>
                <w:sz w:val="19"/>
              </w:rPr>
              <w:t>Goal</w:t>
            </w:r>
          </w:p>
        </w:tc>
        <w:tc>
          <w:tcPr>
            <w:tcW w:type="dxa" w:w="3400"/>
            <w:vAlign w:val="center"/>
            <w:tcMar>
              <w:top w:w="80" w:type="dxa"/>
              <w:start w:w="120" w:type="dxa"/>
              <w:bottom w:w="80" w:type="dxa"/>
              <w:end w:w="120" w:type="dxa"/>
            </w:tcMar>
            <w:shd w:fill="E8EEF5"/>
          </w:tcPr>
          <w:p>
            <w:pPr>
              <w:jc w:val="center"/>
            </w:pPr>
            <w:r>
              <w:rPr>
                <w:rFonts w:ascii="Calibri" w:hAnsi="Calibri"/>
                <w:b/>
                <w:color w:val="0B2545"/>
                <w:sz w:val="19"/>
              </w:rPr>
              <w:t>App work</w:t>
            </w:r>
          </w:p>
        </w:tc>
        <w:tc>
          <w:tcPr>
            <w:tcW w:type="dxa" w:w="2860"/>
            <w:vAlign w:val="center"/>
            <w:tcMar>
              <w:top w:w="80" w:type="dxa"/>
              <w:start w:w="120" w:type="dxa"/>
              <w:bottom w:w="80" w:type="dxa"/>
              <w:end w:w="120" w:type="dxa"/>
            </w:tcMar>
            <w:shd w:fill="E8EEF5"/>
          </w:tcPr>
          <w:p>
            <w:pPr>
              <w:jc w:val="left"/>
            </w:pPr>
            <w:r>
              <w:rPr>
                <w:rFonts w:ascii="Calibri" w:hAnsi="Calibri"/>
                <w:b/>
                <w:color w:val="0B2545"/>
                <w:sz w:val="19"/>
              </w:rPr>
              <w:t>Evidence of success</w:t>
            </w:r>
          </w:p>
        </w:tc>
      </w:tr>
      <w:tr>
        <w:tc>
          <w:tcPr>
            <w:tcW w:type="dxa" w:w="900"/>
            <w:vAlign w:val="center"/>
            <w:tcMar>
              <w:top w:w="80" w:type="dxa"/>
              <w:start w:w="120" w:type="dxa"/>
              <w:bottom w:w="80" w:type="dxa"/>
              <w:end w:w="120" w:type="dxa"/>
            </w:tcMar>
          </w:tcPr>
          <w:p>
            <w:pPr>
              <w:spacing w:after="0"/>
              <w:jc w:val="center"/>
            </w:pPr>
            <w:r>
              <w:rPr>
                <w:rFonts w:ascii="Calibri" w:hAnsi="Calibri"/>
                <w:color w:val="0B2545"/>
                <w:sz w:val="19"/>
              </w:rPr>
              <w:t>1</w:t>
            </w:r>
          </w:p>
        </w:tc>
        <w:tc>
          <w:tcPr>
            <w:tcW w:type="dxa" w:w="2200"/>
            <w:vAlign w:val="center"/>
            <w:tcMar>
              <w:top w:w="80" w:type="dxa"/>
              <w:start w:w="120" w:type="dxa"/>
              <w:bottom w:w="80" w:type="dxa"/>
              <w:end w:w="120" w:type="dxa"/>
            </w:tcMar>
          </w:tcPr>
          <w:p>
            <w:pPr>
              <w:spacing w:after="0"/>
              <w:jc w:val="left"/>
            </w:pPr>
            <w:r>
              <w:rPr>
                <w:rFonts w:ascii="Calibri" w:hAnsi="Calibri"/>
                <w:color w:val="0B2545"/>
                <w:sz w:val="19"/>
              </w:rPr>
              <w:t>Understand enterprise and one core process</w:t>
            </w:r>
          </w:p>
        </w:tc>
        <w:tc>
          <w:tcPr>
            <w:tcW w:type="dxa" w:w="3400"/>
            <w:vAlign w:val="center"/>
            <w:tcMar>
              <w:top w:w="80" w:type="dxa"/>
              <w:start w:w="120" w:type="dxa"/>
              <w:bottom w:w="80" w:type="dxa"/>
              <w:end w:w="120" w:type="dxa"/>
            </w:tcMar>
          </w:tcPr>
          <w:p>
            <w:pPr>
              <w:spacing w:after="0"/>
              <w:jc w:val="left"/>
            </w:pPr>
            <w:r>
              <w:rPr>
                <w:rFonts w:ascii="Calibri" w:hAnsi="Calibri"/>
                <w:color w:val="0B2545"/>
                <w:sz w:val="19"/>
              </w:rPr>
              <w:t>Overview, structure, master data, guided tutor</w:t>
            </w:r>
          </w:p>
        </w:tc>
        <w:tc>
          <w:tcPr>
            <w:tcW w:type="dxa" w:w="2860"/>
            <w:vAlign w:val="center"/>
            <w:tcMar>
              <w:top w:w="80" w:type="dxa"/>
              <w:start w:w="120" w:type="dxa"/>
              <w:bottom w:w="80" w:type="dxa"/>
              <w:end w:w="120" w:type="dxa"/>
            </w:tcMar>
          </w:tcPr>
          <w:p>
            <w:pPr>
              <w:spacing w:after="0"/>
              <w:jc w:val="left"/>
            </w:pPr>
            <w:r>
              <w:rPr>
                <w:rFonts w:ascii="Calibri" w:hAnsi="Calibri"/>
                <w:color w:val="0B2545"/>
                <w:sz w:val="19"/>
              </w:rPr>
              <w:t>Completed guided flow and evidence notes</w:t>
            </w:r>
          </w:p>
        </w:tc>
      </w:tr>
      <w:tr>
        <w:tc>
          <w:tcPr>
            <w:tcW w:type="dxa" w:w="900"/>
            <w:vAlign w:val="center"/>
            <w:tcMar>
              <w:top w:w="80" w:type="dxa"/>
              <w:start w:w="120" w:type="dxa"/>
              <w:bottom w:w="80" w:type="dxa"/>
              <w:end w:w="120" w:type="dxa"/>
            </w:tcMar>
          </w:tcPr>
          <w:p>
            <w:pPr>
              <w:spacing w:after="0"/>
              <w:jc w:val="center"/>
            </w:pPr>
            <w:r>
              <w:rPr>
                <w:rFonts w:ascii="Calibri" w:hAnsi="Calibri"/>
                <w:color w:val="0B2545"/>
                <w:sz w:val="19"/>
              </w:rPr>
              <w:t>2</w:t>
            </w:r>
          </w:p>
        </w:tc>
        <w:tc>
          <w:tcPr>
            <w:tcW w:type="dxa" w:w="2200"/>
            <w:vAlign w:val="center"/>
            <w:tcMar>
              <w:top w:w="80" w:type="dxa"/>
              <w:start w:w="120" w:type="dxa"/>
              <w:bottom w:w="80" w:type="dxa"/>
              <w:end w:w="120" w:type="dxa"/>
            </w:tcMar>
          </w:tcPr>
          <w:p>
            <w:pPr>
              <w:spacing w:after="0"/>
              <w:jc w:val="left"/>
            </w:pPr>
            <w:r>
              <w:rPr>
                <w:rFonts w:ascii="Calibri" w:hAnsi="Calibri"/>
                <w:color w:val="0B2545"/>
                <w:sz w:val="19"/>
              </w:rPr>
              <w:t>Diagnose and recover</w:t>
            </w:r>
          </w:p>
        </w:tc>
        <w:tc>
          <w:tcPr>
            <w:tcW w:type="dxa" w:w="3400"/>
            <w:vAlign w:val="center"/>
            <w:tcMar>
              <w:top w:w="80" w:type="dxa"/>
              <w:start w:w="120" w:type="dxa"/>
              <w:bottom w:w="80" w:type="dxa"/>
              <w:end w:w="120" w:type="dxa"/>
            </w:tcMar>
          </w:tcPr>
          <w:p>
            <w:pPr>
              <w:spacing w:after="0"/>
              <w:jc w:val="left"/>
            </w:pPr>
            <w:r>
              <w:rPr>
                <w:rFonts w:ascii="Calibri" w:hAnsi="Calibri"/>
                <w:color w:val="0B2545"/>
                <w:sz w:val="19"/>
              </w:rPr>
              <w:t>Troubleshoot, process explorer, approvals</w:t>
            </w:r>
          </w:p>
        </w:tc>
        <w:tc>
          <w:tcPr>
            <w:tcW w:type="dxa" w:w="2860"/>
            <w:vAlign w:val="center"/>
            <w:tcMar>
              <w:top w:w="80" w:type="dxa"/>
              <w:start w:w="120" w:type="dxa"/>
              <w:bottom w:w="80" w:type="dxa"/>
              <w:end w:w="120" w:type="dxa"/>
            </w:tcMar>
          </w:tcPr>
          <w:p>
            <w:pPr>
              <w:spacing w:after="0"/>
              <w:jc w:val="left"/>
            </w:pPr>
            <w:r>
              <w:rPr>
                <w:rFonts w:ascii="Calibri" w:hAnsi="Calibri"/>
                <w:color w:val="0B2545"/>
                <w:sz w:val="19"/>
              </w:rPr>
              <w:t>Completed diagnostic and clear control reasoning</w:t>
            </w:r>
          </w:p>
        </w:tc>
      </w:tr>
      <w:tr>
        <w:tc>
          <w:tcPr>
            <w:tcW w:type="dxa" w:w="900"/>
            <w:vAlign w:val="center"/>
            <w:tcMar>
              <w:top w:w="80" w:type="dxa"/>
              <w:start w:w="120" w:type="dxa"/>
              <w:bottom w:w="80" w:type="dxa"/>
              <w:end w:w="120" w:type="dxa"/>
            </w:tcMar>
          </w:tcPr>
          <w:p>
            <w:pPr>
              <w:spacing w:after="0"/>
              <w:jc w:val="center"/>
            </w:pPr>
            <w:r>
              <w:rPr>
                <w:rFonts w:ascii="Calibri" w:hAnsi="Calibri"/>
                <w:color w:val="0B2545"/>
                <w:sz w:val="19"/>
              </w:rPr>
              <w:t>3</w:t>
            </w:r>
          </w:p>
        </w:tc>
        <w:tc>
          <w:tcPr>
            <w:tcW w:type="dxa" w:w="2200"/>
            <w:vAlign w:val="center"/>
            <w:tcMar>
              <w:top w:w="80" w:type="dxa"/>
              <w:start w:w="120" w:type="dxa"/>
              <w:bottom w:w="80" w:type="dxa"/>
              <w:end w:w="120" w:type="dxa"/>
            </w:tcMar>
          </w:tcPr>
          <w:p>
            <w:pPr>
              <w:spacing w:after="0"/>
              <w:jc w:val="left"/>
            </w:pPr>
            <w:r>
              <w:rPr>
                <w:rFonts w:ascii="Calibri" w:hAnsi="Calibri"/>
                <w:color w:val="0B2545"/>
                <w:sz w:val="19"/>
              </w:rPr>
              <w:t>Connect operations to results</w:t>
            </w:r>
          </w:p>
        </w:tc>
        <w:tc>
          <w:tcPr>
            <w:tcW w:type="dxa" w:w="3400"/>
            <w:vAlign w:val="center"/>
            <w:tcMar>
              <w:top w:w="80" w:type="dxa"/>
              <w:start w:w="120" w:type="dxa"/>
              <w:bottom w:w="80" w:type="dxa"/>
              <w:end w:w="120" w:type="dxa"/>
            </w:tcMar>
          </w:tcPr>
          <w:p>
            <w:pPr>
              <w:spacing w:after="0"/>
              <w:jc w:val="left"/>
            </w:pPr>
            <w:r>
              <w:rPr>
                <w:rFonts w:ascii="Calibri" w:hAnsi="Calibri"/>
                <w:color w:val="0B2545"/>
                <w:sz w:val="19"/>
              </w:rPr>
              <w:t>Simulation studio, analytics, history</w:t>
            </w:r>
          </w:p>
        </w:tc>
        <w:tc>
          <w:tcPr>
            <w:tcW w:type="dxa" w:w="2860"/>
            <w:vAlign w:val="center"/>
            <w:tcMar>
              <w:top w:w="80" w:type="dxa"/>
              <w:start w:w="120" w:type="dxa"/>
              <w:bottom w:w="80" w:type="dxa"/>
              <w:end w:w="120" w:type="dxa"/>
            </w:tcMar>
          </w:tcPr>
          <w:p>
            <w:pPr>
              <w:spacing w:after="0"/>
              <w:jc w:val="left"/>
            </w:pPr>
            <w:r>
              <w:rPr>
                <w:rFonts w:ascii="Calibri" w:hAnsi="Calibri"/>
                <w:color w:val="0B2545"/>
                <w:sz w:val="19"/>
              </w:rPr>
              <w:t>Explained three KPI movements with document evidence</w:t>
            </w:r>
          </w:p>
        </w:tc>
      </w:tr>
      <w:tr>
        <w:tc>
          <w:tcPr>
            <w:tcW w:type="dxa" w:w="900"/>
            <w:vAlign w:val="center"/>
            <w:tcMar>
              <w:top w:w="80" w:type="dxa"/>
              <w:start w:w="120" w:type="dxa"/>
              <w:bottom w:w="80" w:type="dxa"/>
              <w:end w:w="120" w:type="dxa"/>
            </w:tcMar>
          </w:tcPr>
          <w:p>
            <w:pPr>
              <w:spacing w:after="0"/>
              <w:jc w:val="center"/>
            </w:pPr>
            <w:r>
              <w:rPr>
                <w:rFonts w:ascii="Calibri" w:hAnsi="Calibri"/>
                <w:color w:val="0B2545"/>
                <w:sz w:val="19"/>
              </w:rPr>
              <w:t>4</w:t>
            </w:r>
          </w:p>
        </w:tc>
        <w:tc>
          <w:tcPr>
            <w:tcW w:type="dxa" w:w="2200"/>
            <w:vAlign w:val="center"/>
            <w:tcMar>
              <w:top w:w="80" w:type="dxa"/>
              <w:start w:w="120" w:type="dxa"/>
              <w:bottom w:w="80" w:type="dxa"/>
              <w:end w:w="120" w:type="dxa"/>
            </w:tcMar>
          </w:tcPr>
          <w:p>
            <w:pPr>
              <w:spacing w:after="0"/>
              <w:jc w:val="left"/>
            </w:pPr>
            <w:r>
              <w:rPr>
                <w:rFonts w:ascii="Calibri" w:hAnsi="Calibri"/>
                <w:color w:val="0B2545"/>
                <w:sz w:val="19"/>
              </w:rPr>
              <w:t>Prove and present</w:t>
            </w:r>
          </w:p>
        </w:tc>
        <w:tc>
          <w:tcPr>
            <w:tcW w:type="dxa" w:w="3400"/>
            <w:vAlign w:val="center"/>
            <w:tcMar>
              <w:top w:w="80" w:type="dxa"/>
              <w:start w:w="120" w:type="dxa"/>
              <w:bottom w:w="80" w:type="dxa"/>
              <w:end w:w="120" w:type="dxa"/>
            </w:tcMar>
          </w:tcPr>
          <w:p>
            <w:pPr>
              <w:spacing w:after="0"/>
              <w:jc w:val="left"/>
            </w:pPr>
            <w:r>
              <w:rPr>
                <w:rFonts w:ascii="Calibri" w:hAnsi="Calibri"/>
                <w:color w:val="0B2545"/>
                <w:sz w:val="19"/>
              </w:rPr>
              <w:t>Capstone, portfolio, certification export</w:t>
            </w:r>
          </w:p>
        </w:tc>
        <w:tc>
          <w:tcPr>
            <w:tcW w:type="dxa" w:w="2860"/>
            <w:vAlign w:val="center"/>
            <w:tcMar>
              <w:top w:w="80" w:type="dxa"/>
              <w:start w:w="120" w:type="dxa"/>
              <w:bottom w:w="80" w:type="dxa"/>
              <w:end w:w="120" w:type="dxa"/>
            </w:tcMar>
          </w:tcPr>
          <w:p>
            <w:pPr>
              <w:spacing w:after="0"/>
              <w:jc w:val="left"/>
            </w:pPr>
            <w:r>
              <w:rPr>
                <w:rFonts w:ascii="Calibri" w:hAnsi="Calibri"/>
                <w:color w:val="0B2545"/>
                <w:sz w:val="19"/>
              </w:rPr>
              <w:t>Review-ready capstone and a clear learning narrative</w:t>
            </w:r>
          </w:p>
        </w:tc>
      </w:tr>
    </w:tbl>
    <w:p>
      <w:pPr>
        <w:spacing w:after="20"/>
      </w:pPr>
    </w:p>
    <w:p>
      <w:r>
        <w:br w:type="page"/>
      </w:r>
    </w:p>
    <w:p>
      <w:pPr>
        <w:pStyle w:val="Heading1"/>
      </w:pPr>
      <w:r>
        <w:t>13. Glossary</w:t>
      </w:r>
    </w:p>
    <w:p>
      <w:pPr>
        <w:spacing w:after="200"/>
      </w:pPr>
      <w:r>
        <w:rPr>
          <w:rFonts w:ascii="Calibri" w:hAnsi="Calibri"/>
          <w:i/>
          <w:color w:val="1F4D78"/>
          <w:sz w:val="23"/>
        </w:rPr>
        <w:t>Use these plain-language definitions while working through the app.</w:t>
      </w:r>
    </w:p>
    <w:tbl>
      <w:tblPr>
        <w:tblStyle w:val="TableGrid"/>
        <w:tblW w:type="dxa" w:w="9360"/>
        <w:tblLayout w:type="fixed"/>
        <w:tblLook w:firstColumn="1" w:firstRow="1" w:lastColumn="0" w:lastRow="0" w:noHBand="0" w:noVBand="1" w:val="04A0"/>
        <w:jc w:val="left"/>
        <w:tblInd w:w="120" w:type="dxa"/>
      </w:tblPr>
      <w:tblGrid>
        <w:gridCol w:w="2300"/>
        <w:gridCol w:w="7060"/>
      </w:tblGrid>
      <w:tr>
        <w:trPr>
          <w:tblHeader w:val="true"/>
        </w:trPr>
        <w:tc>
          <w:tcPr>
            <w:tcW w:type="dxa" w:w="2300"/>
            <w:vAlign w:val="center"/>
            <w:tcMar>
              <w:top w:w="80" w:type="dxa"/>
              <w:start w:w="120" w:type="dxa"/>
              <w:bottom w:w="80" w:type="dxa"/>
              <w:end w:w="120" w:type="dxa"/>
            </w:tcMar>
            <w:shd w:fill="E8EEF5"/>
          </w:tcPr>
          <w:p>
            <w:pPr>
              <w:jc w:val="center"/>
            </w:pPr>
            <w:r>
              <w:rPr>
                <w:rFonts w:ascii="Calibri" w:hAnsi="Calibri"/>
                <w:b/>
                <w:color w:val="0B2545"/>
                <w:sz w:val="19"/>
              </w:rPr>
              <w:t>Term</w:t>
            </w:r>
          </w:p>
        </w:tc>
        <w:tc>
          <w:tcPr>
            <w:tcW w:type="dxa" w:w="7060"/>
            <w:vAlign w:val="center"/>
            <w:tcMar>
              <w:top w:w="80" w:type="dxa"/>
              <w:start w:w="120" w:type="dxa"/>
              <w:bottom w:w="80" w:type="dxa"/>
              <w:end w:w="120" w:type="dxa"/>
            </w:tcMar>
            <w:shd w:fill="E8EEF5"/>
          </w:tcPr>
          <w:p>
            <w:pPr>
              <w:jc w:val="center"/>
            </w:pPr>
            <w:r>
              <w:rPr>
                <w:rFonts w:ascii="Calibri" w:hAnsi="Calibri"/>
                <w:b/>
                <w:color w:val="0B2545"/>
                <w:sz w:val="19"/>
              </w:rPr>
              <w:t>Simple meaning</w:t>
            </w:r>
          </w:p>
        </w:tc>
      </w:tr>
      <w:tr>
        <w:tc>
          <w:tcPr>
            <w:tcW w:type="dxa" w:w="2300"/>
            <w:vAlign w:val="center"/>
            <w:tcMar>
              <w:top w:w="80" w:type="dxa"/>
              <w:start w:w="120" w:type="dxa"/>
              <w:bottom w:w="80" w:type="dxa"/>
              <w:end w:w="120" w:type="dxa"/>
            </w:tcMar>
          </w:tcPr>
          <w:p>
            <w:pPr>
              <w:spacing w:after="0"/>
              <w:jc w:val="center"/>
            </w:pPr>
            <w:r>
              <w:rPr>
                <w:rFonts w:ascii="Calibri" w:hAnsi="Calibri"/>
                <w:color w:val="0B2545"/>
                <w:sz w:val="19"/>
              </w:rPr>
              <w:t>Document chain</w:t>
            </w:r>
          </w:p>
        </w:tc>
        <w:tc>
          <w:tcPr>
            <w:tcW w:type="dxa" w:w="7060"/>
            <w:vAlign w:val="center"/>
            <w:tcMar>
              <w:top w:w="80" w:type="dxa"/>
              <w:start w:w="120" w:type="dxa"/>
              <w:bottom w:w="80" w:type="dxa"/>
              <w:end w:w="120" w:type="dxa"/>
            </w:tcMar>
          </w:tcPr>
          <w:p>
            <w:pPr>
              <w:spacing w:after="0"/>
              <w:jc w:val="left"/>
            </w:pPr>
            <w:r>
              <w:rPr>
                <w:rFonts w:ascii="Calibri" w:hAnsi="Calibri"/>
                <w:color w:val="0B2545"/>
                <w:sz w:val="19"/>
              </w:rPr>
              <w:t>Linked SAP records showing how one business action leads to the next.</w:t>
            </w:r>
          </w:p>
        </w:tc>
      </w:tr>
      <w:tr>
        <w:tc>
          <w:tcPr>
            <w:tcW w:type="dxa" w:w="2300"/>
            <w:vAlign w:val="center"/>
            <w:tcMar>
              <w:top w:w="80" w:type="dxa"/>
              <w:start w:w="120" w:type="dxa"/>
              <w:bottom w:w="80" w:type="dxa"/>
              <w:end w:w="120" w:type="dxa"/>
            </w:tcMar>
          </w:tcPr>
          <w:p>
            <w:pPr>
              <w:spacing w:after="0"/>
              <w:jc w:val="center"/>
            </w:pPr>
            <w:r>
              <w:rPr>
                <w:rFonts w:ascii="Calibri" w:hAnsi="Calibri"/>
                <w:color w:val="0B2545"/>
                <w:sz w:val="19"/>
              </w:rPr>
              <w:t>Master data</w:t>
            </w:r>
          </w:p>
        </w:tc>
        <w:tc>
          <w:tcPr>
            <w:tcW w:type="dxa" w:w="7060"/>
            <w:vAlign w:val="center"/>
            <w:tcMar>
              <w:top w:w="80" w:type="dxa"/>
              <w:start w:w="120" w:type="dxa"/>
              <w:bottom w:w="80" w:type="dxa"/>
              <w:end w:w="120" w:type="dxa"/>
            </w:tcMar>
          </w:tcPr>
          <w:p>
            <w:pPr>
              <w:spacing w:after="0"/>
              <w:jc w:val="left"/>
            </w:pPr>
            <w:r>
              <w:rPr>
                <w:rFonts w:ascii="Calibri" w:hAnsi="Calibri"/>
                <w:color w:val="0B2545"/>
                <w:sz w:val="19"/>
              </w:rPr>
              <w:t>Relatively stable business records, such as materials, suppliers, customers, BOMs, and work centres, that transactions depend on.</w:t>
            </w:r>
          </w:p>
        </w:tc>
      </w:tr>
      <w:tr>
        <w:tc>
          <w:tcPr>
            <w:tcW w:type="dxa" w:w="2300"/>
            <w:vAlign w:val="center"/>
            <w:tcMar>
              <w:top w:w="80" w:type="dxa"/>
              <w:start w:w="120" w:type="dxa"/>
              <w:bottom w:w="80" w:type="dxa"/>
              <w:end w:w="120" w:type="dxa"/>
            </w:tcMar>
          </w:tcPr>
          <w:p>
            <w:pPr>
              <w:spacing w:after="0"/>
              <w:jc w:val="center"/>
            </w:pPr>
            <w:r>
              <w:rPr>
                <w:rFonts w:ascii="Calibri" w:hAnsi="Calibri"/>
                <w:color w:val="0B2545"/>
                <w:sz w:val="19"/>
              </w:rPr>
              <w:t>Transaction</w:t>
            </w:r>
          </w:p>
        </w:tc>
        <w:tc>
          <w:tcPr>
            <w:tcW w:type="dxa" w:w="7060"/>
            <w:vAlign w:val="center"/>
            <w:tcMar>
              <w:top w:w="80" w:type="dxa"/>
              <w:start w:w="120" w:type="dxa"/>
              <w:bottom w:w="80" w:type="dxa"/>
              <w:end w:w="120" w:type="dxa"/>
            </w:tcMar>
          </w:tcPr>
          <w:p>
            <w:pPr>
              <w:spacing w:after="0"/>
              <w:jc w:val="left"/>
            </w:pPr>
            <w:r>
              <w:rPr>
                <w:rFonts w:ascii="Calibri" w:hAnsi="Calibri"/>
                <w:color w:val="0B2545"/>
                <w:sz w:val="19"/>
              </w:rPr>
              <w:t>A business action recorded in an SAP app or transaction code.</w:t>
            </w:r>
          </w:p>
        </w:tc>
      </w:tr>
      <w:tr>
        <w:tc>
          <w:tcPr>
            <w:tcW w:type="dxa" w:w="2300"/>
            <w:vAlign w:val="center"/>
            <w:tcMar>
              <w:top w:w="80" w:type="dxa"/>
              <w:start w:w="120" w:type="dxa"/>
              <w:bottom w:w="80" w:type="dxa"/>
              <w:end w:w="120" w:type="dxa"/>
            </w:tcMar>
          </w:tcPr>
          <w:p>
            <w:pPr>
              <w:spacing w:after="0"/>
              <w:jc w:val="center"/>
            </w:pPr>
            <w:r>
              <w:rPr>
                <w:rFonts w:ascii="Calibri" w:hAnsi="Calibri"/>
                <w:color w:val="0B2545"/>
                <w:sz w:val="19"/>
              </w:rPr>
              <w:t>Posting</w:t>
            </w:r>
          </w:p>
        </w:tc>
        <w:tc>
          <w:tcPr>
            <w:tcW w:type="dxa" w:w="7060"/>
            <w:vAlign w:val="center"/>
            <w:tcMar>
              <w:top w:w="80" w:type="dxa"/>
              <w:start w:w="120" w:type="dxa"/>
              <w:bottom w:w="80" w:type="dxa"/>
              <w:end w:w="120" w:type="dxa"/>
            </w:tcMar>
          </w:tcPr>
          <w:p>
            <w:pPr>
              <w:spacing w:after="0"/>
              <w:jc w:val="left"/>
            </w:pPr>
            <w:r>
              <w:rPr>
                <w:rFonts w:ascii="Calibri" w:hAnsi="Calibri"/>
                <w:color w:val="0B2545"/>
                <w:sz w:val="19"/>
              </w:rPr>
              <w:t>A recorded operational or financial effect, often creating a material or accounting document.</w:t>
            </w:r>
          </w:p>
        </w:tc>
      </w:tr>
      <w:tr>
        <w:tc>
          <w:tcPr>
            <w:tcW w:type="dxa" w:w="2300"/>
            <w:vAlign w:val="center"/>
            <w:tcMar>
              <w:top w:w="80" w:type="dxa"/>
              <w:start w:w="120" w:type="dxa"/>
              <w:bottom w:w="80" w:type="dxa"/>
              <w:end w:w="120" w:type="dxa"/>
            </w:tcMar>
          </w:tcPr>
          <w:p>
            <w:pPr>
              <w:spacing w:after="0"/>
              <w:jc w:val="center"/>
            </w:pPr>
            <w:r>
              <w:rPr>
                <w:rFonts w:ascii="Calibri" w:hAnsi="Calibri"/>
                <w:color w:val="0B2545"/>
                <w:sz w:val="19"/>
              </w:rPr>
              <w:t>Journal evidence</w:t>
            </w:r>
          </w:p>
        </w:tc>
        <w:tc>
          <w:tcPr>
            <w:tcW w:type="dxa" w:w="7060"/>
            <w:vAlign w:val="center"/>
            <w:tcMar>
              <w:top w:w="80" w:type="dxa"/>
              <w:start w:w="120" w:type="dxa"/>
              <w:bottom w:w="80" w:type="dxa"/>
              <w:end w:w="120" w:type="dxa"/>
            </w:tcMar>
          </w:tcPr>
          <w:p>
            <w:pPr>
              <w:spacing w:after="0"/>
              <w:jc w:val="left"/>
            </w:pPr>
            <w:r>
              <w:rPr>
                <w:rFonts w:ascii="Calibri" w:hAnsi="Calibri"/>
                <w:color w:val="0B2545"/>
                <w:sz w:val="19"/>
              </w:rPr>
              <w:t>Debit and credit entries that prove the financial effect of an event.</w:t>
            </w:r>
          </w:p>
        </w:tc>
      </w:tr>
      <w:tr>
        <w:tc>
          <w:tcPr>
            <w:tcW w:type="dxa" w:w="2300"/>
            <w:vAlign w:val="center"/>
            <w:tcMar>
              <w:top w:w="80" w:type="dxa"/>
              <w:start w:w="120" w:type="dxa"/>
              <w:bottom w:w="80" w:type="dxa"/>
              <w:end w:w="120" w:type="dxa"/>
            </w:tcMar>
          </w:tcPr>
          <w:p>
            <w:pPr>
              <w:spacing w:after="0"/>
              <w:jc w:val="left"/>
            </w:pPr>
            <w:r>
              <w:rPr>
                <w:rFonts w:ascii="Calibri" w:hAnsi="Calibri"/>
                <w:color w:val="0B2545"/>
                <w:sz w:val="19"/>
              </w:rPr>
              <w:t>Upstream / downstream</w:t>
            </w:r>
          </w:p>
        </w:tc>
        <w:tc>
          <w:tcPr>
            <w:tcW w:type="dxa" w:w="7060"/>
            <w:vAlign w:val="center"/>
            <w:tcMar>
              <w:top w:w="80" w:type="dxa"/>
              <w:start w:w="120" w:type="dxa"/>
              <w:bottom w:w="80" w:type="dxa"/>
              <w:end w:w="120" w:type="dxa"/>
            </w:tcMar>
          </w:tcPr>
          <w:p>
            <w:pPr>
              <w:spacing w:after="0"/>
              <w:jc w:val="left"/>
            </w:pPr>
            <w:r>
              <w:rPr>
                <w:rFonts w:ascii="Calibri" w:hAnsi="Calibri"/>
                <w:color w:val="0B2545"/>
                <w:sz w:val="19"/>
              </w:rPr>
              <w:t>The source that came before a document and the process or document that follows it.</w:t>
            </w:r>
          </w:p>
        </w:tc>
      </w:tr>
      <w:tr>
        <w:tc>
          <w:tcPr>
            <w:tcW w:type="dxa" w:w="2300"/>
            <w:vAlign w:val="center"/>
            <w:tcMar>
              <w:top w:w="80" w:type="dxa"/>
              <w:start w:w="120" w:type="dxa"/>
              <w:bottom w:w="80" w:type="dxa"/>
              <w:end w:w="120" w:type="dxa"/>
            </w:tcMar>
          </w:tcPr>
          <w:p>
            <w:pPr>
              <w:spacing w:after="0"/>
              <w:jc w:val="center"/>
            </w:pPr>
            <w:r>
              <w:rPr>
                <w:rFonts w:ascii="Calibri" w:hAnsi="Calibri"/>
                <w:color w:val="0B2545"/>
                <w:sz w:val="19"/>
              </w:rPr>
              <w:t>Control</w:t>
            </w:r>
          </w:p>
        </w:tc>
        <w:tc>
          <w:tcPr>
            <w:tcW w:type="dxa" w:w="7060"/>
            <w:vAlign w:val="center"/>
            <w:tcMar>
              <w:top w:w="80" w:type="dxa"/>
              <w:start w:w="120" w:type="dxa"/>
              <w:bottom w:w="80" w:type="dxa"/>
              <w:end w:w="120" w:type="dxa"/>
            </w:tcMar>
          </w:tcPr>
          <w:p>
            <w:pPr>
              <w:spacing w:after="0"/>
              <w:jc w:val="left"/>
            </w:pPr>
            <w:r>
              <w:rPr>
                <w:rFonts w:ascii="Calibri" w:hAnsi="Calibri"/>
                <w:color w:val="0B2545"/>
                <w:sz w:val="19"/>
              </w:rPr>
              <w:t>A rule, validation, approval, match, tolerance, or segregation that reduces error or misuse.</w:t>
            </w:r>
          </w:p>
        </w:tc>
      </w:tr>
      <w:tr>
        <w:tc>
          <w:tcPr>
            <w:tcW w:type="dxa" w:w="2300"/>
            <w:vAlign w:val="center"/>
            <w:tcMar>
              <w:top w:w="80" w:type="dxa"/>
              <w:start w:w="120" w:type="dxa"/>
              <w:bottom w:w="80" w:type="dxa"/>
              <w:end w:w="120" w:type="dxa"/>
            </w:tcMar>
          </w:tcPr>
          <w:p>
            <w:pPr>
              <w:spacing w:after="0"/>
              <w:jc w:val="center"/>
            </w:pPr>
            <w:r>
              <w:rPr>
                <w:rFonts w:ascii="Calibri" w:hAnsi="Calibri"/>
                <w:color w:val="0B2545"/>
                <w:sz w:val="19"/>
              </w:rPr>
              <w:t>Readiness</w:t>
            </w:r>
          </w:p>
        </w:tc>
        <w:tc>
          <w:tcPr>
            <w:tcW w:type="dxa" w:w="7060"/>
            <w:vAlign w:val="center"/>
            <w:tcMar>
              <w:top w:w="80" w:type="dxa"/>
              <w:start w:w="120" w:type="dxa"/>
              <w:bottom w:w="80" w:type="dxa"/>
              <w:end w:w="120" w:type="dxa"/>
            </w:tcMar>
          </w:tcPr>
          <w:p>
            <w:pPr>
              <w:spacing w:after="0"/>
              <w:jc w:val="left"/>
            </w:pPr>
            <w:r>
              <w:rPr>
                <w:rFonts w:ascii="Calibri" w:hAnsi="Calibri"/>
                <w:color w:val="0B2545"/>
                <w:sz w:val="19"/>
              </w:rPr>
              <w:t>SAP World's evidence-based estimate of learning progress, not an official professional certification.</w:t>
            </w:r>
          </w:p>
        </w:tc>
      </w:tr>
      <w:tr>
        <w:tc>
          <w:tcPr>
            <w:tcW w:type="dxa" w:w="2300"/>
            <w:vAlign w:val="center"/>
            <w:tcMar>
              <w:top w:w="80" w:type="dxa"/>
              <w:start w:w="120" w:type="dxa"/>
              <w:bottom w:w="80" w:type="dxa"/>
              <w:end w:w="120" w:type="dxa"/>
            </w:tcMar>
          </w:tcPr>
          <w:p>
            <w:pPr>
              <w:spacing w:after="0"/>
              <w:jc w:val="center"/>
            </w:pPr>
            <w:r>
              <w:rPr>
                <w:rFonts w:ascii="Calibri" w:hAnsi="Calibri"/>
                <w:color w:val="0B2545"/>
                <w:sz w:val="19"/>
              </w:rPr>
              <w:t>Capstone</w:t>
            </w:r>
          </w:p>
        </w:tc>
        <w:tc>
          <w:tcPr>
            <w:tcW w:type="dxa" w:w="7060"/>
            <w:vAlign w:val="center"/>
            <w:tcMar>
              <w:top w:w="80" w:type="dxa"/>
              <w:start w:w="120" w:type="dxa"/>
              <w:bottom w:w="80" w:type="dxa"/>
              <w:end w:w="120" w:type="dxa"/>
            </w:tcMar>
          </w:tcPr>
          <w:p>
            <w:pPr>
              <w:spacing w:after="0"/>
              <w:jc w:val="left"/>
            </w:pPr>
            <w:r>
              <w:rPr>
                <w:rFonts w:ascii="Calibri" w:hAnsi="Calibri"/>
                <w:color w:val="0B2545"/>
                <w:sz w:val="19"/>
              </w:rPr>
              <w:t>A scenario-based assessment that asks the learner to explain and evidence an end-to-end process.</w:t>
            </w:r>
          </w:p>
        </w:tc>
      </w:tr>
      <w:tr>
        <w:tc>
          <w:tcPr>
            <w:tcW w:type="dxa" w:w="2300"/>
            <w:vAlign w:val="center"/>
            <w:tcMar>
              <w:top w:w="80" w:type="dxa"/>
              <w:start w:w="120" w:type="dxa"/>
              <w:bottom w:w="80" w:type="dxa"/>
              <w:end w:w="120" w:type="dxa"/>
            </w:tcMar>
          </w:tcPr>
          <w:p>
            <w:pPr>
              <w:spacing w:after="0"/>
              <w:jc w:val="left"/>
            </w:pPr>
            <w:r>
              <w:rPr>
                <w:rFonts w:ascii="Calibri" w:hAnsi="Calibri"/>
                <w:color w:val="0B2545"/>
                <w:sz w:val="19"/>
              </w:rPr>
              <w:t>Scenario signature</w:t>
            </w:r>
          </w:p>
        </w:tc>
        <w:tc>
          <w:tcPr>
            <w:tcW w:type="dxa" w:w="7060"/>
            <w:vAlign w:val="center"/>
            <w:tcMar>
              <w:top w:w="80" w:type="dxa"/>
              <w:start w:w="120" w:type="dxa"/>
              <w:bottom w:w="80" w:type="dxa"/>
              <w:end w:w="120" w:type="dxa"/>
            </w:tcMar>
          </w:tcPr>
          <w:p>
            <w:pPr>
              <w:spacing w:after="0"/>
              <w:jc w:val="left"/>
            </w:pPr>
            <w:r>
              <w:rPr>
                <w:rFonts w:ascii="Calibri" w:hAnsi="Calibri"/>
                <w:color w:val="0B2545"/>
                <w:sz w:val="19"/>
              </w:rPr>
              <w:t>A stable identifier derived from simulation choices so results can be reproduced and reused.</w:t>
            </w:r>
          </w:p>
        </w:tc>
      </w:tr>
      <w:tr>
        <w:tc>
          <w:tcPr>
            <w:tcW w:type="dxa" w:w="2300"/>
            <w:vAlign w:val="center"/>
            <w:tcMar>
              <w:top w:w="80" w:type="dxa"/>
              <w:start w:w="120" w:type="dxa"/>
              <w:bottom w:w="80" w:type="dxa"/>
              <w:end w:w="120" w:type="dxa"/>
            </w:tcMar>
          </w:tcPr>
          <w:p>
            <w:pPr>
              <w:spacing w:after="0"/>
              <w:jc w:val="center"/>
            </w:pPr>
            <w:r>
              <w:rPr>
                <w:rFonts w:ascii="Calibri" w:hAnsi="Calibri"/>
                <w:color w:val="0B2545"/>
                <w:sz w:val="19"/>
              </w:rPr>
              <w:t>OIDC / SAML</w:t>
            </w:r>
          </w:p>
        </w:tc>
        <w:tc>
          <w:tcPr>
            <w:tcW w:type="dxa" w:w="7060"/>
            <w:vAlign w:val="center"/>
            <w:tcMar>
              <w:top w:w="80" w:type="dxa"/>
              <w:start w:w="120" w:type="dxa"/>
              <w:bottom w:w="80" w:type="dxa"/>
              <w:end w:w="120" w:type="dxa"/>
            </w:tcMar>
          </w:tcPr>
          <w:p>
            <w:pPr>
              <w:spacing w:after="0"/>
              <w:jc w:val="left"/>
            </w:pPr>
            <w:r>
              <w:rPr>
                <w:rFonts w:ascii="Calibri" w:hAnsi="Calibri"/>
                <w:color w:val="0B2545"/>
                <w:sz w:val="19"/>
              </w:rPr>
              <w:t>Enterprise identity standards used to connect an organisation's sign-in provider.</w:t>
            </w:r>
          </w:p>
        </w:tc>
      </w:tr>
    </w:tbl>
    <w:p>
      <w:pPr>
        <w:spacing w:after="20"/>
      </w:pPr>
    </w:p>
    <w:p>
      <w:pPr>
        <w:pStyle w:val="Heading2"/>
      </w:pPr>
      <w:r>
        <w:t>Finish each session with this checklist</w:t>
      </w:r>
    </w:p>
    <w:p>
      <w:pPr>
        <w:pStyle w:val="ListBullet"/>
      </w:pPr>
      <w:r>
        <w:t>I can explain the business purpose of the work I completed.</w:t>
      </w:r>
    </w:p>
    <w:p>
      <w:pPr>
        <w:pStyle w:val="ListBullet"/>
      </w:pPr>
      <w:r>
        <w:t>I can identify the document or status that proves completion.</w:t>
      </w:r>
    </w:p>
    <w:p>
      <w:pPr>
        <w:pStyle w:val="ListBullet"/>
      </w:pPr>
      <w:r>
        <w:t>I can describe at least one upstream and one downstream effect.</w:t>
      </w:r>
    </w:p>
    <w:p>
      <w:pPr>
        <w:pStyle w:val="ListBullet"/>
      </w:pPr>
      <w:r>
        <w:t>I recorded evidence without real confidential or personal data.</w:t>
      </w:r>
    </w:p>
    <w:p>
      <w:pPr>
        <w:pStyle w:val="ListBullet"/>
      </w:pPr>
      <w:r>
        <w:t>I reviewed corrective feedback and my next best action.</w:t>
      </w:r>
    </w:p>
    <w:p>
      <w:pPr>
        <w:pStyle w:val="ListBullet"/>
      </w:pPr>
      <w:r>
        <w:t>I signed out if I used a shared device.</w:t>
      </w:r>
    </w:p>
    <w:p>
      <w:pPr>
        <w:spacing w:before="60" w:after="160"/>
        <w:ind w:left="115" w:right="115"/>
        <w:shd w:fill="E8EEF5"/>
        <w:pBdr>
          <w:top w:val="single" w:sz="4" w:space="6" w:color="D7DBE2"/>
          <w:left w:val="single" w:sz="4" w:space="6" w:color="D7DBE2"/>
          <w:bottom w:val="single" w:sz="4" w:space="6" w:color="D7DBE2"/>
          <w:right w:val="single" w:sz="4" w:space="6" w:color="D7DBE2"/>
        </w:pBdr>
      </w:pPr>
      <w:r>
        <w:rPr>
          <w:rFonts w:ascii="Calibri" w:hAnsi="Calibri"/>
          <w:b/>
          <w:color w:val="2E74B5"/>
          <w:sz w:val="21"/>
        </w:rPr>
        <w:t xml:space="preserve">App reference: </w:t>
      </w:r>
      <w:r>
        <w:rPr>
          <w:rFonts w:ascii="Calibri" w:hAnsi="Calibri"/>
          <w:color w:val="0B2545"/>
          <w:sz w:val="21"/>
        </w:rPr>
        <w:t>Enterprise overview -&gt; Next best action; account menu -&gt; Sign out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B7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A"/>
        <w:sz w:val="18"/>
      </w:rPr>
      <w:t>SAP World User Manual</w:t>
    </w:r>
    <w:r>
      <w:rPr>
        <w:rFonts w:ascii="Calibri" w:hAnsi="Calibri"/>
        <w:color w:val="5F6B7A"/>
        <w:sz w:val="18"/>
      </w:rPr>
      <w:t xml:space="preserve">  |  Learner and Administrator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