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Label"/>
      </w:pPr>
      <w:r>
        <w:t>FINAL WEBSITE COPY</w:t>
      </w:r>
    </w:p>
    <w:p>
      <w:pPr>
        <w:pStyle w:val="Title"/>
      </w:pPr>
      <w:r>
        <w:t>Quality Management System Services</w:t>
      </w:r>
    </w:p>
    <w:p>
      <w:r>
        <w:rPr>
          <w:color w:val="5D6973"/>
          <w:sz w:val="24"/>
        </w:rPr>
        <w:t>ISO 9001:2015 &amp; AS9100D website content for AeroSpark - SEO-ready, clear and ready to paste.</w:t>
      </w:r>
    </w:p>
    <w:p>
      <w:pPr>
        <w:pStyle w:val="Heading2"/>
      </w:pPr>
      <w:r>
        <w:t>SEO setup</w:t>
      </w:r>
    </w:p>
    <w:tbl>
      <w:tblPr>
        <w:tblW w:type="auto" w:w="0"/>
        <w:jc w:val="center"/>
        <w:tblLayout w:type="fixed"/>
        <w:tblLook w:firstColumn="1" w:firstRow="1" w:lastColumn="0" w:lastRow="0" w:noHBand="0" w:noVBand="1" w:val="04A0"/>
      </w:tblPr>
      <w:tblGrid>
        <w:gridCol w:w="2376"/>
        <w:gridCol w:w="8136"/>
      </w:tblGrid>
      <w:tr>
        <w:trPr>
          <w:tblHeader w:val="true"/>
          <w:cantSplit/>
        </w:trPr>
        <w:tc>
          <w:tcPr>
            <w:tcW w:type="dxa" w:w="5040"/>
            <w:shd w:fill="17324D"/>
            <w:tcMar>
              <w:top w:w="120" w:type="dxa"/>
              <w:start w:w="140" w:type="dxa"/>
              <w:bottom w:w="120" w:type="dxa"/>
              <w:end w:w="140" w:type="dxa"/>
            </w:tcMar>
          </w:tcPr>
          <w:p>
            <w:r>
              <w:rPr>
                <w:b/>
                <w:color w:val="FFFFFF"/>
                <w:sz w:val="19"/>
              </w:rPr>
              <w:t>Element</w:t>
            </w:r>
          </w:p>
        </w:tc>
        <w:tc>
          <w:tcPr>
            <w:tcW w:type="dxa" w:w="5040"/>
            <w:shd w:fill="17324D"/>
            <w:tcMar>
              <w:top w:w="120" w:type="dxa"/>
              <w:start w:w="140" w:type="dxa"/>
              <w:bottom w:w="120" w:type="dxa"/>
              <w:end w:w="140" w:type="dxa"/>
            </w:tcMar>
          </w:tcPr>
          <w:p>
            <w:r>
              <w:rPr>
                <w:b/>
                <w:color w:val="FFFFFF"/>
                <w:sz w:val="19"/>
              </w:rPr>
              <w:t>Recommended content</w:t>
            </w:r>
          </w:p>
        </w:tc>
      </w:tr>
      <w:tr>
        <w:trPr>
          <w:cantSplit/>
        </w:trPr>
        <w:tc>
          <w:tcPr>
            <w:tcW w:type="dxa" w:w="2376"/>
            <w:shd w:fill="EEF4F8"/>
            <w:tcMar>
              <w:top w:w="120" w:type="dxa"/>
              <w:start w:w="140" w:type="dxa"/>
              <w:bottom w:w="120" w:type="dxa"/>
              <w:end w:w="140" w:type="dxa"/>
            </w:tcMar>
            <w:vAlign w:val="center"/>
          </w:tcPr>
          <w:p>
            <w:r>
              <w:rPr>
                <w:b/>
                <w:sz w:val="19"/>
              </w:rPr>
              <w:t>Page URL</w:t>
            </w:r>
          </w:p>
        </w:tc>
        <w:tc>
          <w:tcPr>
            <w:tcW w:type="dxa" w:w="8136"/>
            <w:shd w:fill="EEF4F8"/>
            <w:tcMar>
              <w:top w:w="120" w:type="dxa"/>
              <w:start w:w="140" w:type="dxa"/>
              <w:bottom w:w="120" w:type="dxa"/>
              <w:end w:w="140" w:type="dxa"/>
            </w:tcMar>
            <w:vAlign w:val="center"/>
          </w:tcPr>
          <w:p>
            <w:r>
              <w:rPr>
                <w:sz w:val="19"/>
              </w:rPr>
              <w:t>/consultation/quality-management-system-services</w:t>
            </w:r>
          </w:p>
        </w:tc>
      </w:tr>
      <w:tr>
        <w:trPr>
          <w:cantSplit/>
        </w:trPr>
        <w:tc>
          <w:tcPr>
            <w:tcW w:type="dxa" w:w="2376"/>
            <w:shd w:fill="F5F7F9"/>
            <w:tcMar>
              <w:top w:w="120" w:type="dxa"/>
              <w:start w:w="140" w:type="dxa"/>
              <w:bottom w:w="120" w:type="dxa"/>
              <w:end w:w="140" w:type="dxa"/>
            </w:tcMar>
            <w:vAlign w:val="center"/>
          </w:tcPr>
          <w:p>
            <w:r>
              <w:rPr>
                <w:b/>
                <w:sz w:val="19"/>
              </w:rPr>
              <w:t>Meta title</w:t>
            </w:r>
          </w:p>
        </w:tc>
        <w:tc>
          <w:tcPr>
            <w:tcW w:type="dxa" w:w="8136"/>
            <w:shd w:fill="F5F7F9"/>
            <w:tcMar>
              <w:top w:w="120" w:type="dxa"/>
              <w:start w:w="140" w:type="dxa"/>
              <w:bottom w:w="120" w:type="dxa"/>
              <w:end w:w="140" w:type="dxa"/>
            </w:tcMar>
            <w:vAlign w:val="center"/>
          </w:tcPr>
          <w:p>
            <w:r>
              <w:rPr>
                <w:sz w:val="19"/>
              </w:rPr>
              <w:t>ISO 9001 &amp; AS9100D QMS Services India | AeroSpark</w:t>
            </w:r>
          </w:p>
        </w:tc>
      </w:tr>
      <w:tr>
        <w:trPr>
          <w:cantSplit/>
        </w:trPr>
        <w:tc>
          <w:tcPr>
            <w:tcW w:type="dxa" w:w="2376"/>
            <w:shd w:fill="EEF4F8"/>
            <w:tcMar>
              <w:top w:w="120" w:type="dxa"/>
              <w:start w:w="140" w:type="dxa"/>
              <w:bottom w:w="120" w:type="dxa"/>
              <w:end w:w="140" w:type="dxa"/>
            </w:tcMar>
            <w:vAlign w:val="center"/>
          </w:tcPr>
          <w:p>
            <w:r>
              <w:rPr>
                <w:b/>
                <w:sz w:val="19"/>
              </w:rPr>
              <w:t>Meta description</w:t>
            </w:r>
          </w:p>
        </w:tc>
        <w:tc>
          <w:tcPr>
            <w:tcW w:type="dxa" w:w="8136"/>
            <w:shd w:fill="EEF4F8"/>
            <w:tcMar>
              <w:top w:w="120" w:type="dxa"/>
              <w:start w:w="140" w:type="dxa"/>
              <w:bottom w:w="120" w:type="dxa"/>
              <w:end w:w="140" w:type="dxa"/>
            </w:tcMar>
            <w:vAlign w:val="center"/>
          </w:tcPr>
          <w:p>
            <w:r>
              <w:rPr>
                <w:sz w:val="19"/>
              </w:rPr>
              <w:t>Complete Quality Management System services for ISO 9001:2015 and AS9100D, including gap analysis, documentation, implementation, training, audits and observation closure.</w:t>
            </w:r>
          </w:p>
        </w:tc>
      </w:tr>
      <w:tr>
        <w:trPr>
          <w:cantSplit/>
        </w:trPr>
        <w:tc>
          <w:tcPr>
            <w:tcW w:type="dxa" w:w="2376"/>
            <w:shd w:fill="F5F7F9"/>
            <w:tcMar>
              <w:top w:w="120" w:type="dxa"/>
              <w:start w:w="140" w:type="dxa"/>
              <w:bottom w:w="120" w:type="dxa"/>
              <w:end w:w="140" w:type="dxa"/>
            </w:tcMar>
            <w:vAlign w:val="center"/>
          </w:tcPr>
          <w:p>
            <w:r>
              <w:rPr>
                <w:b/>
                <w:sz w:val="19"/>
              </w:rPr>
              <w:t>Primary keyword</w:t>
            </w:r>
          </w:p>
        </w:tc>
        <w:tc>
          <w:tcPr>
            <w:tcW w:type="dxa" w:w="8136"/>
            <w:shd w:fill="F5F7F9"/>
            <w:tcMar>
              <w:top w:w="120" w:type="dxa"/>
              <w:start w:w="140" w:type="dxa"/>
              <w:bottom w:w="120" w:type="dxa"/>
              <w:end w:w="140" w:type="dxa"/>
            </w:tcMar>
            <w:vAlign w:val="center"/>
          </w:tcPr>
          <w:p>
            <w:r>
              <w:rPr>
                <w:sz w:val="19"/>
              </w:rPr>
              <w:t>Quality Management System Services</w:t>
            </w:r>
          </w:p>
        </w:tc>
      </w:tr>
      <w:tr>
        <w:trPr>
          <w:cantSplit/>
        </w:trPr>
        <w:tc>
          <w:tcPr>
            <w:tcW w:type="dxa" w:w="2376"/>
            <w:shd w:fill="EEF4F8"/>
            <w:tcMar>
              <w:top w:w="120" w:type="dxa"/>
              <w:start w:w="140" w:type="dxa"/>
              <w:bottom w:w="120" w:type="dxa"/>
              <w:end w:w="140" w:type="dxa"/>
            </w:tcMar>
            <w:vAlign w:val="center"/>
          </w:tcPr>
          <w:p>
            <w:r>
              <w:rPr>
                <w:b/>
                <w:sz w:val="19"/>
              </w:rPr>
              <w:t>Supporting keywords</w:t>
            </w:r>
          </w:p>
        </w:tc>
        <w:tc>
          <w:tcPr>
            <w:tcW w:type="dxa" w:w="8136"/>
            <w:shd w:fill="EEF4F8"/>
            <w:tcMar>
              <w:top w:w="120" w:type="dxa"/>
              <w:start w:w="140" w:type="dxa"/>
              <w:bottom w:w="120" w:type="dxa"/>
              <w:end w:w="140" w:type="dxa"/>
            </w:tcMar>
            <w:vAlign w:val="center"/>
          </w:tcPr>
          <w:p>
            <w:r>
              <w:rPr>
                <w:sz w:val="19"/>
              </w:rPr>
              <w:t>ISO 9001 consulting services, AS9100D consulting services, QMS implementation, quality certification support, aerospace QMS consultant India</w:t>
            </w:r>
          </w:p>
        </w:tc>
      </w:tr>
    </w:tbl>
    <w:p>
      <w:r>
        <w:br w:type="page"/>
      </w:r>
    </w:p>
    <w:p>
      <w:pPr>
        <w:pStyle w:val="Label"/>
      </w:pPr>
      <w:r>
        <w:t>H1</w:t>
      </w:r>
    </w:p>
    <w:p>
      <w:pPr>
        <w:pStyle w:val="Heading1"/>
      </w:pPr>
      <w:r>
        <w:t>Quality Management System Services</w:t>
      </w:r>
    </w:p>
    <w:p>
      <w:r>
        <w:rPr>
          <w:b/>
          <w:color w:val="00A7A5"/>
          <w:sz w:val="26"/>
        </w:rPr>
        <w:t>ISO 9001:2015 &amp; AS9100D</w:t>
      </w:r>
    </w:p>
    <w:tbl>
      <w:tblPr>
        <w:tblW w:type="auto" w:w="0"/>
        <w:jc w:val="center"/>
        <w:tblLook w:firstColumn="1" w:firstRow="1" w:lastColumn="0" w:lastRow="0" w:noHBand="0" w:noVBand="1" w:val="04A0"/>
      </w:tblPr>
      <w:tblGrid>
        <w:gridCol w:w="10080"/>
      </w:tblGrid>
      <w:tr>
        <w:trPr>
          <w:cantSplit/>
        </w:trPr>
        <w:tc>
          <w:tcPr>
            <w:tcW w:type="dxa" w:w="10080"/>
            <w:shd w:fill="EAF8F7"/>
            <w:tcMar>
              <w:top w:w="220" w:type="dxa"/>
              <w:start w:w="240" w:type="dxa"/>
              <w:bottom w:w="220" w:type="dxa"/>
              <w:end w:w="240" w:type="dxa"/>
            </w:tcMar>
          </w:tcPr>
          <w:p>
            <w:r>
              <w:rPr>
                <w:b/>
                <w:color w:val="17324D"/>
                <w:sz w:val="30"/>
              </w:rPr>
              <w:t>Build a quality system your team can use - not a folder created only for an audit.</w:t>
            </w:r>
          </w:p>
          <w:p>
            <w:r>
              <w:t>AeroSpark provides complete Quality Management System services in India for organizations seeking ISO 9001:2015 or AS9100D certification. From gap analysis and QMS documentation to implementation, team training, internal audits and certification audit support, we help turn quality requirements into practical day-to-day processes.</w:t>
            </w:r>
          </w:p>
          <w:p>
            <w:r>
              <w:rPr>
                <w:b/>
                <w:color w:val="00A7A5"/>
              </w:rPr>
              <w:t>Primary CTA: Start your QMS journey   |   Secondary CTA: Talk to a quality consultant</w:t>
            </w:r>
          </w:p>
        </w:tc>
      </w:tr>
    </w:tbl>
    <w:p>
      <w:pPr>
        <w:pStyle w:val="Heading2"/>
      </w:pPr>
      <w:r>
        <w:t>One quality framework. Two certification pathways.</w:t>
      </w:r>
    </w:p>
    <w:p>
      <w:r>
        <w:t>Choose the standard that matches your organization, customer expectations and supply-chain requirements. AeroSpark can build a new QMS from the ground up, strengthen an existing system or support an organization preparing for certification audits.</w:t>
      </w:r>
    </w:p>
    <w:tbl>
      <w:tblPr>
        <w:tblW w:type="auto" w:w="0"/>
        <w:jc w:val="center"/>
        <w:tblLayout w:type="fixed"/>
        <w:tblLook w:firstColumn="1" w:firstRow="1" w:lastColumn="0" w:lastRow="0" w:noHBand="0" w:noVBand="1" w:val="04A0"/>
      </w:tblPr>
      <w:tblGrid>
        <w:gridCol w:w="5256"/>
        <w:gridCol w:w="5256"/>
      </w:tblGrid>
      <w:tr>
        <w:trPr>
          <w:cantSplit/>
        </w:trPr>
        <w:tc>
          <w:tcPr>
            <w:tcW w:type="dxa" w:w="5040"/>
            <w:shd w:fill="EEF4F8"/>
            <w:tcMar>
              <w:top w:w="190" w:type="dxa"/>
              <w:start w:w="190" w:type="dxa"/>
              <w:bottom w:w="190" w:type="dxa"/>
              <w:end w:w="190" w:type="dxa"/>
            </w:tcMar>
          </w:tcPr>
          <w:p>
            <w:r>
              <w:rPr>
                <w:b/>
                <w:color w:val="17324D"/>
                <w:sz w:val="26"/>
              </w:rPr>
              <w:t>ISO 9001:2015</w:t>
            </w:r>
          </w:p>
          <w:p>
            <w:pPr>
              <w:spacing w:after="40"/>
            </w:pPr>
            <w:r>
              <w:t>A globally recognized Quality Management System standard suitable for organizations of any size or industry. It helps establish consistent processes, improve customer confidence, manage risks and drive continual improvement.</w:t>
            </w:r>
          </w:p>
          <w:p>
            <w:r>
              <w:rPr>
                <w:b/>
              </w:rPr>
              <w:t xml:space="preserve">Best suited for: </w:t>
            </w:r>
            <w:r>
              <w:t>manufacturing, engineering, services, technology, laboratories, startups and growing businesses.</w:t>
            </w:r>
          </w:p>
        </w:tc>
        <w:tc>
          <w:tcPr>
            <w:tcW w:type="dxa" w:w="5040"/>
            <w:shd w:fill="F5F7F9"/>
            <w:tcMar>
              <w:top w:w="190" w:type="dxa"/>
              <w:start w:w="190" w:type="dxa"/>
              <w:bottom w:w="190" w:type="dxa"/>
              <w:end w:w="190" w:type="dxa"/>
            </w:tcMar>
          </w:tcPr>
          <w:p>
            <w:r>
              <w:rPr>
                <w:b/>
                <w:color w:val="17324D"/>
                <w:sz w:val="26"/>
              </w:rPr>
              <w:t>AS9100D</w:t>
            </w:r>
          </w:p>
          <w:p>
            <w:pPr>
              <w:spacing w:after="40"/>
            </w:pPr>
            <w:r>
              <w:t>An aerospace Quality Management System standard that builds on ISO 9001 and adds stronger controls for aviation, space and defence supply chains, including product safety, configuration management, operational risk and supplier quality.</w:t>
            </w:r>
          </w:p>
          <w:p>
            <w:r>
              <w:rPr>
                <w:b/>
              </w:rPr>
              <w:t xml:space="preserve">Best suited for: </w:t>
            </w:r>
            <w:r>
              <w:t>drone manufacturers, aerospace and defence organizations, design companies, component suppliers and precision manufacturers.</w:t>
            </w:r>
          </w:p>
        </w:tc>
      </w:tr>
    </w:tbl>
    <w:p>
      <w:pPr>
        <w:pStyle w:val="Heading2"/>
      </w:pPr>
      <w:r>
        <w:t>What AeroSpark supports</w:t>
      </w:r>
    </w:p>
    <w:p>
      <w:r>
        <w:t>Our service covers the complete path from understanding your current processes to preparing your team for an independent certification audit.</w:t>
      </w:r>
    </w:p>
    <w:tbl>
      <w:tblPr>
        <w:tblW w:type="auto" w:w="0"/>
        <w:jc w:val="center"/>
        <w:tblLook w:firstColumn="1" w:firstRow="1" w:lastColumn="0" w:lastRow="0" w:noHBand="0" w:noVBand="1" w:val="04A0"/>
      </w:tblPr>
      <w:tblGrid>
        <w:gridCol w:w="5040"/>
        <w:gridCol w:w="5040"/>
      </w:tblGrid>
      <w:tr>
        <w:trPr>
          <w:cantSplit/>
        </w:trPr>
        <w:tc>
          <w:tcPr>
            <w:tcW w:type="dxa" w:w="5040"/>
            <w:shd w:fill="EEF4F8"/>
            <w:tcMar>
              <w:top w:w="180" w:type="dxa"/>
              <w:start w:w="180" w:type="dxa"/>
              <w:bottom w:w="180" w:type="dxa"/>
              <w:end w:w="180" w:type="dxa"/>
            </w:tcMar>
          </w:tcPr>
          <w:p>
            <w:r>
              <w:rPr>
                <w:b/>
                <w:color w:val="17324D"/>
                <w:sz w:val="22"/>
              </w:rPr>
              <w:t>Gap analysis</w:t>
            </w:r>
          </w:p>
          <w:p>
            <w:pPr>
              <w:spacing w:after="0"/>
            </w:pPr>
            <w:r>
              <w:t>A clear review of your current system against ISO 9001:2015 or AS9100D requirements.</w:t>
            </w:r>
          </w:p>
        </w:tc>
        <w:tc>
          <w:tcPr>
            <w:tcW w:type="dxa" w:w="5040"/>
            <w:shd w:fill="F5F7F9"/>
            <w:tcMar>
              <w:top w:w="180" w:type="dxa"/>
              <w:start w:w="180" w:type="dxa"/>
              <w:bottom w:w="180" w:type="dxa"/>
              <w:end w:w="180" w:type="dxa"/>
            </w:tcMar>
          </w:tcPr>
          <w:p>
            <w:r>
              <w:rPr>
                <w:b/>
                <w:color w:val="17324D"/>
                <w:sz w:val="22"/>
              </w:rPr>
              <w:t>QMS documentation</w:t>
            </w:r>
          </w:p>
          <w:p>
            <w:pPr>
              <w:spacing w:after="0"/>
            </w:pPr>
            <w:r>
              <w:t>Policies, procedures, formats, registers and process controls designed around your real operations.</w:t>
            </w:r>
          </w:p>
        </w:tc>
      </w:tr>
      <w:tr>
        <w:trPr>
          <w:cantSplit/>
        </w:trPr>
        <w:tc>
          <w:tcPr>
            <w:tcW w:type="dxa" w:w="5040"/>
            <w:shd w:fill="F5F7F9"/>
            <w:tcMar>
              <w:top w:w="180" w:type="dxa"/>
              <w:start w:w="180" w:type="dxa"/>
              <w:bottom w:w="180" w:type="dxa"/>
              <w:end w:w="180" w:type="dxa"/>
            </w:tcMar>
          </w:tcPr>
          <w:p>
            <w:r>
              <w:rPr>
                <w:b/>
                <w:color w:val="17324D"/>
                <w:sz w:val="22"/>
              </w:rPr>
              <w:t>Implementation support</w:t>
            </w:r>
          </w:p>
          <w:p>
            <w:pPr>
              <w:spacing w:after="0"/>
            </w:pPr>
            <w:r>
              <w:t>Practical deployment across departments so the documented system is actually followed.</w:t>
            </w:r>
          </w:p>
        </w:tc>
        <w:tc>
          <w:tcPr>
            <w:tcW w:type="dxa" w:w="5040"/>
            <w:shd w:fill="EEF4F8"/>
            <w:tcMar>
              <w:top w:w="180" w:type="dxa"/>
              <w:start w:w="180" w:type="dxa"/>
              <w:bottom w:w="180" w:type="dxa"/>
              <w:end w:w="180" w:type="dxa"/>
            </w:tcMar>
          </w:tcPr>
          <w:p>
            <w:r>
              <w:rPr>
                <w:b/>
                <w:color w:val="17324D"/>
                <w:sz w:val="22"/>
              </w:rPr>
              <w:t>Training &amp; audit readiness</w:t>
            </w:r>
          </w:p>
          <w:p>
            <w:pPr>
              <w:spacing w:after="0"/>
            </w:pPr>
            <w:r>
              <w:t>Role-based training, internal audits, management review and support for certification observations.</w:t>
            </w:r>
          </w:p>
        </w:tc>
      </w:tr>
    </w:tbl>
    <w:p>
      <w:pPr>
        <w:pStyle w:val="Heading2"/>
      </w:pPr>
      <w:r>
        <w:t>Our QMS implementation process</w:t>
      </w:r>
    </w:p>
    <w:p>
      <w:r>
        <w:t>A simple milestone-based approach focused on implementation, evidence and audit confidence. These milestones show the sequence of work, not a fixed timeline.</w:t>
      </w:r>
    </w:p>
    <w:tbl>
      <w:tblPr>
        <w:tblW w:type="auto" w:w="0"/>
        <w:jc w:val="center"/>
        <w:tblLayout w:type="fixed"/>
        <w:tblLook w:firstColumn="1" w:firstRow="1" w:lastColumn="0" w:lastRow="0" w:noHBand="0" w:noVBand="1" w:val="04A0"/>
      </w:tblPr>
      <w:tblGrid>
        <w:gridCol w:w="1080"/>
        <w:gridCol w:w="9432"/>
      </w:tblGrid>
      <w:tr>
        <w:trPr>
          <w:cantSplit/>
        </w:trPr>
        <w:tc>
          <w:tcPr>
            <w:tcW w:type="dxa" w:w="5040"/>
            <w:shd w:fill="00A7A5"/>
            <w:tcMar>
              <w:top w:w="150" w:type="dxa"/>
              <w:start w:w="120" w:type="dxa"/>
              <w:bottom w:w="150" w:type="dxa"/>
              <w:end w:w="120" w:type="dxa"/>
            </w:tcMar>
          </w:tcPr>
          <w:p>
            <w:pPr>
              <w:jc w:val="center"/>
            </w:pPr>
            <w:r>
              <w:rPr>
                <w:b/>
                <w:color w:val="FFFFFF"/>
                <w:sz w:val="30"/>
              </w:rPr>
              <w:t>01</w:t>
            </w:r>
          </w:p>
        </w:tc>
        <w:tc>
          <w:tcPr>
            <w:tcW w:type="dxa" w:w="5040"/>
            <w:shd w:fill="FFFFFF"/>
            <w:tcMar>
              <w:top w:w="130" w:type="dxa"/>
              <w:start w:w="180" w:type="dxa"/>
              <w:bottom w:w="130" w:type="dxa"/>
              <w:end w:w="180" w:type="dxa"/>
            </w:tcMar>
          </w:tcPr>
          <w:p>
            <w:r>
              <w:rPr>
                <w:b/>
                <w:color w:val="17324D"/>
                <w:sz w:val="23"/>
              </w:rPr>
              <w:t>Organization and standard assessment</w:t>
            </w:r>
          </w:p>
          <w:p>
            <w:pPr>
              <w:spacing w:after="20"/>
            </w:pPr>
            <w:r>
              <w:t>We understand your scope, products, services, departments, customers and existing quality practices, then confirm whether ISO 9001:2015, AS9100D or an upgrade pathway is most suitable.</w:t>
            </w:r>
          </w:p>
          <w:p>
            <w:pPr>
              <w:spacing w:after="0"/>
            </w:pPr>
            <w:r>
              <w:rPr>
                <w:b/>
                <w:color w:val="00A7A5"/>
              </w:rPr>
              <w:t xml:space="preserve">Outcome: </w:t>
            </w:r>
            <w:r>
              <w:t>Defined QMS scope and implementation plan.</w:t>
            </w:r>
          </w:p>
        </w:tc>
      </w:tr>
    </w:tbl>
    <w:p>
      <w:pPr>
        <w:spacing w:after="20"/>
      </w:pPr>
    </w:p>
    <w:tbl>
      <w:tblPr>
        <w:tblW w:type="auto" w:w="0"/>
        <w:jc w:val="center"/>
        <w:tblLayout w:type="fixed"/>
        <w:tblLook w:firstColumn="1" w:firstRow="1" w:lastColumn="0" w:lastRow="0" w:noHBand="0" w:noVBand="1" w:val="04A0"/>
      </w:tblPr>
      <w:tblGrid>
        <w:gridCol w:w="1080"/>
        <w:gridCol w:w="9432"/>
      </w:tblGrid>
      <w:tr>
        <w:trPr>
          <w:cantSplit/>
        </w:trPr>
        <w:tc>
          <w:tcPr>
            <w:tcW w:type="dxa" w:w="5040"/>
            <w:shd w:fill="00A7A5"/>
            <w:tcMar>
              <w:top w:w="150" w:type="dxa"/>
              <w:start w:w="120" w:type="dxa"/>
              <w:bottom w:w="150" w:type="dxa"/>
              <w:end w:w="120" w:type="dxa"/>
            </w:tcMar>
          </w:tcPr>
          <w:p>
            <w:pPr>
              <w:jc w:val="center"/>
            </w:pPr>
            <w:r>
              <w:rPr>
                <w:b/>
                <w:color w:val="FFFFFF"/>
                <w:sz w:val="30"/>
              </w:rPr>
              <w:t>02</w:t>
            </w:r>
          </w:p>
        </w:tc>
        <w:tc>
          <w:tcPr>
            <w:tcW w:type="dxa" w:w="5040"/>
            <w:shd w:fill="FFFFFF"/>
            <w:tcMar>
              <w:top w:w="130" w:type="dxa"/>
              <w:start w:w="180" w:type="dxa"/>
              <w:bottom w:w="130" w:type="dxa"/>
              <w:end w:w="180" w:type="dxa"/>
            </w:tcMar>
          </w:tcPr>
          <w:p>
            <w:r>
              <w:rPr>
                <w:b/>
                <w:color w:val="17324D"/>
                <w:sz w:val="23"/>
              </w:rPr>
              <w:t>Gap analysis</w:t>
            </w:r>
          </w:p>
          <w:p>
            <w:pPr>
              <w:spacing w:after="20"/>
            </w:pPr>
            <w:r>
              <w:t>Your current processes and records are reviewed against the selected standard. Missing controls, weak practices and audit risks are captured in a clear action tracker.</w:t>
            </w:r>
          </w:p>
          <w:p>
            <w:pPr>
              <w:spacing w:after="0"/>
            </w:pPr>
            <w:r>
              <w:rPr>
                <w:b/>
                <w:color w:val="00A7A5"/>
              </w:rPr>
              <w:t xml:space="preserve">Outcome: </w:t>
            </w:r>
            <w:r>
              <w:t>Gap report with prioritized actions.</w:t>
            </w:r>
          </w:p>
        </w:tc>
      </w:tr>
    </w:tbl>
    <w:p>
      <w:pPr>
        <w:spacing w:after="20"/>
      </w:pPr>
    </w:p>
    <w:tbl>
      <w:tblPr>
        <w:tblW w:type="auto" w:w="0"/>
        <w:jc w:val="center"/>
        <w:tblLayout w:type="fixed"/>
        <w:tblLook w:firstColumn="1" w:firstRow="1" w:lastColumn="0" w:lastRow="0" w:noHBand="0" w:noVBand="1" w:val="04A0"/>
      </w:tblPr>
      <w:tblGrid>
        <w:gridCol w:w="1080"/>
        <w:gridCol w:w="9432"/>
      </w:tblGrid>
      <w:tr>
        <w:trPr>
          <w:cantSplit/>
        </w:trPr>
        <w:tc>
          <w:tcPr>
            <w:tcW w:type="dxa" w:w="5040"/>
            <w:shd w:fill="00A7A5"/>
            <w:tcMar>
              <w:top w:w="150" w:type="dxa"/>
              <w:start w:w="120" w:type="dxa"/>
              <w:bottom w:w="150" w:type="dxa"/>
              <w:end w:w="120" w:type="dxa"/>
            </w:tcMar>
          </w:tcPr>
          <w:p>
            <w:pPr>
              <w:jc w:val="center"/>
            </w:pPr>
            <w:r>
              <w:rPr>
                <w:b/>
                <w:color w:val="FFFFFF"/>
                <w:sz w:val="30"/>
              </w:rPr>
              <w:t>03</w:t>
            </w:r>
          </w:p>
        </w:tc>
        <w:tc>
          <w:tcPr>
            <w:tcW w:type="dxa" w:w="5040"/>
            <w:shd w:fill="FFFFFF"/>
            <w:tcMar>
              <w:top w:w="130" w:type="dxa"/>
              <w:start w:w="180" w:type="dxa"/>
              <w:bottom w:w="130" w:type="dxa"/>
              <w:end w:w="180" w:type="dxa"/>
            </w:tcMar>
          </w:tcPr>
          <w:p>
            <w:r>
              <w:rPr>
                <w:b/>
                <w:color w:val="17324D"/>
                <w:sz w:val="23"/>
              </w:rPr>
              <w:t>Process mapping and QMS documentation</w:t>
            </w:r>
          </w:p>
          <w:p>
            <w:pPr>
              <w:spacing w:after="20"/>
            </w:pPr>
            <w:r>
              <w:t>We define process ownership, interactions and controls, then prepare the required policies, procedures, formats and registers around how your organization actually works.</w:t>
            </w:r>
          </w:p>
          <w:p>
            <w:pPr>
              <w:spacing w:after="0"/>
            </w:pPr>
            <w:r>
              <w:rPr>
                <w:b/>
                <w:color w:val="00A7A5"/>
              </w:rPr>
              <w:t xml:space="preserve">Outcome: </w:t>
            </w:r>
            <w:r>
              <w:t>A controlled and practical QMS document set.</w:t>
            </w:r>
          </w:p>
        </w:tc>
      </w:tr>
    </w:tbl>
    <w:p>
      <w:pPr>
        <w:spacing w:after="20"/>
      </w:pPr>
    </w:p>
    <w:tbl>
      <w:tblPr>
        <w:tblW w:type="auto" w:w="0"/>
        <w:jc w:val="center"/>
        <w:tblLayout w:type="fixed"/>
        <w:tblLook w:firstColumn="1" w:firstRow="1" w:lastColumn="0" w:lastRow="0" w:noHBand="0" w:noVBand="1" w:val="04A0"/>
      </w:tblPr>
      <w:tblGrid>
        <w:gridCol w:w="1080"/>
        <w:gridCol w:w="9432"/>
      </w:tblGrid>
      <w:tr>
        <w:trPr>
          <w:cantSplit/>
        </w:trPr>
        <w:tc>
          <w:tcPr>
            <w:tcW w:type="dxa" w:w="5040"/>
            <w:shd w:fill="00A7A5"/>
            <w:tcMar>
              <w:top w:w="150" w:type="dxa"/>
              <w:start w:w="120" w:type="dxa"/>
              <w:bottom w:w="150" w:type="dxa"/>
              <w:end w:w="120" w:type="dxa"/>
            </w:tcMar>
          </w:tcPr>
          <w:p>
            <w:pPr>
              <w:jc w:val="center"/>
            </w:pPr>
            <w:r>
              <w:rPr>
                <w:b/>
                <w:color w:val="FFFFFF"/>
                <w:sz w:val="30"/>
              </w:rPr>
              <w:t>04</w:t>
            </w:r>
          </w:p>
        </w:tc>
        <w:tc>
          <w:tcPr>
            <w:tcW w:type="dxa" w:w="5040"/>
            <w:shd w:fill="FFFFFF"/>
            <w:tcMar>
              <w:top w:w="130" w:type="dxa"/>
              <w:start w:w="180" w:type="dxa"/>
              <w:bottom w:w="130" w:type="dxa"/>
              <w:end w:w="180" w:type="dxa"/>
            </w:tcMar>
          </w:tcPr>
          <w:p>
            <w:r>
              <w:rPr>
                <w:b/>
                <w:color w:val="17324D"/>
                <w:sz w:val="23"/>
              </w:rPr>
              <w:t>QMS implementation</w:t>
            </w:r>
          </w:p>
          <w:p>
            <w:pPr>
              <w:spacing w:after="20"/>
            </w:pPr>
            <w:r>
              <w:t>The system is introduced across relevant functions such as sales, design, purchasing, production, inspection, stores, calibration, supplier control and corrective action.</w:t>
            </w:r>
          </w:p>
          <w:p>
            <w:pPr>
              <w:spacing w:after="0"/>
            </w:pPr>
            <w:r>
              <w:rPr>
                <w:b/>
                <w:color w:val="00A7A5"/>
              </w:rPr>
              <w:t xml:space="preserve">Outcome: </w:t>
            </w:r>
            <w:r>
              <w:t>Working processes with objective records.</w:t>
            </w:r>
          </w:p>
        </w:tc>
      </w:tr>
    </w:tbl>
    <w:p>
      <w:pPr>
        <w:spacing w:after="20"/>
      </w:pPr>
    </w:p>
    <w:tbl>
      <w:tblPr>
        <w:tblW w:type="auto" w:w="0"/>
        <w:jc w:val="center"/>
        <w:tblLayout w:type="fixed"/>
        <w:tblLook w:firstColumn="1" w:firstRow="1" w:lastColumn="0" w:lastRow="0" w:noHBand="0" w:noVBand="1" w:val="04A0"/>
      </w:tblPr>
      <w:tblGrid>
        <w:gridCol w:w="1080"/>
        <w:gridCol w:w="9432"/>
      </w:tblGrid>
      <w:tr>
        <w:trPr>
          <w:cantSplit/>
        </w:trPr>
        <w:tc>
          <w:tcPr>
            <w:tcW w:type="dxa" w:w="5040"/>
            <w:shd w:fill="00A7A5"/>
            <w:tcMar>
              <w:top w:w="150" w:type="dxa"/>
              <w:start w:w="120" w:type="dxa"/>
              <w:bottom w:w="150" w:type="dxa"/>
              <w:end w:w="120" w:type="dxa"/>
            </w:tcMar>
          </w:tcPr>
          <w:p>
            <w:pPr>
              <w:jc w:val="center"/>
            </w:pPr>
            <w:r>
              <w:rPr>
                <w:b/>
                <w:color w:val="FFFFFF"/>
                <w:sz w:val="30"/>
              </w:rPr>
              <w:t>05</w:t>
            </w:r>
          </w:p>
        </w:tc>
        <w:tc>
          <w:tcPr>
            <w:tcW w:type="dxa" w:w="5040"/>
            <w:shd w:fill="FFFFFF"/>
            <w:tcMar>
              <w:top w:w="130" w:type="dxa"/>
              <w:start w:w="180" w:type="dxa"/>
              <w:bottom w:w="130" w:type="dxa"/>
              <w:end w:w="180" w:type="dxa"/>
            </w:tcMar>
          </w:tcPr>
          <w:p>
            <w:r>
              <w:rPr>
                <w:b/>
                <w:color w:val="17324D"/>
                <w:sz w:val="23"/>
              </w:rPr>
              <w:t>Team training and awareness</w:t>
            </w:r>
          </w:p>
          <w:p>
            <w:pPr>
              <w:spacing w:after="20"/>
            </w:pPr>
            <w:r>
              <w:t>Management, process owners and employees are trained on their responsibilities, required records, quality objectives, risks and audit expectations.</w:t>
            </w:r>
          </w:p>
          <w:p>
            <w:pPr>
              <w:spacing w:after="0"/>
            </w:pPr>
            <w:r>
              <w:rPr>
                <w:b/>
                <w:color w:val="00A7A5"/>
              </w:rPr>
              <w:t xml:space="preserve">Outcome: </w:t>
            </w:r>
            <w:r>
              <w:t>A trained team that understands the QMS.</w:t>
            </w:r>
          </w:p>
        </w:tc>
      </w:tr>
    </w:tbl>
    <w:p>
      <w:pPr>
        <w:spacing w:after="20"/>
      </w:pPr>
    </w:p>
    <w:tbl>
      <w:tblPr>
        <w:tblW w:type="auto" w:w="0"/>
        <w:jc w:val="center"/>
        <w:tblLayout w:type="fixed"/>
        <w:tblLook w:firstColumn="1" w:firstRow="1" w:lastColumn="0" w:lastRow="0" w:noHBand="0" w:noVBand="1" w:val="04A0"/>
      </w:tblPr>
      <w:tblGrid>
        <w:gridCol w:w="1080"/>
        <w:gridCol w:w="9432"/>
      </w:tblGrid>
      <w:tr>
        <w:trPr>
          <w:cantSplit/>
        </w:trPr>
        <w:tc>
          <w:tcPr>
            <w:tcW w:type="dxa" w:w="5040"/>
            <w:shd w:fill="00A7A5"/>
            <w:tcMar>
              <w:top w:w="150" w:type="dxa"/>
              <w:start w:w="120" w:type="dxa"/>
              <w:bottom w:w="150" w:type="dxa"/>
              <w:end w:w="120" w:type="dxa"/>
            </w:tcMar>
          </w:tcPr>
          <w:p>
            <w:pPr>
              <w:jc w:val="center"/>
            </w:pPr>
            <w:r>
              <w:rPr>
                <w:b/>
                <w:color w:val="FFFFFF"/>
                <w:sz w:val="30"/>
              </w:rPr>
              <w:t>06</w:t>
            </w:r>
          </w:p>
        </w:tc>
        <w:tc>
          <w:tcPr>
            <w:tcW w:type="dxa" w:w="5040"/>
            <w:shd w:fill="FFFFFF"/>
            <w:tcMar>
              <w:top w:w="130" w:type="dxa"/>
              <w:start w:w="180" w:type="dxa"/>
              <w:bottom w:w="130" w:type="dxa"/>
              <w:end w:w="180" w:type="dxa"/>
            </w:tcMar>
          </w:tcPr>
          <w:p>
            <w:r>
              <w:rPr>
                <w:b/>
                <w:color w:val="17324D"/>
                <w:sz w:val="23"/>
              </w:rPr>
              <w:t>Internal audit and management review</w:t>
            </w:r>
          </w:p>
          <w:p>
            <w:pPr>
              <w:spacing w:after="20"/>
            </w:pPr>
            <w:r>
              <w:t>We support a full system audit, identify nonconformities and prepare management review using real performance data, risks, customer feedback and improvement actions.</w:t>
            </w:r>
          </w:p>
          <w:p>
            <w:pPr>
              <w:spacing w:after="0"/>
            </w:pPr>
            <w:r>
              <w:rPr>
                <w:b/>
                <w:color w:val="00A7A5"/>
              </w:rPr>
              <w:t xml:space="preserve">Outcome: </w:t>
            </w:r>
            <w:r>
              <w:t>Verified readiness with internal findings addressed.</w:t>
            </w:r>
          </w:p>
        </w:tc>
      </w:tr>
    </w:tbl>
    <w:p>
      <w:pPr>
        <w:spacing w:after="20"/>
      </w:pPr>
    </w:p>
    <w:tbl>
      <w:tblPr>
        <w:tblW w:type="auto" w:w="0"/>
        <w:jc w:val="center"/>
        <w:tblLayout w:type="fixed"/>
        <w:tblLook w:firstColumn="1" w:firstRow="1" w:lastColumn="0" w:lastRow="0" w:noHBand="0" w:noVBand="1" w:val="04A0"/>
      </w:tblPr>
      <w:tblGrid>
        <w:gridCol w:w="1080"/>
        <w:gridCol w:w="9432"/>
      </w:tblGrid>
      <w:tr>
        <w:trPr>
          <w:cantSplit/>
        </w:trPr>
        <w:tc>
          <w:tcPr>
            <w:tcW w:type="dxa" w:w="5040"/>
            <w:shd w:fill="00A7A5"/>
            <w:tcMar>
              <w:top w:w="150" w:type="dxa"/>
              <w:start w:w="120" w:type="dxa"/>
              <w:bottom w:w="150" w:type="dxa"/>
              <w:end w:w="120" w:type="dxa"/>
            </w:tcMar>
          </w:tcPr>
          <w:p>
            <w:pPr>
              <w:jc w:val="center"/>
            </w:pPr>
            <w:r>
              <w:rPr>
                <w:b/>
                <w:color w:val="FFFFFF"/>
                <w:sz w:val="30"/>
              </w:rPr>
              <w:t>07</w:t>
            </w:r>
          </w:p>
        </w:tc>
        <w:tc>
          <w:tcPr>
            <w:tcW w:type="dxa" w:w="5040"/>
            <w:shd w:fill="FFFFFF"/>
            <w:tcMar>
              <w:top w:w="130" w:type="dxa"/>
              <w:start w:w="180" w:type="dxa"/>
              <w:bottom w:w="130" w:type="dxa"/>
              <w:end w:w="180" w:type="dxa"/>
            </w:tcMar>
          </w:tcPr>
          <w:p>
            <w:r>
              <w:rPr>
                <w:b/>
                <w:color w:val="17324D"/>
                <w:sz w:val="23"/>
              </w:rPr>
              <w:t>Certification audit support</w:t>
            </w:r>
          </w:p>
          <w:p>
            <w:pPr>
              <w:spacing w:after="20"/>
            </w:pPr>
            <w:r>
              <w:t>We prepare the evidence required for Stage 1 and Stage 2 audits, help teams present their processes clearly and support coordination with the selected Certification Body.</w:t>
            </w:r>
          </w:p>
          <w:p>
            <w:pPr>
              <w:spacing w:after="0"/>
            </w:pPr>
            <w:r>
              <w:rPr>
                <w:b/>
                <w:color w:val="00A7A5"/>
              </w:rPr>
              <w:t xml:space="preserve">Outcome: </w:t>
            </w:r>
            <w:r>
              <w:t>An organized and audit-ready QMS.</w:t>
            </w:r>
          </w:p>
        </w:tc>
      </w:tr>
    </w:tbl>
    <w:p>
      <w:pPr>
        <w:spacing w:after="20"/>
      </w:pPr>
    </w:p>
    <w:tbl>
      <w:tblPr>
        <w:tblW w:type="auto" w:w="0"/>
        <w:jc w:val="center"/>
        <w:tblLayout w:type="fixed"/>
        <w:tblLook w:firstColumn="1" w:firstRow="1" w:lastColumn="0" w:lastRow="0" w:noHBand="0" w:noVBand="1" w:val="04A0"/>
      </w:tblPr>
      <w:tblGrid>
        <w:gridCol w:w="1080"/>
        <w:gridCol w:w="9432"/>
      </w:tblGrid>
      <w:tr>
        <w:trPr>
          <w:cantSplit/>
        </w:trPr>
        <w:tc>
          <w:tcPr>
            <w:tcW w:type="dxa" w:w="5040"/>
            <w:shd w:fill="00A7A5"/>
            <w:tcMar>
              <w:top w:w="150" w:type="dxa"/>
              <w:start w:w="120" w:type="dxa"/>
              <w:bottom w:w="150" w:type="dxa"/>
              <w:end w:w="120" w:type="dxa"/>
            </w:tcMar>
          </w:tcPr>
          <w:p>
            <w:pPr>
              <w:jc w:val="center"/>
            </w:pPr>
            <w:r>
              <w:rPr>
                <w:b/>
                <w:color w:val="FFFFFF"/>
                <w:sz w:val="30"/>
              </w:rPr>
              <w:t>08</w:t>
            </w:r>
          </w:p>
        </w:tc>
        <w:tc>
          <w:tcPr>
            <w:tcW w:type="dxa" w:w="5040"/>
            <w:shd w:fill="FFFFFF"/>
            <w:tcMar>
              <w:top w:w="130" w:type="dxa"/>
              <w:start w:w="180" w:type="dxa"/>
              <w:bottom w:w="130" w:type="dxa"/>
              <w:end w:w="180" w:type="dxa"/>
            </w:tcMar>
          </w:tcPr>
          <w:p>
            <w:r>
              <w:rPr>
                <w:b/>
                <w:color w:val="17324D"/>
                <w:sz w:val="23"/>
              </w:rPr>
              <w:t>Observation and nonconformity closure</w:t>
            </w:r>
          </w:p>
          <w:p>
            <w:pPr>
              <w:spacing w:after="20"/>
            </w:pPr>
            <w:r>
              <w:t>Audit findings are addressed through root-cause analysis, corrective action, revised documentation, implementation evidence and effectiveness checks.</w:t>
            </w:r>
          </w:p>
          <w:p>
            <w:pPr>
              <w:spacing w:after="0"/>
            </w:pPr>
            <w:r>
              <w:rPr>
                <w:b/>
                <w:color w:val="00A7A5"/>
              </w:rPr>
              <w:t xml:space="preserve">Outcome: </w:t>
            </w:r>
            <w:r>
              <w:t>Complete corrective-action support for audit closure.</w:t>
            </w:r>
          </w:p>
        </w:tc>
      </w:tr>
    </w:tbl>
    <w:p>
      <w:pPr>
        <w:spacing w:after="20"/>
      </w:pPr>
    </w:p>
    <w:p>
      <w:pPr>
        <w:pStyle w:val="Heading2"/>
      </w:pPr>
      <w:r>
        <w:t>QMS documents and controls we can develop</w:t>
      </w:r>
    </w:p>
    <w:p>
      <w:r>
        <w:t>The final document set depends on your organization, processes and selected standard. It may include:</w:t>
      </w:r>
    </w:p>
    <w:tbl>
      <w:tblPr>
        <w:tblW w:type="auto" w:w="0"/>
        <w:jc w:val="center"/>
        <w:tblLook w:firstColumn="1" w:firstRow="1" w:lastColumn="0" w:lastRow="0" w:noHBand="0" w:noVBand="1" w:val="04A0"/>
      </w:tblPr>
      <w:tblGrid>
        <w:gridCol w:w="5040"/>
        <w:gridCol w:w="5040"/>
      </w:tblGrid>
      <w:tr>
        <w:trPr>
          <w:cantSplit/>
        </w:trPr>
        <w:tc>
          <w:tcPr>
            <w:tcW w:type="dxa" w:w="5040"/>
            <w:shd w:fill="F5F7F9"/>
            <w:tcMar>
              <w:top w:w="80" w:type="dxa"/>
              <w:start w:w="130" w:type="dxa"/>
              <w:bottom w:w="80" w:type="dxa"/>
              <w:end w:w="130" w:type="dxa"/>
            </w:tcMar>
          </w:tcPr>
          <w:p>
            <w:r>
              <w:rPr>
                <w:b/>
                <w:color w:val="00A7A5"/>
              </w:rPr>
              <w:t xml:space="preserve">✓ </w:t>
            </w:r>
            <w:r>
              <w:t>QMS scope, context and interested-party analysis</w:t>
            </w:r>
          </w:p>
        </w:tc>
        <w:tc>
          <w:tcPr>
            <w:tcW w:type="dxa" w:w="5040"/>
            <w:shd w:fill="F5F7F9"/>
            <w:tcMar>
              <w:top w:w="80" w:type="dxa"/>
              <w:start w:w="130" w:type="dxa"/>
              <w:bottom w:w="80" w:type="dxa"/>
              <w:end w:w="130" w:type="dxa"/>
            </w:tcMar>
          </w:tcPr>
          <w:p>
            <w:r>
              <w:rPr>
                <w:b/>
                <w:color w:val="00A7A5"/>
              </w:rPr>
              <w:t xml:space="preserve">✓ </w:t>
            </w:r>
            <w:r>
              <w:t>Quality policy and measurable quality objectives</w:t>
            </w:r>
          </w:p>
        </w:tc>
      </w:tr>
      <w:tr>
        <w:trPr>
          <w:cantSplit/>
        </w:trPr>
        <w:tc>
          <w:tcPr>
            <w:tcW w:type="dxa" w:w="5040"/>
            <w:shd w:fill="FFFFFF"/>
            <w:tcMar>
              <w:top w:w="80" w:type="dxa"/>
              <w:start w:w="130" w:type="dxa"/>
              <w:bottom w:w="80" w:type="dxa"/>
              <w:end w:w="130" w:type="dxa"/>
            </w:tcMar>
          </w:tcPr>
          <w:p>
            <w:r>
              <w:rPr>
                <w:b/>
                <w:color w:val="00A7A5"/>
              </w:rPr>
              <w:t xml:space="preserve">✓ </w:t>
            </w:r>
            <w:r>
              <w:t>Process map, process interactions and responsibility matrix</w:t>
            </w:r>
          </w:p>
        </w:tc>
        <w:tc>
          <w:tcPr>
            <w:tcW w:type="dxa" w:w="5040"/>
            <w:shd w:fill="FFFFFF"/>
            <w:tcMar>
              <w:top w:w="80" w:type="dxa"/>
              <w:start w:w="130" w:type="dxa"/>
              <w:bottom w:w="80" w:type="dxa"/>
              <w:end w:w="130" w:type="dxa"/>
            </w:tcMar>
          </w:tcPr>
          <w:p>
            <w:r>
              <w:rPr>
                <w:b/>
                <w:color w:val="00A7A5"/>
              </w:rPr>
              <w:t xml:space="preserve">✓ </w:t>
            </w:r>
            <w:r>
              <w:t>Document and record control procedures</w:t>
            </w:r>
          </w:p>
        </w:tc>
      </w:tr>
      <w:tr>
        <w:trPr>
          <w:cantSplit/>
        </w:trPr>
        <w:tc>
          <w:tcPr>
            <w:tcW w:type="dxa" w:w="5040"/>
            <w:shd w:fill="F5F7F9"/>
            <w:tcMar>
              <w:top w:w="80" w:type="dxa"/>
              <w:start w:w="130" w:type="dxa"/>
              <w:bottom w:w="80" w:type="dxa"/>
              <w:end w:w="130" w:type="dxa"/>
            </w:tcMar>
          </w:tcPr>
          <w:p>
            <w:r>
              <w:rPr>
                <w:b/>
                <w:color w:val="00A7A5"/>
              </w:rPr>
              <w:t xml:space="preserve">✓ </w:t>
            </w:r>
            <w:r>
              <w:t>Risk and opportunity register</w:t>
            </w:r>
          </w:p>
        </w:tc>
        <w:tc>
          <w:tcPr>
            <w:tcW w:type="dxa" w:w="5040"/>
            <w:shd w:fill="F5F7F9"/>
            <w:tcMar>
              <w:top w:w="80" w:type="dxa"/>
              <w:start w:w="130" w:type="dxa"/>
              <w:bottom w:w="80" w:type="dxa"/>
              <w:end w:w="130" w:type="dxa"/>
            </w:tcMar>
          </w:tcPr>
          <w:p>
            <w:r>
              <w:rPr>
                <w:b/>
                <w:color w:val="00A7A5"/>
              </w:rPr>
              <w:t xml:space="preserve">✓ </w:t>
            </w:r>
            <w:r>
              <w:t>Sales, contract review and customer communication controls</w:t>
            </w:r>
          </w:p>
        </w:tc>
      </w:tr>
      <w:tr>
        <w:trPr>
          <w:cantSplit/>
        </w:trPr>
        <w:tc>
          <w:tcPr>
            <w:tcW w:type="dxa" w:w="5040"/>
            <w:shd w:fill="FFFFFF"/>
            <w:tcMar>
              <w:top w:w="80" w:type="dxa"/>
              <w:start w:w="130" w:type="dxa"/>
              <w:bottom w:w="80" w:type="dxa"/>
              <w:end w:w="130" w:type="dxa"/>
            </w:tcMar>
          </w:tcPr>
          <w:p>
            <w:r>
              <w:rPr>
                <w:b/>
                <w:color w:val="00A7A5"/>
              </w:rPr>
              <w:t xml:space="preserve">✓ </w:t>
            </w:r>
            <w:r>
              <w:t>Design and development controls, where applicable</w:t>
            </w:r>
          </w:p>
        </w:tc>
        <w:tc>
          <w:tcPr>
            <w:tcW w:type="dxa" w:w="5040"/>
            <w:shd w:fill="FFFFFF"/>
            <w:tcMar>
              <w:top w:w="80" w:type="dxa"/>
              <w:start w:w="130" w:type="dxa"/>
              <w:bottom w:w="80" w:type="dxa"/>
              <w:end w:w="130" w:type="dxa"/>
            </w:tcMar>
          </w:tcPr>
          <w:p>
            <w:r>
              <w:rPr>
                <w:b/>
                <w:color w:val="00A7A5"/>
              </w:rPr>
              <w:t xml:space="preserve">✓ </w:t>
            </w:r>
            <w:r>
              <w:t>Supplier selection, approval and performance monitoring</w:t>
            </w:r>
          </w:p>
        </w:tc>
      </w:tr>
      <w:tr>
        <w:trPr>
          <w:cantSplit/>
        </w:trPr>
        <w:tc>
          <w:tcPr>
            <w:tcW w:type="dxa" w:w="5040"/>
            <w:shd w:fill="F5F7F9"/>
            <w:tcMar>
              <w:top w:w="80" w:type="dxa"/>
              <w:start w:w="130" w:type="dxa"/>
              <w:bottom w:w="80" w:type="dxa"/>
              <w:end w:w="130" w:type="dxa"/>
            </w:tcMar>
          </w:tcPr>
          <w:p>
            <w:r>
              <w:rPr>
                <w:b/>
                <w:color w:val="00A7A5"/>
              </w:rPr>
              <w:t xml:space="preserve">✓ </w:t>
            </w:r>
            <w:r>
              <w:t>Purchasing, incoming inspection and traceability controls</w:t>
            </w:r>
          </w:p>
        </w:tc>
        <w:tc>
          <w:tcPr>
            <w:tcW w:type="dxa" w:w="5040"/>
            <w:shd w:fill="F5F7F9"/>
            <w:tcMar>
              <w:top w:w="80" w:type="dxa"/>
              <w:start w:w="130" w:type="dxa"/>
              <w:bottom w:w="80" w:type="dxa"/>
              <w:end w:w="130" w:type="dxa"/>
            </w:tcMar>
          </w:tcPr>
          <w:p>
            <w:r>
              <w:rPr>
                <w:b/>
                <w:color w:val="00A7A5"/>
              </w:rPr>
              <w:t xml:space="preserve">✓ </w:t>
            </w:r>
            <w:r>
              <w:t>Production, inspection, release and nonconformity controls</w:t>
            </w:r>
          </w:p>
        </w:tc>
      </w:tr>
      <w:tr>
        <w:trPr>
          <w:cantSplit/>
        </w:trPr>
        <w:tc>
          <w:tcPr>
            <w:tcW w:type="dxa" w:w="5040"/>
            <w:shd w:fill="FFFFFF"/>
            <w:tcMar>
              <w:top w:w="80" w:type="dxa"/>
              <w:start w:w="130" w:type="dxa"/>
              <w:bottom w:w="80" w:type="dxa"/>
              <w:end w:w="130" w:type="dxa"/>
            </w:tcMar>
          </w:tcPr>
          <w:p>
            <w:r>
              <w:rPr>
                <w:b/>
                <w:color w:val="00A7A5"/>
              </w:rPr>
              <w:t xml:space="preserve">✓ </w:t>
            </w:r>
            <w:r>
              <w:t>Calibration and monitoring-equipment controls</w:t>
            </w:r>
          </w:p>
        </w:tc>
        <w:tc>
          <w:tcPr>
            <w:tcW w:type="dxa" w:w="5040"/>
            <w:shd w:fill="FFFFFF"/>
            <w:tcMar>
              <w:top w:w="80" w:type="dxa"/>
              <w:start w:w="130" w:type="dxa"/>
              <w:bottom w:w="80" w:type="dxa"/>
              <w:end w:w="130" w:type="dxa"/>
            </w:tcMar>
          </w:tcPr>
          <w:p>
            <w:r>
              <w:rPr>
                <w:b/>
                <w:color w:val="00A7A5"/>
              </w:rPr>
              <w:t xml:space="preserve">✓ </w:t>
            </w:r>
            <w:r>
              <w:t>Competence, training and awareness records</w:t>
            </w:r>
          </w:p>
        </w:tc>
      </w:tr>
      <w:tr>
        <w:trPr>
          <w:cantSplit/>
        </w:trPr>
        <w:tc>
          <w:tcPr>
            <w:tcW w:type="dxa" w:w="5040"/>
            <w:shd w:fill="F5F7F9"/>
            <w:tcMar>
              <w:top w:w="80" w:type="dxa"/>
              <w:start w:w="130" w:type="dxa"/>
              <w:bottom w:w="80" w:type="dxa"/>
              <w:end w:w="130" w:type="dxa"/>
            </w:tcMar>
          </w:tcPr>
          <w:p>
            <w:r>
              <w:rPr>
                <w:b/>
                <w:color w:val="00A7A5"/>
              </w:rPr>
              <w:t xml:space="preserve">✓ </w:t>
            </w:r>
            <w:r>
              <w:t>Internal audit program and reports</w:t>
            </w:r>
          </w:p>
        </w:tc>
        <w:tc>
          <w:tcPr>
            <w:tcW w:type="dxa" w:w="5040"/>
            <w:shd w:fill="F5F7F9"/>
            <w:tcMar>
              <w:top w:w="80" w:type="dxa"/>
              <w:start w:w="130" w:type="dxa"/>
              <w:bottom w:w="80" w:type="dxa"/>
              <w:end w:w="130" w:type="dxa"/>
            </w:tcMar>
          </w:tcPr>
          <w:p>
            <w:r>
              <w:rPr>
                <w:b/>
                <w:color w:val="00A7A5"/>
              </w:rPr>
              <w:t xml:space="preserve">✓ </w:t>
            </w:r>
            <w:r>
              <w:t>Management review framework and records</w:t>
            </w:r>
          </w:p>
        </w:tc>
      </w:tr>
      <w:tr>
        <w:trPr>
          <w:cantSplit/>
        </w:trPr>
        <w:tc>
          <w:tcPr>
            <w:tcW w:type="dxa" w:w="5040"/>
            <w:shd w:fill="FFFFFF"/>
            <w:tcMar>
              <w:top w:w="80" w:type="dxa"/>
              <w:start w:w="130" w:type="dxa"/>
              <w:bottom w:w="80" w:type="dxa"/>
              <w:end w:w="130" w:type="dxa"/>
            </w:tcMar>
          </w:tcPr>
          <w:p>
            <w:r>
              <w:rPr>
                <w:b/>
                <w:color w:val="00A7A5"/>
              </w:rPr>
              <w:t xml:space="preserve">✓ </w:t>
            </w:r>
            <w:r>
              <w:t>Corrective action and continual-improvement system</w:t>
            </w:r>
          </w:p>
        </w:tc>
        <w:tc>
          <w:tcPr>
            <w:tcW w:type="dxa" w:w="5040"/>
            <w:shd w:fill="FFFFFF"/>
            <w:tcMar>
              <w:top w:w="80" w:type="dxa"/>
              <w:start w:w="130" w:type="dxa"/>
              <w:bottom w:w="80" w:type="dxa"/>
              <w:end w:w="130" w:type="dxa"/>
            </w:tcMar>
          </w:tcPr>
          <w:p>
            <w:r>
              <w:rPr>
                <w:b/>
                <w:color w:val="00A7A5"/>
              </w:rPr>
              <w:t xml:space="preserve">✓ </w:t>
            </w:r>
            <w:r>
              <w:t>Configuration management and product-safety controls for AS9100D</w:t>
            </w:r>
          </w:p>
        </w:tc>
      </w:tr>
      <w:tr>
        <w:trPr>
          <w:cantSplit/>
        </w:trPr>
        <w:tc>
          <w:tcPr>
            <w:tcW w:type="dxa" w:w="5040"/>
            <w:shd w:fill="F5F7F9"/>
            <w:tcMar>
              <w:top w:w="80" w:type="dxa"/>
              <w:start w:w="130" w:type="dxa"/>
              <w:bottom w:w="80" w:type="dxa"/>
              <w:end w:w="130" w:type="dxa"/>
            </w:tcMar>
          </w:tcPr>
          <w:p>
            <w:r>
              <w:rPr>
                <w:b/>
                <w:color w:val="00A7A5"/>
              </w:rPr>
              <w:t xml:space="preserve">✓ </w:t>
            </w:r>
            <w:r>
              <w:t>Counterfeit-part prevention and operational-risk controls for AS9100D</w:t>
            </w:r>
          </w:p>
        </w:tc>
        <w:tc>
          <w:tcPr>
            <w:tcW w:type="dxa" w:w="5040"/>
            <w:shd w:fill="F5F7F9"/>
            <w:tcMar>
              <w:top w:w="80" w:type="dxa"/>
              <w:start w:w="130" w:type="dxa"/>
              <w:bottom w:w="80" w:type="dxa"/>
              <w:end w:w="130" w:type="dxa"/>
            </w:tcMar>
          </w:tcPr>
          <w:p>
            <w:r>
              <w:rPr>
                <w:b/>
                <w:color w:val="00A7A5"/>
              </w:rPr>
              <w:t xml:space="preserve">✓ </w:t>
            </w:r>
            <w:r>
              <w:t>Audit observation and corrective-action tracker</w:t>
            </w:r>
          </w:p>
        </w:tc>
      </w:tr>
    </w:tbl>
    <w:p>
      <w:pPr>
        <w:pStyle w:val="Heading2"/>
      </w:pPr>
      <w:r>
        <w:t>AS9100D controls for aerospace, defence and drone organizations</w:t>
      </w:r>
    </w:p>
    <w:p>
      <w:r>
        <w:t>For AS9100D projects, AeroSpark strengthens the ISO 9001 foundation with aerospace-focused controls that support product integrity, traceability and supply-chain confidence.</w:t>
      </w:r>
    </w:p>
    <w:p>
      <w:pPr>
        <w:pStyle w:val="ListBullet"/>
      </w:pPr>
      <w:r>
        <w:t>Product safety and awareness across relevant functions</w:t>
      </w:r>
    </w:p>
    <w:p>
      <w:pPr>
        <w:pStyle w:val="ListBullet"/>
      </w:pPr>
      <w:r>
        <w:t>Configuration identification, change control and status accounting</w:t>
      </w:r>
    </w:p>
    <w:p>
      <w:pPr>
        <w:pStyle w:val="ListBullet"/>
      </w:pPr>
      <w:r>
        <w:t>Operational risk management and project-level controls</w:t>
      </w:r>
    </w:p>
    <w:p>
      <w:pPr>
        <w:pStyle w:val="ListBullet"/>
      </w:pPr>
      <w:r>
        <w:t>Prevention of counterfeit or unapproved parts</w:t>
      </w:r>
    </w:p>
    <w:p>
      <w:pPr>
        <w:pStyle w:val="ListBullet"/>
      </w:pPr>
      <w:r>
        <w:t>Supplier approval, monitoring and external-provider control</w:t>
      </w:r>
    </w:p>
    <w:p>
      <w:pPr>
        <w:pStyle w:val="ListBullet"/>
      </w:pPr>
      <w:r>
        <w:t>Control of special requirements, critical items and key characteristics where applicable</w:t>
      </w:r>
    </w:p>
    <w:p>
      <w:pPr>
        <w:pStyle w:val="ListBullet"/>
      </w:pPr>
      <w:r>
        <w:t>Human factors, ethical behaviour and quality culture awareness</w:t>
      </w:r>
    </w:p>
    <w:p>
      <w:pPr>
        <w:pStyle w:val="ListBullet"/>
      </w:pPr>
      <w:r>
        <w:t>Design, production and service controls aligned to aerospace customer requirements</w:t>
      </w:r>
    </w:p>
    <w:tbl>
      <w:tblPr>
        <w:tblW w:type="auto" w:w="0"/>
        <w:jc w:val="center"/>
        <w:tblLook w:firstColumn="1" w:firstRow="1" w:lastColumn="0" w:lastRow="0" w:noHBand="0" w:noVBand="1" w:val="04A0"/>
      </w:tblPr>
      <w:tblGrid>
        <w:gridCol w:w="10080"/>
      </w:tblGrid>
      <w:tr>
        <w:trPr>
          <w:cantSplit/>
        </w:trPr>
        <w:tc>
          <w:tcPr>
            <w:tcW w:type="dxa" w:w="10080"/>
            <w:shd w:fill="EAF8F7"/>
            <w:tcMar>
              <w:top w:w="170" w:type="dxa"/>
              <w:start w:w="200" w:type="dxa"/>
              <w:bottom w:w="170" w:type="dxa"/>
              <w:end w:w="200" w:type="dxa"/>
            </w:tcMar>
          </w:tcPr>
          <w:p>
            <w:r>
              <w:rPr>
                <w:b/>
                <w:color w:val="00A7A5"/>
              </w:rPr>
              <w:t xml:space="preserve">Already certified to ISO 9001? </w:t>
            </w:r>
            <w:r>
              <w:t>We can assess the existing QMS, identify the aerospace-specific gaps and create a structured upgrade path toward AS9100D.</w:t>
            </w:r>
          </w:p>
        </w:tc>
      </w:tr>
    </w:tbl>
    <w:p>
      <w:pPr>
        <w:pStyle w:val="Heading2"/>
      </w:pPr>
      <w:r>
        <w:t>Who we support</w:t>
      </w:r>
    </w:p>
    <w:p>
      <w:r>
        <w:t>Our Quality Management System services are suitable for new businesses, growing organizations and established companies looking to strengthen or certify their processes.</w:t>
      </w:r>
    </w:p>
    <w:p>
      <w:pPr>
        <w:pStyle w:val="ListBullet"/>
      </w:pPr>
      <w:r>
        <w:t>Manufacturing and engineering companies</w:t>
      </w:r>
    </w:p>
    <w:p>
      <w:pPr>
        <w:pStyle w:val="ListBullet"/>
      </w:pPr>
      <w:r>
        <w:t>Drone manufacturers and UAS technology organizations</w:t>
      </w:r>
    </w:p>
    <w:p>
      <w:pPr>
        <w:pStyle w:val="ListBullet"/>
      </w:pPr>
      <w:r>
        <w:t>Aviation, space, aerospace and defence suppliers</w:t>
      </w:r>
    </w:p>
    <w:p>
      <w:pPr>
        <w:pStyle w:val="ListBullet"/>
      </w:pPr>
      <w:r>
        <w:t>Electronics, avionics and precision-component manufacturers</w:t>
      </w:r>
    </w:p>
    <w:p>
      <w:pPr>
        <w:pStyle w:val="ListBullet"/>
      </w:pPr>
      <w:r>
        <w:t>Design, development and technical service organizations</w:t>
      </w:r>
    </w:p>
    <w:p>
      <w:pPr>
        <w:pStyle w:val="ListBullet"/>
      </w:pPr>
      <w:r>
        <w:t>Testing laboratories and inspection businesses</w:t>
      </w:r>
    </w:p>
    <w:p>
      <w:pPr>
        <w:pStyle w:val="ListBullet"/>
      </w:pPr>
      <w:r>
        <w:t>Startups building their first formal quality system</w:t>
      </w:r>
    </w:p>
    <w:p>
      <w:pPr>
        <w:pStyle w:val="ListBullet"/>
      </w:pPr>
      <w:r>
        <w:t>ISO 9001-certified organizations upgrading to AS9100D</w:t>
      </w:r>
    </w:p>
    <w:p>
      <w:pPr>
        <w:pStyle w:val="ListBullet"/>
      </w:pPr>
      <w:r>
        <w:t>Companies preparing for Stage 1 or Stage 2 certification audits</w:t>
      </w:r>
    </w:p>
    <w:p>
      <w:pPr>
        <w:pStyle w:val="ListBullet"/>
      </w:pPr>
      <w:r>
        <w:t>Organizations facing audit observations or recurring quality issues</w:t>
      </w:r>
    </w:p>
    <w:p>
      <w:pPr>
        <w:pStyle w:val="Heading2"/>
      </w:pPr>
      <w:r>
        <w:t>Why choose AeroSpark?</w:t>
      </w:r>
    </w:p>
    <w:p>
      <w:r>
        <w:rPr>
          <w:b/>
          <w:color w:val="17324D"/>
        </w:rPr>
        <w:t xml:space="preserve">Practical, not template-heavy: </w:t>
      </w:r>
      <w:r>
        <w:t>Your QMS is designed around real workflows, responsibilities and records instead of unnecessary paperwork.</w:t>
      </w:r>
    </w:p>
    <w:p>
      <w:r>
        <w:rPr>
          <w:b/>
          <w:color w:val="17324D"/>
        </w:rPr>
        <w:t xml:space="preserve">Built for implementation: </w:t>
      </w:r>
      <w:r>
        <w:t>We help your team use the system in daily operations, not simply prepare documents for the audit.</w:t>
      </w:r>
    </w:p>
    <w:p>
      <w:r>
        <w:rPr>
          <w:b/>
          <w:color w:val="17324D"/>
        </w:rPr>
        <w:t xml:space="preserve">Aerospace and drone understanding: </w:t>
      </w:r>
      <w:r>
        <w:t>For AS9100D projects, our sector knowledge helps connect quality controls with engineering, manufacturing and product safety.</w:t>
      </w:r>
    </w:p>
    <w:p>
      <w:r>
        <w:rPr>
          <w:b/>
          <w:color w:val="17324D"/>
        </w:rPr>
        <w:t xml:space="preserve">Clear project milestones: </w:t>
      </w:r>
      <w:r>
        <w:t>Every action, owner and expected record is organized through a transparent implementation plan.</w:t>
      </w:r>
    </w:p>
    <w:p>
      <w:r>
        <w:rPr>
          <w:b/>
          <w:color w:val="17324D"/>
        </w:rPr>
        <w:t xml:space="preserve">Audit-focused support: </w:t>
      </w:r>
      <w:r>
        <w:t>We prepare evidence, train personnel and support corrective actions for Stage 1 and Stage 2 findings.</w:t>
      </w:r>
    </w:p>
    <w:p>
      <w:r>
        <w:rPr>
          <w:b/>
          <w:color w:val="17324D"/>
        </w:rPr>
        <w:t xml:space="preserve">One coordinated partner: </w:t>
      </w:r>
      <w:r>
        <w:t>Gap analysis, documentation, implementation, training and audit readiness are managed through one team.</w:t>
      </w:r>
    </w:p>
    <w:p>
      <w:pPr>
        <w:pStyle w:val="Heading2"/>
      </w:pPr>
      <w:r>
        <w:t>Frequently asked questions</w:t>
      </w:r>
    </w:p>
    <w:p>
      <w:pPr>
        <w:pStyle w:val="Heading3"/>
      </w:pPr>
      <w:r>
        <w:t>Which standard is right for my organization?</w:t>
      </w:r>
    </w:p>
    <w:p>
      <w:r>
        <w:t>ISO 9001:2015 is suitable for organizations across industries. AS9100D is intended for organizations working in aviation, space, aerospace and defence supply chains or where customers require aerospace-specific quality controls.</w:t>
      </w:r>
    </w:p>
    <w:p>
      <w:pPr>
        <w:pStyle w:val="Heading3"/>
      </w:pPr>
      <w:r>
        <w:t>Can AeroSpark build a QMS from the beginning?</w:t>
      </w:r>
    </w:p>
    <w:p>
      <w:r>
        <w:t>Yes. We can support organizations that do not yet have a formal QMS, as well as companies that already have procedures but need a complete and controlled system.</w:t>
      </w:r>
    </w:p>
    <w:p>
      <w:pPr>
        <w:pStyle w:val="Heading3"/>
      </w:pPr>
      <w:r>
        <w:t>Can an existing ISO 9001 system be upgraded to AS9100D?</w:t>
      </w:r>
    </w:p>
    <w:p>
      <w:r>
        <w:t>Yes. We review the existing ISO 9001 system, retain effective controls and add the aerospace-specific requirements needed for AS9100D readiness.</w:t>
      </w:r>
    </w:p>
    <w:p>
      <w:pPr>
        <w:pStyle w:val="Heading3"/>
      </w:pPr>
      <w:r>
        <w:t>Do you prepare all QMS documents?</w:t>
      </w:r>
    </w:p>
    <w:p>
      <w:r>
        <w:t>We prepare the applicable policies, procedures, formats, registers and process controls required for the agreed scope. The system is tailored to the organization rather than copied from a generic template.</w:t>
      </w:r>
    </w:p>
    <w:p>
      <w:pPr>
        <w:pStyle w:val="Heading3"/>
      </w:pPr>
      <w:r>
        <w:t>Do you support certification audits?</w:t>
      </w:r>
    </w:p>
    <w:p>
      <w:r>
        <w:t>Yes. We support Stage 1 and Stage 2 readiness, evidence organization, employee preparation and corrective actions for observations raised by the selected Certification Body.</w:t>
      </w:r>
    </w:p>
    <w:p>
      <w:pPr>
        <w:pStyle w:val="Heading3"/>
      </w:pPr>
      <w:r>
        <w:t>Does AeroSpark issue ISO 9001 or AS9100D certificates?</w:t>
      </w:r>
    </w:p>
    <w:p>
      <w:r>
        <w:t>No. AeroSpark provides QMS consulting and certification-readiness support. Certification is independently assessed and issued by an appropriate Certification Body.</w:t>
      </w:r>
    </w:p>
    <w:p>
      <w:pPr>
        <w:pStyle w:val="Heading3"/>
      </w:pPr>
      <w:r>
        <w:t>How long does QMS implementation take?</w:t>
      </w:r>
    </w:p>
    <w:p>
      <w:r>
        <w:t>The effort depends on the organization size, number of processes, current level of implementation and audit readiness. The project is planned through milestones rather than a one-size-fits-all duration.</w:t>
      </w:r>
    </w:p>
    <w:tbl>
      <w:tblPr>
        <w:tblW w:type="auto" w:w="0"/>
        <w:jc w:val="center"/>
        <w:tblLook w:firstColumn="1" w:firstRow="1" w:lastColumn="0" w:lastRow="0" w:noHBand="0" w:noVBand="1" w:val="04A0"/>
      </w:tblPr>
      <w:tblGrid>
        <w:gridCol w:w="10080"/>
      </w:tblGrid>
      <w:tr>
        <w:trPr>
          <w:cantSplit/>
        </w:trPr>
        <w:tc>
          <w:tcPr>
            <w:tcW w:type="dxa" w:w="10080"/>
            <w:shd w:fill="17324D"/>
            <w:tcMar>
              <w:top w:w="250" w:type="dxa"/>
              <w:start w:w="250" w:type="dxa"/>
              <w:bottom w:w="250" w:type="dxa"/>
              <w:end w:w="250" w:type="dxa"/>
            </w:tcMar>
          </w:tcPr>
          <w:p>
            <w:pPr>
              <w:jc w:val="center"/>
            </w:pPr>
            <w:r>
              <w:rPr>
                <w:b/>
                <w:color w:val="FFFFFF"/>
                <w:sz w:val="34"/>
              </w:rPr>
              <w:t>Ready to build a QMS that works beyond the audit?</w:t>
            </w:r>
          </w:p>
          <w:p>
            <w:pPr>
              <w:jc w:val="center"/>
            </w:pPr>
            <w:r>
              <w:rPr>
                <w:color w:val="FFFFFF"/>
                <w:sz w:val="22"/>
              </w:rPr>
              <w:t>Tell us about your organization, current processes and certification goal. AeroSpark will help define the right ISO 9001:2015 or AS9100D implementation path.</w:t>
            </w:r>
          </w:p>
          <w:p>
            <w:pPr>
              <w:jc w:val="center"/>
            </w:pPr>
            <w:r>
              <w:rPr>
                <w:b/>
                <w:color w:val="00A7A5"/>
                <w:sz w:val="23"/>
              </w:rPr>
              <w:t>CTA: Request a QMS gap assessment</w:t>
            </w:r>
          </w:p>
        </w:tc>
      </w:tr>
    </w:tbl>
    <w:p>
      <w:pPr>
        <w:pStyle w:val="Heading1"/>
      </w:pPr>
      <w:r>
        <w:t>SEO implementation notes for the developer</w:t>
      </w:r>
    </w:p>
    <w:p>
      <w:pPr>
        <w:pStyle w:val="ListBullet"/>
      </w:pPr>
      <w:r>
        <w:t>Use only one H1 on the page: “Quality Management System Services”.</w:t>
      </w:r>
    </w:p>
    <w:p>
      <w:pPr>
        <w:pStyle w:val="ListBullet"/>
      </w:pPr>
      <w:r>
        <w:t>Show “ISO 9001:2015 &amp; AS9100D” directly below the H1 as the standard-focused subheading.</w:t>
      </w:r>
    </w:p>
    <w:p>
      <w:pPr>
        <w:pStyle w:val="ListBullet"/>
      </w:pPr>
      <w:r>
        <w:t>Use the process titles as H3 headings under the H2 “Our QMS implementation process”.</w:t>
      </w:r>
    </w:p>
    <w:p>
      <w:pPr>
        <w:pStyle w:val="ListBullet"/>
      </w:pPr>
      <w:r>
        <w:t>Keep the important service text visible in the HTML. Do not place primary content only inside images, sliders or canvas elements.</w:t>
      </w:r>
    </w:p>
    <w:p>
      <w:pPr>
        <w:pStyle w:val="ListBullet"/>
      </w:pPr>
      <w:r>
        <w:t>Create internal links from the main Consultation page, Drone Type Certification page, testing services and aerospace consulting pages.</w:t>
      </w:r>
    </w:p>
    <w:p>
      <w:pPr>
        <w:pStyle w:val="ListBullet"/>
      </w:pPr>
      <w:r>
        <w:t>Use Service structured data for the page. Add FAQPage structured data only when the FAQs are visible on the webpage and meet current search-engine guidelines.</w:t>
      </w:r>
    </w:p>
    <w:p>
      <w:pPr>
        <w:pStyle w:val="ListBullet"/>
      </w:pPr>
      <w:r>
        <w:t>Add a canonical tag, include the final URL in the XML sitemap and use a clear breadcrumb such as Home &gt; Consultation &gt; Quality Management System Services.</w:t>
      </w:r>
    </w:p>
    <w:p>
      <w:pPr>
        <w:pStyle w:val="ListBullet"/>
      </w:pPr>
      <w:r>
        <w:t>Use real images of process reviews, training, manufacturing controls or audits rather than generic certificate graphics.</w:t>
      </w:r>
    </w:p>
    <w:p>
      <w:pPr>
        <w:pStyle w:val="ListBullet"/>
      </w:pPr>
      <w:r>
        <w:t>Do not state or imply that AeroSpark issues ISO 9001 or AS9100D certificates. Keep the wording as consulting, implementation and certification support.</w:t>
      </w:r>
    </w:p>
    <w:p>
      <w:pPr>
        <w:pStyle w:val="Heading2"/>
      </w:pPr>
      <w:r>
        <w:t>Suggested image alt text</w:t>
      </w:r>
    </w:p>
    <w:p>
      <w:pPr>
        <w:pStyle w:val="ListBullet"/>
      </w:pPr>
      <w:r>
        <w:t>Quality Management System consulting services in India</w:t>
      </w:r>
    </w:p>
    <w:p>
      <w:pPr>
        <w:pStyle w:val="ListBullet"/>
      </w:pPr>
      <w:r>
        <w:t>ISO 9001 QMS implementation and audit support</w:t>
      </w:r>
    </w:p>
    <w:p>
      <w:pPr>
        <w:pStyle w:val="ListBullet"/>
      </w:pPr>
      <w:r>
        <w:t>AS9100D aerospace quality management system consulting</w:t>
      </w:r>
    </w:p>
    <w:p>
      <w:pPr>
        <w:pStyle w:val="ListBullet"/>
      </w:pPr>
      <w:r>
        <w:t>QMS employee training and internal audit preparation</w:t>
      </w:r>
    </w:p>
    <w:p>
      <w:pPr>
        <w:pStyle w:val="ListBullet"/>
      </w:pPr>
      <w:r>
        <w:t>Aerospace manufacturing quality process review</w:t>
      </w:r>
    </w:p>
    <w:p>
      <w:pPr>
        <w:pStyle w:val="Heading2"/>
      </w:pPr>
      <w:r>
        <w:t>Publishing accuracy note - not website copy</w:t>
      </w:r>
    </w:p>
    <w:p>
      <w:r>
        <w:t>As of 4 August 2026, ISO lists ISO 9001:2015 as the current published edition and expects the next edition in September 2026. Update the edition reference, metadata and webpage wording after the new edition is formally published and the transition requirements are confirmed. AS9100D corresponds to the 9100:2016-series aerospace QMS standard currently referenced by IAQG.</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D6973"/>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D6973"/>
        <w:sz w:val="16"/>
      </w:rPr>
      <w:t>AEROSPARK  |  WEBSITE CONTENT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24D"/>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7324D"/>
      <w:sz w:val="30"/>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00A7A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abel">
    <w:name w:val="Label"/>
    <w:pPr>
      <w:spacing w:after="60"/>
    </w:pPr>
    <w:rPr>
      <w:rFonts w:ascii="Aptos" w:hAnsi="Aptos"/>
      <w:b/>
      <w:color w:val="00A7A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