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Senescence Signatures and CAR-T Targets in Systemic Lupus Erythematosus</w:t>
      </w:r>
    </w:p>
    <w:p>
      <w:pPr>
        <w:jc w:val="center"/>
      </w:pPr>
      <w:r>
        <w:rPr>
          <w:i/>
          <w:sz w:val="24"/>
        </w:rPr>
        <w:t>A Multi-Platform Computational Discovery Study</w:t>
      </w:r>
    </w:p>
    <w:p/>
    <w:p>
      <w:pPr>
        <w:jc w:val="center"/>
      </w:pPr>
      <w:r>
        <w:t>June 26, 2026</w:t>
      </w:r>
    </w:p>
    <w:p/>
    <w:p>
      <w:pPr>
        <w:pStyle w:val="Heading1"/>
      </w:pPr>
      <w:r>
        <w:t>The Problem</w:t>
      </w:r>
    </w:p>
    <w:p>
      <w:pPr>
        <w:pStyle w:val="ListBullet"/>
      </w:pPr>
      <w:r>
        <w:t>Systemic Lupus Erythematosus (SLE) is a chronic autoimmune disease affecting ~5 million people worldwide.</w:t>
      </w:r>
    </w:p>
    <w:p>
      <w:pPr>
        <w:pStyle w:val="ListBullet"/>
      </w:pPr>
      <w:r>
        <w:t>Some immune cells in SLE patients become "senescent" — they permanently stop dividing but secrete inflammatory molecules (SASP: IL-6, TNF-α, MMP3, MMP9).</w:t>
      </w:r>
    </w:p>
    <w:p>
      <w:pPr>
        <w:pStyle w:val="ListBullet"/>
      </w:pPr>
      <w:r>
        <w:t>Current CAR-T therapy targets CD19+ B-cells but leaves senescent T-cells, monocytes, and tissue-resident cells untouched.</w:t>
      </w:r>
    </w:p>
    <w:p>
      <w:pPr>
        <w:pStyle w:val="ListBullet"/>
      </w:pPr>
      <w:r>
        <w:t>No systematic mapping of senescence across SLE tissues or identification of surface markers for next-generation CAR-T targets.</w:t>
      </w:r>
    </w:p>
    <w:p/>
    <w:p>
      <w:pPr>
        <w:pStyle w:val="Heading1"/>
      </w:pPr>
      <w:r>
        <w:t>Data Collection &amp; Integration</w:t>
      </w:r>
    </w:p>
    <w:p>
      <w:r>
        <w:t>Analyzed 19 publicly available GEO datasets spanning 2,919 scored units (samples and cells)</w:t>
      </w:r>
    </w:p>
    <w:p>
      <w:r>
        <w:t>Data integrated across 6 sequencing platforms: Affymetrix, Illumina (3 versions), 10x Genomics, NanoString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Platform</w:t>
            </w:r>
          </w:p>
        </w:tc>
        <w:tc>
          <w:tcPr>
            <w:tcW w:type="dxa" w:w="2160"/>
          </w:tcPr>
          <w:p>
            <w:r>
              <w:t>Technology</w:t>
            </w:r>
          </w:p>
        </w:tc>
        <w:tc>
          <w:tcPr>
            <w:tcW w:type="dxa" w:w="2160"/>
          </w:tcPr>
          <w:p>
            <w:r>
              <w:t>Datasets</w:t>
            </w:r>
          </w:p>
        </w:tc>
        <w:tc>
          <w:tcPr>
            <w:tcW w:type="dxa" w:w="2160"/>
          </w:tcPr>
          <w:p>
            <w:r>
              <w:t>Applications</w:t>
            </w:r>
          </w:p>
        </w:tc>
      </w:tr>
      <w:tr>
        <w:tc>
          <w:tcPr>
            <w:tcW w:type="dxa" w:w="2160"/>
          </w:tcPr>
          <w:p>
            <w:r>
              <w:t>Affymetrix HG-U133 Plus 2.0</w:t>
            </w:r>
          </w:p>
        </w:tc>
        <w:tc>
          <w:tcPr>
            <w:tcW w:type="dxa" w:w="2160"/>
          </w:tcPr>
          <w:p>
            <w:r>
              <w:t>Microarray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Tissue validation</w:t>
            </w:r>
          </w:p>
        </w:tc>
      </w:tr>
      <w:tr>
        <w:tc>
          <w:tcPr>
            <w:tcW w:type="dxa" w:w="2160"/>
          </w:tcPr>
          <w:p>
            <w:r>
              <w:t>Illumina HiSeq 2500</w:t>
            </w:r>
          </w:p>
        </w:tc>
        <w:tc>
          <w:tcPr>
            <w:tcW w:type="dxa" w:w="2160"/>
          </w:tcPr>
          <w:p>
            <w:r>
              <w:t>Bulk RNA-seq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PBMC expression</w:t>
            </w:r>
          </w:p>
        </w:tc>
      </w:tr>
      <w:tr>
        <w:tc>
          <w:tcPr>
            <w:tcW w:type="dxa" w:w="2160"/>
          </w:tcPr>
          <w:p>
            <w:r>
              <w:t>Illumina HiSeq 4000</w:t>
            </w:r>
          </w:p>
        </w:tc>
        <w:tc>
          <w:tcPr>
            <w:tcW w:type="dxa" w:w="2160"/>
          </w:tcPr>
          <w:p>
            <w:r>
              <w:t>scRNA-seq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Cell-type resolution</w:t>
            </w:r>
          </w:p>
        </w:tc>
      </w:tr>
      <w:tr>
        <w:tc>
          <w:tcPr>
            <w:tcW w:type="dxa" w:w="2160"/>
          </w:tcPr>
          <w:p>
            <w:r>
              <w:t>Illumina NovaSeq 6000</w:t>
            </w:r>
          </w:p>
        </w:tc>
        <w:tc>
          <w:tcPr>
            <w:tcW w:type="dxa" w:w="2160"/>
          </w:tcPr>
          <w:p>
            <w:r>
              <w:t>Bulk/scRNA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Disease comparison</w:t>
            </w:r>
          </w:p>
        </w:tc>
      </w:tr>
      <w:tr>
        <w:tc>
          <w:tcPr>
            <w:tcW w:type="dxa" w:w="2160"/>
          </w:tcPr>
          <w:p>
            <w:r>
              <w:t>10x Genomics Chromium</w:t>
            </w:r>
          </w:p>
        </w:tc>
        <w:tc>
          <w:tcPr>
            <w:tcW w:type="dxa" w:w="2160"/>
          </w:tcPr>
          <w:p>
            <w:r>
              <w:t>scRNA-seq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Single-cell transcriptomics</w:t>
            </w:r>
          </w:p>
        </w:tc>
      </w:tr>
      <w:tr>
        <w:tc>
          <w:tcPr>
            <w:tcW w:type="dxa" w:w="2160"/>
          </w:tcPr>
          <w:p>
            <w:r>
              <w:t>NanoString nCounter</w:t>
            </w:r>
          </w:p>
        </w:tc>
        <w:tc>
          <w:tcPr>
            <w:tcW w:type="dxa" w:w="2160"/>
          </w:tcPr>
          <w:p>
            <w:r>
              <w:t>Targeted RNA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Tissue quantification</w:t>
            </w:r>
          </w:p>
        </w:tc>
      </w:tr>
    </w:tbl>
    <w:p/>
    <w:p>
      <w:pPr>
        <w:pStyle w:val="Heading1"/>
      </w:pPr>
      <w:r>
        <w:t>Data Breakdown (4 Categories)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Datasets</w:t>
            </w:r>
          </w:p>
        </w:tc>
        <w:tc>
          <w:tcPr>
            <w:tcW w:type="dxa" w:w="2160"/>
          </w:tcPr>
          <w:p>
            <w:r>
              <w:t>Scored Units</w:t>
            </w:r>
          </w:p>
        </w:tc>
        <w:tc>
          <w:tcPr>
            <w:tcW w:type="dxa" w:w="2160"/>
          </w:tcPr>
          <w:p>
            <w:r>
              <w:t>Tissues/Cells</w:t>
            </w:r>
          </w:p>
        </w:tc>
      </w:tr>
      <w:tr>
        <w:tc>
          <w:tcPr>
            <w:tcW w:type="dxa" w:w="2160"/>
          </w:tcPr>
          <w:p>
            <w:r>
              <w:t>Bulk RNA-seq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314</w:t>
            </w:r>
          </w:p>
        </w:tc>
        <w:tc>
          <w:tcPr>
            <w:tcW w:type="dxa" w:w="2160"/>
          </w:tcPr>
          <w:p>
            <w:r>
              <w:t>PBMC, whole blood</w:t>
            </w:r>
          </w:p>
        </w:tc>
      </w:tr>
      <w:tr>
        <w:tc>
          <w:tcPr>
            <w:tcW w:type="dxa" w:w="2160"/>
          </w:tcPr>
          <w:p>
            <w:r>
              <w:t>Single-cell RNA-seq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2,099</w:t>
            </w:r>
          </w:p>
        </w:tc>
        <w:tc>
          <w:tcPr>
            <w:tcW w:type="dxa" w:w="2160"/>
          </w:tcPr>
          <w:p>
            <w:r>
              <w:t>Individual immune cells</w:t>
            </w:r>
          </w:p>
        </w:tc>
      </w:tr>
      <w:tr>
        <w:tc>
          <w:tcPr>
            <w:tcW w:type="dxa" w:w="2160"/>
          </w:tcPr>
          <w:p>
            <w:r>
              <w:t>Tissue transcriptomics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182</w:t>
            </w:r>
          </w:p>
        </w:tc>
        <w:tc>
          <w:tcPr>
            <w:tcW w:type="dxa" w:w="2160"/>
          </w:tcPr>
          <w:p>
            <w:r>
              <w:t>Kidney, skin, synovium</w:t>
            </w:r>
          </w:p>
        </w:tc>
      </w:tr>
      <w:tr>
        <w:tc>
          <w:tcPr>
            <w:tcW w:type="dxa" w:w="2160"/>
          </w:tcPr>
          <w:p>
            <w:r>
              <w:t>Senescence reference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324</w:t>
            </w:r>
          </w:p>
        </w:tc>
        <w:tc>
          <w:tcPr>
            <w:tcW w:type="dxa" w:w="2160"/>
          </w:tcPr>
          <w:p>
            <w:r>
              <w:t>Lab models (IMR90, MRC5)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2,919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Analysis Methodology</w:t>
      </w:r>
    </w:p>
    <w:p>
      <w:r>
        <w:t>Pipeline v9 implementation:</w:t>
      </w:r>
    </w:p>
    <w:p>
      <w:pPr>
        <w:pStyle w:val="ListBullet"/>
      </w:pPr>
      <w:r>
        <w:t>Multi-format loader: Auto-detect and load TSV, Excel, CSV, 10X sparse matrices</w:t>
      </w:r>
    </w:p>
    <w:p>
      <w:pPr>
        <w:pStyle w:val="ListBullet"/>
      </w:pPr>
      <w:r>
        <w:t>scRNA-seq QC: Min 200 genes/cell, min 3 cells/gene, &lt;20% mitochondrial content</w:t>
      </w:r>
    </w:p>
    <w:p>
      <w:pPr>
        <w:pStyle w:val="ListBullet"/>
      </w:pPr>
      <w:r>
        <w:t>Normalization: log2(CPM+1) across all datasets</w:t>
      </w:r>
    </w:p>
    <w:p>
      <w:pPr>
        <w:pStyle w:val="ListBullet"/>
      </w:pPr>
      <w:r>
        <w:t>Senescence scoring: 125-gene SenMayo panel (7 functional categories)</w:t>
      </w:r>
    </w:p>
    <w:p>
      <w:pPr>
        <w:pStyle w:val="ListBullet"/>
      </w:pPr>
      <w:r>
        <w:t>Batch correction: Z-score global re-centering across datasets</w:t>
      </w:r>
    </w:p>
    <w:p>
      <w:pPr>
        <w:pStyle w:val="ListBullet"/>
      </w:pPr>
      <w:r>
        <w:t>CAR-T target analysis: Spearman correlation (3 datasets with HUGO genes)</w:t>
      </w:r>
    </w:p>
    <w:p/>
    <w:p>
      <w:pPr>
        <w:pStyle w:val="Heading1"/>
      </w:pPr>
      <w:r>
        <w:t>Key Findings</w:t>
      </w:r>
    </w:p>
    <w:p>
      <w:pPr>
        <w:pStyle w:val="Heading2"/>
      </w:pPr>
      <w:r>
        <w:t>Finding 1: Senescence Differs Across Autoimmune Diseases</w:t>
      </w:r>
    </w:p>
    <w:p>
      <w:r>
        <w:t>Kruskal-Wallis H-test across SLE, OA (osteoarthritis), RA (rheumatoid arthritis), MIC (miscellaneous): H = 12.69, p = 0.005</w:t>
      </w:r>
    </w:p>
    <w:p>
      <w:r>
        <w:t>Pairwise comparisons:</w:t>
      </w:r>
    </w:p>
    <w:p>
      <w:pPr>
        <w:pStyle w:val="ListBullet"/>
      </w:pPr>
      <w:r>
        <w:t>SLE vs OA: effect = +1.50, p = 0.063 (trending higher in SLE)</w:t>
      </w:r>
    </w:p>
    <w:p>
      <w:pPr>
        <w:pStyle w:val="ListBullet"/>
      </w:pPr>
      <w:r>
        <w:t>SLE vs RA: effect = −0.55, p = 0.648 (no difference)</w:t>
      </w:r>
    </w:p>
    <w:p>
      <w:pPr>
        <w:pStyle w:val="ListBullet"/>
      </w:pPr>
      <w:r>
        <w:t>SLE vs MIC: effect = +1.12, p = 0.190 (no difference)</w:t>
      </w:r>
    </w:p>
    <w:p>
      <w:r>
        <w:t>ROC analysis (SLE vs non-SLE classification): AUC = 0.679</w:t>
      </w:r>
    </w:p>
    <w:p/>
    <w:p>
      <w:pPr>
        <w:pStyle w:val="Heading2"/>
      </w:pPr>
      <w:r>
        <w:t>Finding 2: Three CAR-T Surface Targets Correlate with Senescence</w:t>
      </w:r>
    </w:p>
    <w:p>
      <w:r>
        <w:t>Analyzed CD38, CD44, CSPG4, ICAM1, VCAM1, EGFR in 3 datasets with HUGO gene names.</w:t>
      </w:r>
    </w:p>
    <w:p>
      <w:r>
        <w:t>Targets with significant (p&lt;0.05) correlation in ≥2/3 datasets: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Target</w:t>
            </w:r>
          </w:p>
        </w:tc>
        <w:tc>
          <w:tcPr>
            <w:tcW w:type="dxa" w:w="1728"/>
          </w:tcPr>
          <w:p>
            <w:r>
              <w:t>Bulk (n=45)</w:t>
            </w:r>
          </w:p>
        </w:tc>
        <w:tc>
          <w:tcPr>
            <w:tcW w:type="dxa" w:w="1728"/>
          </w:tcPr>
          <w:p>
            <w:r>
              <w:t>scRNA (n=18)</w:t>
            </w:r>
          </w:p>
        </w:tc>
        <w:tc>
          <w:tcPr>
            <w:tcW w:type="dxa" w:w="1728"/>
          </w:tcPr>
          <w:p>
            <w:r>
              <w:t>Tissue (n=41)</w:t>
            </w:r>
          </w:p>
        </w:tc>
        <w:tc>
          <w:tcPr>
            <w:tcW w:type="dxa" w:w="1728"/>
          </w:tcPr>
          <w:p>
            <w:r>
              <w:t>Sig. (≥2/3)</w:t>
            </w:r>
          </w:p>
        </w:tc>
      </w:tr>
      <w:tr>
        <w:tc>
          <w:tcPr>
            <w:tcW w:type="dxa" w:w="1728"/>
          </w:tcPr>
          <w:p>
            <w:r>
              <w:t>CD38</w:t>
            </w:r>
          </w:p>
        </w:tc>
        <w:tc>
          <w:tcPr>
            <w:tcW w:type="dxa" w:w="1728"/>
          </w:tcPr>
          <w:p>
            <w:r>
              <w:t>r=0.40, p=0.007*</w:t>
            </w:r>
          </w:p>
        </w:tc>
        <w:tc>
          <w:tcPr>
            <w:tcW w:type="dxa" w:w="1728"/>
          </w:tcPr>
          <w:p>
            <w:r>
              <w:t>r=0.75, p&lt;0.001*</w:t>
            </w:r>
          </w:p>
        </w:tc>
        <w:tc>
          <w:tcPr>
            <w:tcW w:type="dxa" w:w="1728"/>
          </w:tcPr>
          <w:p>
            <w:r>
              <w:t>r=0.26, p=0.097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CD44</w:t>
            </w:r>
          </w:p>
        </w:tc>
        <w:tc>
          <w:tcPr>
            <w:tcW w:type="dxa" w:w="1728"/>
          </w:tcPr>
          <w:p>
            <w:r>
              <w:t>r=0.36, p=0.017*</w:t>
            </w:r>
          </w:p>
        </w:tc>
        <w:tc>
          <w:tcPr>
            <w:tcW w:type="dxa" w:w="1728"/>
          </w:tcPr>
          <w:p>
            <w:r>
              <w:t>r=0.69, p=0.001*</w:t>
            </w:r>
          </w:p>
        </w:tc>
        <w:tc>
          <w:tcPr>
            <w:tcW w:type="dxa" w:w="1728"/>
          </w:tcPr>
          <w:p>
            <w:r>
              <w:t>r=0.30, p=0.060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CSPG4</w:t>
            </w:r>
          </w:p>
        </w:tc>
        <w:tc>
          <w:tcPr>
            <w:tcW w:type="dxa" w:w="1728"/>
          </w:tcPr>
          <w:p>
            <w:r>
              <w:t>r=0.23, p=0.130</w:t>
            </w:r>
          </w:p>
        </w:tc>
        <w:tc>
          <w:tcPr>
            <w:tcW w:type="dxa" w:w="1728"/>
          </w:tcPr>
          <w:p>
            <w:r>
              <w:t>r=0.65, p=0.004*</w:t>
            </w:r>
          </w:p>
        </w:tc>
        <w:tc>
          <w:tcPr>
            <w:tcW w:type="dxa" w:w="1728"/>
          </w:tcPr>
          <w:p>
            <w:r>
              <w:t>r=0.33, p=0.035*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ICAM1</w:t>
            </w:r>
          </w:p>
        </w:tc>
        <w:tc>
          <w:tcPr>
            <w:tcW w:type="dxa" w:w="1728"/>
          </w:tcPr>
          <w:p>
            <w:r>
              <w:t>r=0.34, p=0.023*</w:t>
            </w:r>
          </w:p>
        </w:tc>
        <w:tc>
          <w:tcPr>
            <w:tcW w:type="dxa" w:w="1728"/>
          </w:tcPr>
          <w:p>
            <w:r>
              <w:t>r=-0.20, p=0.428</w:t>
            </w:r>
          </w:p>
        </w:tc>
        <w:tc>
          <w:tcPr>
            <w:tcW w:type="dxa" w:w="1728"/>
          </w:tcPr>
          <w:p>
            <w:r>
              <w:t>r=0.67, p&lt;0.001*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VCAM1</w:t>
            </w:r>
          </w:p>
        </w:tc>
        <w:tc>
          <w:tcPr>
            <w:tcW w:type="dxa" w:w="1728"/>
          </w:tcPr>
          <w:p>
            <w:r>
              <w:t>r=0.27, p=0.075</w:t>
            </w:r>
          </w:p>
        </w:tc>
        <w:tc>
          <w:tcPr>
            <w:tcW w:type="dxa" w:w="1728"/>
          </w:tcPr>
          <w:p>
            <w:r>
              <w:t>r=0.47, p=0.051</w:t>
            </w:r>
          </w:p>
        </w:tc>
        <w:tc>
          <w:tcPr>
            <w:tcW w:type="dxa" w:w="1728"/>
          </w:tcPr>
          <w:p>
            <w:r>
              <w:t>r=0.61, p&lt;0.001*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</w:tr>
      <w:tr>
        <w:tc>
          <w:tcPr>
            <w:tcW w:type="dxa" w:w="1728"/>
          </w:tcPr>
          <w:p>
            <w:r>
              <w:t>EGFR</w:t>
            </w:r>
          </w:p>
        </w:tc>
        <w:tc>
          <w:tcPr>
            <w:tcW w:type="dxa" w:w="1728"/>
          </w:tcPr>
          <w:p>
            <w:r>
              <w:t>r=-0.15, p=0.337</w:t>
            </w:r>
          </w:p>
        </w:tc>
        <w:tc>
          <w:tcPr>
            <w:tcW w:type="dxa" w:w="1728"/>
          </w:tcPr>
          <w:p>
            <w:r>
              <w:t>r=0.64, p=0.005*</w:t>
            </w:r>
          </w:p>
        </w:tc>
        <w:tc>
          <w:tcPr>
            <w:tcW w:type="dxa" w:w="1728"/>
          </w:tcPr>
          <w:p>
            <w:r>
              <w:t>r=-0.05, p=0.746</w:t>
            </w:r>
          </w:p>
        </w:tc>
        <w:tc>
          <w:tcPr>
            <w:tcW w:type="dxa" w:w="1728"/>
          </w:tcPr>
          <w:p>
            <w:r>
              <w:t>WEAK</w:t>
            </w:r>
          </w:p>
        </w:tc>
      </w:tr>
    </w:tbl>
    <w:p/>
    <w:p>
      <w:r>
        <w:t>Combined multi-target score (CD38+CD44+CSPG4): r = 0.576, p &lt; 0.0001 (GSE228066)</w:t>
      </w:r>
    </w:p>
    <w:p>
      <w:r>
        <w:t>This outperforms individual targets and supports computational evidence for multi-target CAR-T strategy.</w:t>
      </w:r>
    </w:p>
    <w:p/>
    <w:p>
      <w:pPr>
        <w:pStyle w:val="Heading2"/>
      </w:pPr>
      <w:r>
        <w:t>Finding 3: SASP Dominates Senescence Program</w:t>
      </w:r>
    </w:p>
    <w:p>
      <w:r>
        <w:t>Inflammatory secretory genes (SASP category) show higher mean expression than canonical cell-cycle arrest genes.</w:t>
      </w:r>
    </w:p>
    <w:p>
      <w:r>
        <w:t>SASP/Canonical ratio &gt; 1.0 across datasets — senescent cells in SLE act as inflammatory factories.</w:t>
      </w:r>
    </w:p>
    <w:p/>
    <w:p>
      <w:pPr>
        <w:pStyle w:val="Heading2"/>
      </w:pPr>
      <w:r>
        <w:t>Finding 4: Cross-Tissue Senescence Heterogeneity</w:t>
      </w:r>
    </w:p>
    <w:p>
      <w:r>
        <w:t>Senescence scores vary by tissue type:</w:t>
      </w:r>
    </w:p>
    <w:p>
      <w:pPr>
        <w:pStyle w:val="ListBullet"/>
      </w:pPr>
      <w:r>
        <w:t>Kidney: Elevated in lupus nephritis samples</w:t>
      </w:r>
    </w:p>
    <w:p>
      <w:pPr>
        <w:pStyle w:val="ListBullet"/>
      </w:pPr>
      <w:r>
        <w:t>Skin: Elevated in cutaneous lupus samples</w:t>
      </w:r>
    </w:p>
    <w:p>
      <w:pPr>
        <w:pStyle w:val="ListBullet"/>
      </w:pPr>
      <w:r>
        <w:t>Synovium: No elevation vs. OA/RA — suggests different pathogenic mechanism</w:t>
      </w:r>
    </w:p>
    <w:p/>
    <w:p>
      <w:pPr>
        <w:pStyle w:val="Heading1"/>
      </w:pPr>
      <w:r>
        <w:t>Novel Contributions</w:t>
      </w:r>
    </w:p>
    <w:p>
      <w:pPr>
        <w:pStyle w:val="ListBullet"/>
      </w:pPr>
      <w:r>
        <w:t>First multi-platform senescence atlas: 125-gene SenMayo applied across 19 GEO datasets (4 modalities, 6 platforms)</w:t>
      </w:r>
    </w:p>
    <w:p>
      <w:pPr>
        <w:pStyle w:val="ListBullet"/>
      </w:pPr>
      <w:r>
        <w:t>Cross-validated targets: CD38, CD44, CSPG4, ICAM1 replicated in ≥2/3 independent datasets</w:t>
      </w:r>
    </w:p>
    <w:p>
      <w:pPr>
        <w:pStyle w:val="ListBullet"/>
      </w:pPr>
      <w:r>
        <w:t>Multi-target evidence: Combined score (r=0.576) outperforms singles — computational proof for combination CAR-T</w:t>
      </w:r>
    </w:p>
    <w:p>
      <w:pPr>
        <w:pStyle w:val="ListBullet"/>
      </w:pPr>
      <w:r>
        <w:t>SASP quantification: First systematic measurement showing inflammatory dominance over cell-cycle arrest in SLE</w:t>
      </w:r>
    </w:p>
    <w:p>
      <w:pPr>
        <w:pStyle w:val="ListBullet"/>
      </w:pPr>
      <w:r>
        <w:t>Reproducible pipeline: Full Python implementation with Docker containerization</w:t>
      </w:r>
    </w:p>
    <w:p/>
    <w:p>
      <w:pPr>
        <w:pStyle w:val="Heading1"/>
      </w:pPr>
      <w:r>
        <w:t>Clinical &amp; Therapeutic Implications</w:t>
      </w:r>
    </w:p>
    <w:p>
      <w:pPr>
        <w:pStyle w:val="ListBullet"/>
      </w:pPr>
      <w:r>
        <w:t>CAR-T target candidates: CD38, CD44, CSPG4 for development beyond B-cell depletion</w:t>
      </w:r>
    </w:p>
    <w:p>
      <w:pPr>
        <w:pStyle w:val="ListBullet"/>
      </w:pPr>
      <w:r>
        <w:t>Patient stratification: Senescence scores could identify candidates for senolytic or CAR-T therapy</w:t>
      </w:r>
    </w:p>
    <w:p>
      <w:pPr>
        <w:pStyle w:val="ListBullet"/>
      </w:pPr>
      <w:r>
        <w:t>Drug repurposing: CD38 inhibitors (daratumumab, approved for myeloma) warrant testing in SLE</w:t>
      </w:r>
    </w:p>
    <w:p>
      <w:pPr>
        <w:pStyle w:val="ListBullet"/>
      </w:pPr>
      <w:r>
        <w:t>Multi-target advantage: Computational evidence supports combination CAR-T over single-target approaches</w:t>
      </w:r>
    </w:p>
    <w:p>
      <w:pPr>
        <w:pStyle w:val="ListBullet"/>
      </w:pPr>
      <w:r>
        <w:t>Open reproducibility: All code, figures, and data links available on GitHub</w:t>
      </w:r>
    </w:p>
    <w:p/>
    <w:p>
      <w:pPr>
        <w:pStyle w:val="Heading1"/>
      </w:pPr>
      <w:r>
        <w:t>Important Limitations</w:t>
      </w:r>
    </w:p>
    <w:p>
      <w:pPr>
        <w:pStyle w:val="ListBullet"/>
      </w:pPr>
      <w:r>
        <w:t>Computational discovery — no lab experiments performed. Surface markers require orthogonal validation (flow cytometry, immunohistochemistry).</w:t>
      </w:r>
    </w:p>
    <w:p>
      <w:pPr>
        <w:pStyle w:val="ListBullet"/>
      </w:pPr>
      <w:r>
        <w:t>Small cohorts: Some individual datasets have 2–3 patients. Single-dataset findings must be interpreted cautiously.</w:t>
      </w:r>
    </w:p>
    <w:p>
      <w:pPr>
        <w:pStyle w:val="ListBullet"/>
      </w:pPr>
      <w:r>
        <w:t>Broad expression: CD44 and ICAM1 expressed on healthy endothelium and immune cells — off-target toxicity risk before CAR-T translation.</w:t>
      </w:r>
    </w:p>
    <w:p>
      <w:pPr>
        <w:pStyle w:val="ListBullet"/>
      </w:pPr>
      <w:r>
        <w:t>Marker novelty: CSPG4 is not a canonical immune cell marker — requires confirmation on senescent lupus cells.</w:t>
      </w:r>
    </w:p>
    <w:p>
      <w:pPr>
        <w:pStyle w:val="ListBullet"/>
      </w:pPr>
      <w:r>
        <w:t>Batch correction: Z-score alignment addresses platform shifts but cannot recover datasets lacking HUGO gene names (15/19 use fallback scoring).</w:t>
      </w:r>
    </w:p>
    <w:p/>
    <w:p>
      <w:pPr>
        <w:pStyle w:val="Heading1"/>
      </w:pPr>
      <w:r>
        <w:t>Access the Complete Study</w:t>
      </w:r>
    </w:p>
    <w:p>
      <w:r>
        <w:t>GitHub Repository:</w:t>
      </w:r>
    </w:p>
    <w:p>
      <w:r>
        <w:t>https://github.com/Dr-CS9846/SLE-Senescence-carT-targets-Lupus</w:t>
      </w:r>
    </w:p>
    <w:p/>
    <w:p>
      <w:r>
        <w:t>Documentation:</w:t>
      </w:r>
    </w:p>
    <w:p>
      <w:r>
        <w:t>Methods: docs/METHODS.md</w:t>
      </w:r>
    </w:p>
    <w:p>
      <w:r>
        <w:t>Results: docs/RESULTS.md</w:t>
      </w:r>
    </w:p>
    <w:p>
      <w:r>
        <w:t>Data Availability: docs/DATA_AVAILABILITY.md</w:t>
      </w:r>
    </w:p>
    <w:p/>
    <w:p>
      <w:r>
        <w:t>All 8 Publication Figures:</w:t>
      </w:r>
    </w:p>
    <w:p>
      <w:pPr>
        <w:pStyle w:val="ListBullet"/>
      </w:pPr>
      <w:r>
        <w:t>Fig 1: Senescence landscape (bulk, scRNA, tissue, senescence reference)</w:t>
      </w:r>
    </w:p>
    <w:p>
      <w:pPr>
        <w:pStyle w:val="ListBullet"/>
      </w:pPr>
      <w:r>
        <w:t>Fig 2: Disease comparison (SLE vs OA/RA/MIC in synovium)</w:t>
      </w:r>
    </w:p>
    <w:p>
      <w:pPr>
        <w:pStyle w:val="ListBullet"/>
      </w:pPr>
      <w:r>
        <w:t>Fig 3: CAR-T target correlations (6 targets × 3 datasets)</w:t>
      </w:r>
    </w:p>
    <w:p>
      <w:pPr>
        <w:pStyle w:val="ListBullet"/>
      </w:pPr>
      <w:r>
        <w:t>Fig 4: SenMayo pathway decomposition (7 functional categories)</w:t>
      </w:r>
    </w:p>
    <w:p>
      <w:pPr>
        <w:pStyle w:val="ListBullet"/>
      </w:pPr>
      <w:r>
        <w:t>Fig 5: Volcano plots (high vs low senescence)</w:t>
      </w:r>
    </w:p>
    <w:p>
      <w:pPr>
        <w:pStyle w:val="ListBullet"/>
      </w:pPr>
      <w:r>
        <w:t>Fig 6: Target scatter plots with regression lines</w:t>
      </w:r>
    </w:p>
    <w:p>
      <w:pPr>
        <w:pStyle w:val="ListBullet"/>
      </w:pPr>
      <w:r>
        <w:t>Fig 7: Cross-tissue senescence heatmap</w:t>
      </w:r>
    </w:p>
    <w:p>
      <w:pPr>
        <w:pStyle w:val="ListBullet"/>
      </w:pPr>
      <w:r>
        <w:t>Fig 8: Multi-target combination analysis</w:t>
      </w:r>
    </w:p>
    <w:p/>
    <w:p>
      <w:r>
        <w:t>Statistical Tables:</w:t>
      </w:r>
    </w:p>
    <w:p>
      <w:r>
        <w:t>Table 1: Dataset summary (19 datasets, 2,919 scored units)</w:t>
      </w:r>
    </w:p>
    <w:p>
      <w:r>
        <w:t>Table 2: CAR-T target statistics (Spearman correlations, p-values)</w:t>
      </w:r>
    </w:p>
    <w:p>
      <w:r>
        <w:t>Table 3: Differential gene expression (high vs low senescence)</w:t>
      </w:r>
    </w:p>
    <w:p/>
    <w:p>
      <w:r>
        <w:t>Code &amp; Data:</w:t>
      </w:r>
    </w:p>
    <w:p>
      <w:r>
        <w:t>Pipeline: scripts/pipeline_complete.py (v9)</w:t>
      </w:r>
    </w:p>
    <w:p>
      <w:r>
        <w:t>Analysis: scripts/analyze_results.py</w:t>
      </w:r>
    </w:p>
    <w:p>
      <w:r>
        <w:t>SenMayo Panel: data/senmayo_125genes.csv (125 genes, 7 categories)</w:t>
      </w:r>
    </w:p>
    <w:p>
      <w:r>
        <w:t>Senescence Scores: data/external_validation/ (per-dataset CSV files)</w:t>
      </w:r>
    </w:p>
    <w:p/>
    <w:p>
      <w:pPr>
        <w:jc w:val="center"/>
      </w:pPr>
      <w:r>
        <w:rPr>
          <w:i/>
          <w:color w:val="808080"/>
          <w:sz w:val="18"/>
        </w:rPr>
        <w:t>This study represents comprehensive multi-omics analysis of 19 public datasets spanning 2,919 scored units across 6 sequencing platforms. All findings are independently verifiable and reproducible using open-source code and public GEO data. This is a computational discovery study; all target nominations are hypothesis-generating and require experimental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