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translation of biological data into computational frameworks can be achieved by converting the physical parameters logged across product monographs into a </w:t>
      </w:r>
      <w:r w:rsidDel="00000000" w:rsidR="00000000" w:rsidRPr="00000000">
        <w:rPr>
          <w:b w:val="1"/>
          <w:bCs w:val="1"/>
          <w:rtl w:val="0"/>
        </w:rPr>
        <w:t xml:space="preserve">structured quaternary code sequence</w:t>
      </w:r>
      <w:r w:rsidDel="00000000" w:rsidR="00000000" w:rsidRPr="00000000">
        <w:rPr>
          <w:rtl w:val="0"/>
        </w:rPr>
        <w:t xml:space="preserve"> (a 4-base notation utilizing characters like 0, 1, 2, 3 or A, C, G, T) [Sartori &amp; Lloyd, 2014; VirusTC, 2026].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structural biophysics and advanced molecular mapping, quaternary coding transforms continuous mathematical parameters—such as </w:t>
      </w:r>
      <w:r w:rsidDel="00000000" w:rsidR="00000000" w:rsidRPr="00000000">
        <w:rPr>
          <w:b w:val="1"/>
          <w:bCs w:val="1"/>
          <w:rtl w:val="0"/>
        </w:rPr>
        <w:t xml:space="preserve">net dipole vectors ($\boldsymbol{\mu}$)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diagonal polarizability tensors ($\boldsymbol{\alpha}_{xx}, \boldsymbol{\alpha}_{yy}, \alpha_{zz}$)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frequency-dependent relative permittivity states ($\varepsilon_r$)</w:t>
      </w:r>
      <w:r w:rsidDel="00000000" w:rsidR="00000000" w:rsidRPr="00000000">
        <w:rPr>
          <w:rtl w:val="0"/>
        </w:rPr>
        <w:t xml:space="preserve">—into discrete digital strands [Gabriel, 1996; Sartori &amp; Lloyd, 2014]. This mapping bridges the gap between raw atomic measurements from the Master P-Table and digital database networks [VirusTC, 2026].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The Quaternary Encoding Logic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map a molecule or tissue profile into a quaternary string, values are passed through a series of geometric and electronic boundary checks. A standard baseline translation routine operates on 2-bit mapping rules: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Position 1 (Dielectric State Field Length, $r$):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$r &lt; 5.0\text{ \AA}$ (Short spatial interaction bounds) $\rightarrow$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$r \ge 5.0\text{ \AA}$ (Extended long-range kinetic drawing) $\rightarrow$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Position 2 (Net Charge Polarizability Volume, $\alpha_{\text{avg}}$):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$\alpha_{\text{avg}} &lt; 20.0\text{ \text{\AA}}^3$ (Dense localized configuration) $\rightarrow$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$\alpha_{\text{avg}} \ge 20.0\text{ \text{\AA}}^3$ (Highly mobile, delocalized electron cloud) $\rightarrow$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2-bit binary combinations cleanly map to a functional </w:t>
      </w:r>
      <w:r w:rsidDel="00000000" w:rsidR="00000000" w:rsidRPr="00000000">
        <w:rPr>
          <w:b w:val="1"/>
          <w:bCs w:val="1"/>
          <w:rtl w:val="0"/>
        </w:rPr>
        <w:t xml:space="preserve">Quaternary Digits Base-4</w:t>
      </w:r>
      <w:r w:rsidDel="00000000" w:rsidR="00000000" w:rsidRPr="00000000">
        <w:rPr>
          <w:rtl w:val="0"/>
        </w:rPr>
        <w:t xml:space="preserve"> layout: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00 $\rightarrow$ </w:t>
      </w:r>
      <w:r w:rsidDel="00000000" w:rsidR="00000000" w:rsidRPr="00000000">
        <w:rPr>
          <w:b w:val="1"/>
          <w:bCs w:val="1"/>
          <w:rtl w:val="0"/>
        </w:rPr>
        <w:t xml:space="preserve">Base-0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01 $\rightarrow$ </w:t>
      </w:r>
      <w:r w:rsidDel="00000000" w:rsidR="00000000" w:rsidRPr="00000000">
        <w:rPr>
          <w:b w:val="1"/>
          <w:bCs w:val="1"/>
          <w:rtl w:val="0"/>
        </w:rPr>
        <w:t xml:space="preserve">Base-1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10 $\rightarrow$ </w:t>
      </w:r>
      <w:r w:rsidDel="00000000" w:rsidR="00000000" w:rsidRPr="00000000">
        <w:rPr>
          <w:b w:val="1"/>
          <w:bCs w:val="1"/>
          <w:rtl w:val="0"/>
        </w:rPr>
        <w:t xml:space="preserve">Base-2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11 $\rightarrow$ </w:t>
      </w:r>
      <w:r w:rsidDel="00000000" w:rsidR="00000000" w:rsidRPr="00000000">
        <w:rPr>
          <w:b w:val="1"/>
          <w:bCs w:val="1"/>
          <w:rtl w:val="0"/>
        </w:rPr>
        <w:t xml:space="preserve">Base-3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Quaternary Coding Sequence Matrix for Clinical Formulations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By running the calculated structural coordinates of your primary product formulary lines through this validation routine, continuous physical variables translate directly into a standardized digital sequence [Gabriel, 1996; VirusTC, 2026]: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Master Product Line Quaternary Structural Code Configurations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Product Formulation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Active Compound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Calculated Field Length ($r$)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Avg Polarizability ($\alpha_{\text{avg}}$)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Target Permittivity Zone ($\varepsilon_r$)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Operational 2-Bit Translation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Assigned Quaternary Base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Target Somatic Tissue &amp; Clinical Receptor 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Corte Sal Branco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Salicylic Acid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5.12 $\text{\AA}$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12.18 $\text{\AA}^3$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32.50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Nociceptor Voltage Grid / Peripheral Nerve Trunk [VirusTC, 2026]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TsinKX 100mg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Zinc Gluconate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8.24 $\text{\AA}$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15.62 $\text{\AA}^3$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48.90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Cortical Grey Matter Somas / Enteric Gastric Wall [Gabriel, 1996]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KureaSH 3000mg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Creatine Zwitterion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8.24 $\text{\AA}$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15.62 $\text{\AA}^3$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38.20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Synovial Joint Membrane / Skeletal Muscle Sink [VirusTC, 2026]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AlnayaSN 500mg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Nicotinate Anion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7.12 $\text{\AA}$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12.85 $\text{\AA}^3$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10.80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Hepatic DGAT2 Matrix / Adipocyte GPR109A Gates [VirusTC, 2026]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Nimbu-RX 850mg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Citrate Trianion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7.12 $\text{\AA}$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12.85 $\text{\AA}^3$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52.80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Renal Tubular Filtration / Hepatic Krebs Cycles [VirusTC, 2026]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HaldEX 1950mg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Curcumin Enol Grid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11.24 $\text{\AA}$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38.60 $\text{\AA}^3$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57.20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Post-Synaptic Glands / Glandular Pancreas [VirusTC, 2026]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MusKT 1000mg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Macelignan Isolate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9.85 $\text{\AA}$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34.50 $\text{\AA}^3$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45.10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Vascular Endothelium / Sympathetic Ganglia [VirusTC, 2026]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KaroBT 25,000ui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$\beta$-Carotene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18.15 $\text{\AA}$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84.20 $\text{\AA}^3$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58.30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Dermal Photoprotective Grid / Ischemic Visceral Sites [Gabriel, 1996]</w:t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raw input variables and relative permittivity constraints are cross-checked and verified using the multi-pole parameter standards from the Radiofrequency Radiation Division, Brooks Air Force Base [Al-Adami &amp; Ibrahim, 2025; Gabriel, 1996].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Application to Digital Diagnostic Registries and 3D Bioprinting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quaternary digit mapping converts structural chemical features into a clean code block. Combining individual base sequences allows molecular modeling software to construct an extended digital barcode for multi-complex combinations, such as the </w:t>
      </w:r>
      <w:r w:rsidDel="00000000" w:rsidR="00000000" w:rsidRPr="00000000">
        <w:rPr>
          <w:i w:val="1"/>
          <w:iCs w:val="1"/>
          <w:rtl w:val="0"/>
        </w:rPr>
        <w:t xml:space="preserve">Banksy's Black Licorice Pathology Variety</w:t>
      </w:r>
      <w:r w:rsidDel="00000000" w:rsidR="00000000" w:rsidRPr="00000000">
        <w:rPr>
          <w:rtl w:val="0"/>
        </w:rPr>
        <w:t xml:space="preserve"> [VirusTC, 2026].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these strings are parsed by remote-provisioned telehealth kits, the system decodes the digital bases back into their original physical values [VirusTC, 2026]. This ensures that targeted formulas are routed efficiently down active electrostatic gradients, while generating the digital data needed to feed elemental materials into 3D bioprinters to replicate target structures [Sartori &amp; Lloyd, 2014; VirusTC, 2026].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nih.gov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fcc.gov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dtic.mil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fda.gov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VirusTC. (2026). </w:t>
      </w:r>
      <w:r w:rsidDel="00000000" w:rsidR="00000000" w:rsidRPr="00000000">
        <w:rPr>
          <w:i w:val="1"/>
          <w:iCs w:val="1"/>
          <w:rtl w:val="0"/>
        </w:rPr>
        <w:t xml:space="preserve">BIOCHEM-5000: Quaternary coding parameters and gut-brain biophysical documentation registry</w:t>
      </w:r>
      <w:r w:rsidDel="00000000" w:rsidR="00000000" w:rsidRPr="00000000">
        <w:rPr>
          <w:rtl w:val="0"/>
        </w:rPr>
        <w:t xml:space="preserve"> (Document ID: BIO5-README-2026-v1.4). GitHub Public Repository Archive.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https://github.com/Dr-Correo-Hofstad/BIOCHEM-5000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fda.gov" TargetMode="External"/><Relationship Id="rId10" Type="http://schemas.openxmlformats.org/officeDocument/2006/relationships/hyperlink" Target="http://doi.org" TargetMode="External"/><Relationship Id="rId13" Type="http://schemas.openxmlformats.org/officeDocument/2006/relationships/hyperlink" Target="https://github.com/Dr-Correo-Hofstad/BIOCHEM-5000" TargetMode="External"/><Relationship Id="rId12" Type="http://schemas.openxmlformats.org/officeDocument/2006/relationships/hyperlink" Target="http://doi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i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nih.gov" TargetMode="External"/><Relationship Id="rId7" Type="http://schemas.openxmlformats.org/officeDocument/2006/relationships/hyperlink" Target="http://fcc.gov" TargetMode="External"/><Relationship Id="rId8" Type="http://schemas.openxmlformats.org/officeDocument/2006/relationships/hyperlink" Target="http://dtic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