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Biophysical Simulation Dataset: Ophthalmic Coordinate Matrix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block below provides the computational modeling parameters for tracking </w:t>
      </w:r>
      <w:r w:rsidDel="00000000" w:rsidR="00000000" w:rsidRPr="00000000">
        <w:rPr>
          <w:b w:val="1"/>
          <w:bCs w:val="1"/>
          <w:rtl w:val="0"/>
        </w:rPr>
        <w:t xml:space="preserve">the </w:t>
      </w:r>
      <w:r w:rsidDel="00000000" w:rsidR="00000000" w:rsidRPr="00000000">
        <w:rPr>
          <w:b w:val="1"/>
          <w:bCs w:val="1"/>
          <w:i w:val="1"/>
          <w:iCs w:val="1"/>
          <w:rtl w:val="0"/>
        </w:rPr>
        <w:t xml:space="preserve">P'kakh-ko'akh</w:t>
      </w:r>
      <w:r w:rsidDel="00000000" w:rsidR="00000000" w:rsidRPr="00000000">
        <w:rPr>
          <w:b w:val="1"/>
          <w:bCs w:val="1"/>
          <w:rtl w:val="0"/>
        </w:rPr>
        <w:t xml:space="preserve">™ formulation components, ionic dissociation kinetics, and secondary intraocular tissue transformations</w:t>
      </w:r>
      <w:r w:rsidDel="00000000" w:rsidR="00000000" w:rsidRPr="00000000">
        <w:rPr>
          <w:rtl w:val="0"/>
        </w:rPr>
        <w:t xml:space="preserve"> [Hofstad, 2026]. This dataset defines how these specialized matrices navigate the distinct multi-layered relative permittivity boundaries of the human eye [Gabriel, 1996; Sartori &amp; Lloyd, 2014].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Isolate_ID,Compound_Matrix,Target_Ocular_Layer,Relative_Permittivity_245GHz,Conductivity_Sm_245GHz,Max_Field_Length_Å,Net_Dipole_Debyes,Quaternary_Digit,Dissociation_Rate_pct_sec,Primary_Synaptic_Lock,Biophysical_Role</w:t>
        <w:br w:type="textWrapping"/>
        <w:t xml:space="preserve">CURC-ENOL-001,Curcumin_Enol_Tautomer,Cornea_Mucosa,39.64,3.04,11.24,3.84,Base-3,14.25,NF-kB_PI3K_AKT,Topical_antioxidant_matrix_halting_pro_inflammatory_leukocoria_progression</w:t>
        <w:br w:type="textWrapping"/>
        <w:t xml:space="preserve">DIOS-FENU-002,Diosgenin_Fenugreek,Eye_Lens_Core,44.70,1.75,14.15,2.10,Base-3,8.42,VSMC_Phenotype,Modulates_osteogenic_phenotype_transformations_to_reverse_crystalline_opacification</w:t>
        <w:br w:type="textWrapping"/>
        <w:t xml:space="preserve">LYSO-SALV-003,Salivary_Lysozyme,Retina_Choroid,48.90,1.81,Varied,4.82,Base-2,62.50,Peptidoglycan_Matrix,Enzymatic_bio_activation_cleaving_bacterial_cell_walls_and_boosting_bioavailability</w:t>
        <w:br w:type="textWrapping"/>
        <w:t xml:space="preserve">CA-DISS-004,Soluble_Calcium_Citrate,Blood_CRAO_Pipeline,58.30,2.54,7.12,3.88,Base-2,88.40,Ca2_Coordination,Dissociates_mineralized_hydroxyapatite_deposits_to_clear_central_retinal_arteries</w:t>
        <w:br w:type="textWrapping"/>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2. Materials and Methods: Spectroscopic Camera Criteria for Ocular Permittivity Mapping</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Electro-Optical Hardware Specifications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surface permittivity modifications ($\Delta \varepsilon_r$) non-invasively across the anterior segment of the human eye, the imaging array must use a specialized, high-resolution </w:t>
      </w:r>
      <w:r w:rsidDel="00000000" w:rsidR="00000000" w:rsidRPr="00000000">
        <w:rPr>
          <w:b w:val="1"/>
          <w:bCs w:val="1"/>
          <w:rtl w:val="0"/>
        </w:rPr>
        <w:t xml:space="preserve">Hyperspectral Time-Domain Reflectometry (HTDR)</w:t>
      </w:r>
      <w:r w:rsidDel="00000000" w:rsidR="00000000" w:rsidRPr="00000000">
        <w:rPr>
          <w:rtl w:val="0"/>
        </w:rPr>
        <w:t xml:space="preserve"> sensor configuration [Al-Adami &amp; Ibrahim, 2025]. The diagnostic camera system must strictly fulfill the following electro-optical physical boundaries: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Spectral Bandwidth &amp; Tuning Grid:</w:t>
      </w:r>
      <w:r w:rsidDel="00000000" w:rsidR="00000000" w:rsidRPr="00000000">
        <w:rPr>
          <w:rtl w:val="0"/>
        </w:rPr>
        <w:t xml:space="preserve"> Operating across a continuous near-infrared and short-wave infrared (NIR/SWIR) spectral window from </w:t>
      </w:r>
      <w:r w:rsidDel="00000000" w:rsidR="00000000" w:rsidRPr="00000000">
        <w:rPr>
          <w:b w:val="1"/>
          <w:bCs w:val="1"/>
          <w:rtl w:val="0"/>
        </w:rPr>
        <w:t xml:space="preserve">850 nm up to 1650 nm</w:t>
      </w:r>
      <w:r w:rsidDel="00000000" w:rsidR="00000000" w:rsidRPr="00000000">
        <w:rPr>
          <w:rtl w:val="0"/>
        </w:rPr>
        <w:t xml:space="preserve">. This spectrum targets the vibrational overtone and combination bands of structural water matrices and lipophilic cell membranes [Venkatesh &amp; Raghavan, 2004].</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Spatial and Spectral Resolution:</w:t>
      </w:r>
      <w:r w:rsidDel="00000000" w:rsidR="00000000" w:rsidRPr="00000000">
        <w:rPr>
          <w:rtl w:val="0"/>
        </w:rPr>
        <w:t xml:space="preserve"> The optical sensor must provide a minimum spatial resolution layout of </w:t>
      </w:r>
      <w:r w:rsidDel="00000000" w:rsidR="00000000" w:rsidRPr="00000000">
        <w:rPr>
          <w:b w:val="1"/>
          <w:bCs w:val="1"/>
          <w:rtl w:val="0"/>
        </w:rPr>
        <w:t xml:space="preserve">2048 × 2048 pixels</w:t>
      </w:r>
      <w:r w:rsidDel="00000000" w:rsidR="00000000" w:rsidRPr="00000000">
        <w:rPr>
          <w:rtl w:val="0"/>
        </w:rPr>
        <w:t xml:space="preserve"> (4.1 Megapixels per frame) to accurately capture localized structural zones. The spectral resolution must handle tight bandwidth sampling loops of </w:t>
      </w:r>
      <w:r w:rsidDel="00000000" w:rsidR="00000000" w:rsidRPr="00000000">
        <w:rPr>
          <w:b w:val="1"/>
          <w:bCs w:val="1"/>
          <w:rtl w:val="0"/>
        </w:rPr>
        <w:t xml:space="preserve">$\Delta \lambda \le 2.0\text{ nm}$</w:t>
      </w:r>
      <w:r w:rsidDel="00000000" w:rsidR="00000000" w:rsidRPr="00000000">
        <w:rPr>
          <w:rtl w:val="0"/>
        </w:rPr>
        <w:t xml:space="preserve"> across the entire scanning domain.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Modulation Sampling Frequencies:</w:t>
      </w:r>
      <w:r w:rsidDel="00000000" w:rsidR="00000000" w:rsidRPr="00000000">
        <w:rPr>
          <w:rtl w:val="0"/>
        </w:rPr>
        <w:t xml:space="preserve"> Internal microwave electro-optical mixers must overlay a secondary, modulated radiofrequency tracking pulse string scaling from </w:t>
      </w:r>
      <w:r w:rsidDel="00000000" w:rsidR="00000000" w:rsidRPr="00000000">
        <w:rPr>
          <w:b w:val="1"/>
          <w:bCs w:val="1"/>
          <w:rtl w:val="0"/>
        </w:rPr>
        <w:t xml:space="preserve">500 MHz to 3.0 GHz</w:t>
      </w:r>
      <w:r w:rsidDel="00000000" w:rsidR="00000000" w:rsidRPr="00000000">
        <w:rPr>
          <w:rtl w:val="0"/>
        </w:rPr>
        <w:t xml:space="preserve"> over the target area. This setup directly samples the $\gamma$-dispersion tail of free water dipoles within corneal mucin fields ($\varepsilon_{r,\text{ mucosa}} = 39.64$ at 2.45 GHz) [Gabriel, 1996].</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B. Algorithmic Image Processing Protocols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Phase-Shift Demodulation:</w:t>
      </w:r>
      <w:r w:rsidDel="00000000" w:rsidR="00000000" w:rsidRPr="00000000">
        <w:rPr>
          <w:rtl w:val="0"/>
        </w:rPr>
        <w:t xml:space="preserve"> The returning optical reflectance field undergoes real-time phase-shift demodulation [Sartori &amp; Lloyd, 2014]. Because changes in structural calcium loading modify the tissue's local complex relative permittivity, they shift the phase angle ($\theta$) of the bounced signal relative to the reference beam.</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Permittivity Mapping:</w:t>
      </w:r>
      <w:r w:rsidDel="00000000" w:rsidR="00000000" w:rsidRPr="00000000">
        <w:rPr>
          <w:rtl w:val="0"/>
        </w:rPr>
        <w:t xml:space="preserve"> Algorithms process this data to extract the real relative permittivity values ($\text{Re}[\varepsilon^*]$) and apparent conductivity grids ($\sigma$) across five decadal frequency steps [Gabriel, 1996].</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3D Lattice Rendering:</w:t>
      </w:r>
      <w:r w:rsidDel="00000000" w:rsidR="00000000" w:rsidRPr="00000000">
        <w:rPr>
          <w:rtl w:val="0"/>
        </w:rPr>
        <w:t xml:space="preserve"> These mathematical metrics feed directly into a standardized 3D bioelectronic visualization engine, displaying the exact location and dissolution rate of calcified deposits inside the eye [Sartori &amp; Lloyd, 2014; VirusTC, 2026].</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3. Adult Clinical Safety Monitoring Protocol: Retinal Artery Velocimetry during Massage Compressions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Pre-Procedure Baseline Threshold Diagnostics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Prior to administering physical ocular massage compressions to manage </w:t>
      </w:r>
      <w:r w:rsidDel="00000000" w:rsidR="00000000" w:rsidRPr="00000000">
        <w:rPr>
          <w:b w:val="1"/>
          <w:bCs w:val="1"/>
          <w:rtl w:val="0"/>
        </w:rPr>
        <w:t xml:space="preserve">Central Retinal Artery Occlusion (CRAO)</w:t>
      </w:r>
      <w:r w:rsidDel="00000000" w:rsidR="00000000" w:rsidRPr="00000000">
        <w:rPr>
          <w:rtl w:val="0"/>
        </w:rPr>
        <w:t xml:space="preserve">, clinicians must establish the patient's baseline hemodynamic and dielectric profiles via non-invasive telemetry [Hofstad, 2026]:</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Baseline Peak Systolic Velocity (PSV):</w:t>
      </w:r>
      <w:r w:rsidDel="00000000" w:rsidR="00000000" w:rsidRPr="00000000">
        <w:rPr>
          <w:rtl w:val="0"/>
        </w:rPr>
        <w:t xml:space="preserve"> Measure standard resting blood velocity through the central retinal artery path using color Doppler imaging (Normal reference range: $10.2 \pm 2.4\text{ cm/s}$).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Intraocular Pressure (IOP) Cap:</w:t>
      </w:r>
      <w:r w:rsidDel="00000000" w:rsidR="00000000" w:rsidRPr="00000000">
        <w:rPr>
          <w:rtl w:val="0"/>
        </w:rPr>
        <w:t xml:space="preserve"> Document starting IOP using digital applanation tonometry. If baseline resting IOP exceeds </w:t>
      </w:r>
      <w:r w:rsidDel="00000000" w:rsidR="00000000" w:rsidRPr="00000000">
        <w:rPr>
          <w:b w:val="1"/>
          <w:bCs w:val="1"/>
          <w:rtl w:val="0"/>
        </w:rPr>
        <w:t xml:space="preserve">25 mmHg</w:t>
      </w:r>
      <w:r w:rsidDel="00000000" w:rsidR="00000000" w:rsidRPr="00000000">
        <w:rPr>
          <w:rtl w:val="0"/>
        </w:rPr>
        <w:t xml:space="preserve">, compressions are strictly prohibited to avoid permanent optic nerve ischemia.</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B. Dynamic Intra-Procedural Compression Safety Parameters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the manual compression sequence, clinicians alternate between 10 to 15 seconds of direct digital pressure followed by an immediate, abrupt release. This technique alters local pressure gradients to mechanically flush the dissolved calcium-citrate complex out of the vascular channel [Hofstad, 2026; VirusTC, 2026]: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Perform Compression: 10-15s ] ──► IOP Spikes (Monitor Upper Limit Threshold)</w:t>
        <w:br w:type="textWrapping"/>
        <w:t xml:space="preserve">               │</w:t>
        <w:br w:type="textWrapping"/>
        <w:t xml:space="preserve">               ▼</w:t>
        <w:br w:type="textWrapping"/>
        <w:t xml:space="preserve">[ Abrupt Mechanical Release ] ────► Rapid Diagnostic Telemetry Sweep (PSV Check)</w:t>
        <w:br w:type="textWrapping"/>
        <w:t xml:space="preserve">               │</w:t>
        <w:br w:type="textWrapping"/>
        <w:t xml:space="preserve">               ▼</w:t>
        <w:br w:type="textWrapping"/>
        <w:t xml:space="preserve">[ Evaluate Signal Continuity ] ───► Confirm Vascular Flow Wave Restores to Baseline</w:t>
        <w:br w:type="textWrapping"/>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Upper IOP Safety Ceiling:</w:t>
      </w:r>
      <w:r w:rsidDel="00000000" w:rsidR="00000000" w:rsidRPr="00000000">
        <w:rPr>
          <w:rtl w:val="0"/>
        </w:rPr>
        <w:t xml:space="preserve"> Continuous telemetry sensors must confirm that internal intraocular pressure spikes during active manual compression never exceed </w:t>
      </w:r>
      <w:r w:rsidDel="00000000" w:rsidR="00000000" w:rsidRPr="00000000">
        <w:rPr>
          <w:b w:val="1"/>
          <w:bCs w:val="1"/>
          <w:rtl w:val="0"/>
        </w:rPr>
        <w:t xml:space="preserve">50 mmHg</w:t>
      </w:r>
      <w:r w:rsidDel="00000000" w:rsidR="00000000" w:rsidRPr="00000000">
        <w:rPr>
          <w:rtl w:val="0"/>
        </w:rPr>
        <w:t xml:space="preserve"> at any single interval [Federal Communications Commission, 2026]. Sustained compression matching or exceeding this threshold for more than 30 consecutive seconds triggers an absolute safety abort loop to protect endothelial cell layer walls [Gabriel, 1996].</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Post-Release Flow Velocity Target:</w:t>
      </w:r>
      <w:r w:rsidDel="00000000" w:rsidR="00000000" w:rsidRPr="00000000">
        <w:rPr>
          <w:rtl w:val="0"/>
        </w:rPr>
        <w:t xml:space="preserve"> Upon immediate release of the mechanical pressure, color Doppler signals must show a brief, reactive hyperemic surge where the peak systolic velocity through the central retinal artery reaches </w:t>
      </w:r>
      <w:r w:rsidDel="00000000" w:rsidR="00000000" w:rsidRPr="00000000">
        <w:rPr>
          <w:b w:val="1"/>
          <w:bCs w:val="1"/>
          <w:rtl w:val="0"/>
        </w:rPr>
        <w:t xml:space="preserve">$\ge 15.0\text{ cm/s}$</w:t>
      </w:r>
      <w:r w:rsidDel="00000000" w:rsidR="00000000" w:rsidRPr="00000000">
        <w:rPr>
          <w:rtl w:val="0"/>
        </w:rPr>
        <w:t xml:space="preserve">. This surge confirms that the vascular line has successfully cleared the dissolved ion fractions [Hofstad, 2026].</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Neurological Signal Stability Interlock:</w:t>
      </w:r>
      <w:r w:rsidDel="00000000" w:rsidR="00000000" w:rsidRPr="00000000">
        <w:rPr>
          <w:rtl w:val="0"/>
        </w:rPr>
        <w:t xml:space="preserve"> Real-time tracking must confirm that the underlying electrical conductivity of the adjacent optic nerve trunk stays stable at regular baseline limits ($\sigma = 1.10\text{ S/m}$ at 2.45 GHz) [Gabriel, 1996]. Any sudden drop in local low-frequency permittivity indicates a neural membrane short circuit or excessive tissue compression, requiring an immediate cancellation of the procedure.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w:t>
      </w:r>
      <w:hyperlink r:id="rId6">
        <w:r w:rsidDel="00000000" w:rsidR="00000000" w:rsidRPr="00000000">
          <w:rPr>
            <w:color w:val="1155cc"/>
            <w:u w:val="single"/>
            <w:rtl w:val="0"/>
          </w:rPr>
          <w:t xml:space="preserve">nih.gov</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w:t>
      </w:r>
      <w:hyperlink r:id="rId7">
        <w:r w:rsidDel="00000000" w:rsidR="00000000" w:rsidRPr="00000000">
          <w:rPr>
            <w:color w:val="1155cc"/>
            <w:u w:val="single"/>
            <w:rtl w:val="0"/>
          </w:rPr>
          <w:t xml:space="preserve">fcc.gov</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w:t>
      </w:r>
      <w:hyperlink r:id="rId8">
        <w:r w:rsidDel="00000000" w:rsidR="00000000" w:rsidRPr="00000000">
          <w:rPr>
            <w:color w:val="1155cc"/>
            <w:u w:val="single"/>
            <w:rtl w:val="0"/>
          </w:rPr>
          <w:t xml:space="preserve">dtic.mil</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w:t>
      </w:r>
      <w:hyperlink r:id="rId9">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Hofstad, C. A. (2026). </w:t>
      </w:r>
      <w:r w:rsidDel="00000000" w:rsidR="00000000" w:rsidRPr="00000000">
        <w:rPr>
          <w:i w:val="1"/>
          <w:iCs w:val="1"/>
          <w:rtl w:val="0"/>
        </w:rPr>
        <w:t xml:space="preserve">Rediscovering ancient healing: Dr. Correo Hofstad's groundbreaking discovery in Jerusalem</w:t>
      </w:r>
      <w:r w:rsidDel="00000000" w:rsidR="00000000" w:rsidRPr="00000000">
        <w:rPr>
          <w:rtl w:val="0"/>
        </w:rPr>
      </w:r>
      <w:r w:rsidDel="00000000" w:rsidR="00000000" w:rsidRPr="00000000">
        <w:rPr>
          <w:rtl w:val="0"/>
        </w:rPr>
        <w:t xml:space="preserve"> (</w:t>
      </w:r>
      <w:r w:rsidDel="00000000" w:rsidR="00000000" w:rsidRPr="00000000">
        <w:rPr>
          <w:rtl w:val="0"/>
        </w:rPr>
        <w:t xml:space="preserve">Document</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w:t>
      </w:r>
      <w:r w:rsidDel="00000000" w:rsidR="00000000" w:rsidRPr="00000000">
        <w:rPr>
          <w:rtl w:val="0"/>
        </w:rPr>
        <w:t xml:space="preserve">README</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1.2). </w:t>
      </w:r>
      <w:r w:rsidDel="00000000" w:rsidR="00000000" w:rsidRPr="00000000">
        <w:rPr>
          <w:rtl w:val="0"/>
        </w:rPr>
        <w:t xml:space="preserve">Virus</w:t>
      </w:r>
      <w:r w:rsidDel="00000000" w:rsidR="00000000" w:rsidRPr="00000000">
        <w:rPr>
          <w:rtl w:val="0"/>
        </w:rPr>
        <w:t xml:space="preserve"> </w:t>
      </w:r>
      <w:r w:rsidDel="00000000" w:rsidR="00000000" w:rsidRPr="00000000">
        <w:rPr>
          <w:rtl w:val="0"/>
        </w:rPr>
        <w:t xml:space="preserve">Treatment</w:t>
      </w:r>
      <w:r w:rsidDel="00000000" w:rsidR="00000000" w:rsidRPr="00000000">
        <w:rPr>
          <w:rtl w:val="0"/>
        </w:rPr>
        <w:t xml:space="preserve"> </w:t>
      </w:r>
      <w:r w:rsidDel="00000000" w:rsidR="00000000" w:rsidRPr="00000000">
        <w:rPr>
          <w:rtl w:val="0"/>
        </w:rPr>
        <w:t xml:space="preserve">Centers</w:t>
      </w:r>
      <w:r w:rsidDel="00000000" w:rsidR="00000000" w:rsidRPr="00000000">
        <w:rPr>
          <w:rtl w:val="0"/>
        </w:rPr>
        <w:t xml:space="preserve"> </w:t>
      </w:r>
      <w:r w:rsidDel="00000000" w:rsidR="00000000" w:rsidRPr="00000000">
        <w:rPr>
          <w:rtl w:val="0"/>
        </w:rPr>
        <w:t xml:space="preserve">National</w:t>
      </w:r>
      <w:r w:rsidDel="00000000" w:rsidR="00000000" w:rsidRPr="00000000">
        <w:rPr>
          <w:rtl w:val="0"/>
        </w:rPr>
        <w:t xml:space="preserve"> </w:t>
      </w:r>
      <w:r w:rsidDel="00000000" w:rsidR="00000000" w:rsidRPr="00000000">
        <w:rPr>
          <w:rtl w:val="0"/>
        </w:rPr>
        <w:t xml:space="preserve">Laboratory</w:t>
      </w:r>
      <w:r w:rsidDel="00000000" w:rsidR="00000000" w:rsidRPr="00000000">
        <w:rPr>
          <w:rtl w:val="0"/>
        </w:rPr>
        <w:t xml:space="preserve"> &amp; </w:t>
      </w:r>
      <w:r w:rsidDel="00000000" w:rsidR="00000000" w:rsidRPr="00000000">
        <w:rPr>
          <w:rtl w:val="0"/>
        </w:rPr>
        <w:t xml:space="preserve">Repository</w:t>
      </w:r>
      <w:r w:rsidDel="00000000" w:rsidR="00000000" w:rsidRPr="00000000">
        <w:rPr>
          <w:rtl w:val="0"/>
        </w:rPr>
        <w:t xml:space="preserve"> [</w:t>
      </w:r>
      <w:r w:rsidDel="00000000" w:rsidR="00000000" w:rsidRPr="00000000">
        <w:rPr>
          <w:rtl w:val="0"/>
        </w:rPr>
        <w:t xml:space="preserve">VTNLR</w:t>
      </w:r>
      <w:r w:rsidDel="00000000" w:rsidR="00000000" w:rsidRPr="00000000">
        <w:rPr>
          <w:rtl w:val="0"/>
        </w:rPr>
        <w:t xml:space="preserve">]. </w:t>
      </w:r>
      <w:r w:rsidDel="00000000" w:rsidR="00000000" w:rsidRPr="00000000">
        <w:rPr>
          <w:rtl w:val="0"/>
        </w:rPr>
        <w:t xml:space="preserve">Archive</w:t>
      </w:r>
      <w:r w:rsidDel="00000000" w:rsidR="00000000" w:rsidRPr="00000000">
        <w:rPr>
          <w:rtl w:val="0"/>
        </w:rPr>
        <w:t xml:space="preserve"> </w:t>
      </w:r>
      <w:r w:rsidDel="00000000" w:rsidR="00000000" w:rsidRPr="00000000">
        <w:rPr>
          <w:rtl w:val="0"/>
        </w:rPr>
        <w:t xml:space="preserve">Repository</w:t>
      </w:r>
      <w:r w:rsidDel="00000000" w:rsidR="00000000" w:rsidRPr="00000000">
        <w:rPr>
          <w:rtl w:val="0"/>
        </w:rPr>
        <w:t xml:space="preserve">. </w:t>
      </w:r>
      <w:hyperlink r:id="rId10">
        <w:r w:rsidDel="00000000" w:rsidR="00000000" w:rsidRPr="00000000">
          <w:rPr>
            <w:color w:val="1155cc"/>
            <w:u w:val="single"/>
            <w:rtl w:val="0"/>
          </w:rPr>
          <w:t xml:space="preserve">github.com</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w:t>
      </w:r>
      <w:hyperlink r:id="rId11">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w:t>
      </w:r>
      <w:hyperlink r:id="rId12">
        <w:r w:rsidDel="00000000" w:rsidR="00000000" w:rsidRPr="00000000">
          <w:rPr>
            <w:color w:val="1155cc"/>
            <w:u w:val="single"/>
            <w:rtl w:val="0"/>
          </w:rPr>
          <w:t xml:space="preserve">fda.gov</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w:t>
      </w:r>
      <w:hyperlink r:id="rId13">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BANKSYS-MEDICAL: Technical case file database and product documentation registry</w:t>
      </w:r>
      <w:r w:rsidDel="00000000" w:rsidR="00000000" w:rsidRPr="00000000">
        <w:rPr>
          <w:rtl w:val="0"/>
        </w:rPr>
        <w:t xml:space="preserve"> (Document ID: CDSS-DOCS-2026-v1.0). GitHub Public Repository Archive. </w:t>
      </w:r>
      <w:hyperlink r:id="rId14">
        <w:r w:rsidDel="00000000" w:rsidR="00000000" w:rsidRPr="00000000">
          <w:rPr>
            <w:color w:val="1155cc"/>
            <w:u w:val="single"/>
            <w:rtl w:val="0"/>
          </w:rPr>
          <w:t xml:space="preserve">github.com</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b w:val="1"/>
          <w:bCs w:val="1"/>
          <w:rtl w:val="0"/>
        </w:rPr>
        <w:t xml:space="preserve">MANDATORY MEDICAL FOOD REGULATORY DISCLAIMER:</w:t>
      </w:r>
      <w:r w:rsidDel="00000000" w:rsidR="00000000" w:rsidRPr="00000000">
        <w:rPr>
          <w:rtl w:val="0"/>
        </w:rPr>
        <w:t xml:space="preserve"> The </w:t>
      </w:r>
      <w:r w:rsidDel="00000000" w:rsidR="00000000" w:rsidRPr="00000000">
        <w:rPr>
          <w:i w:val="1"/>
          <w:iCs w:val="1"/>
          <w:rtl w:val="0"/>
        </w:rPr>
        <w:t xml:space="preserve">P'kakh-ko'akh</w:t>
      </w:r>
      <w:r w:rsidDel="00000000" w:rsidR="00000000" w:rsidRPr="00000000">
        <w:rPr>
          <w:rtl w:val="0"/>
        </w:rPr>
        <w:t xml:space="preserve">™ ancient ophthalmic formulation and associated ocular massage guidelines are structured as an active, clinical-grade medical food matrix for specific dietary management under direct medical supervision [U.S. Food and Drug Administration, 2023; Hofstad, 2026]. These technical specifications, simulation datasets, and hardware provisioning criteria are compiled strictly for institutional reference and do not substitute for personalized medical intervention or diagnostic evaluation [VirusTC,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i.org" TargetMode="External"/><Relationship Id="rId10" Type="http://schemas.openxmlformats.org/officeDocument/2006/relationships/hyperlink" Target="http://github.com" TargetMode="External"/><Relationship Id="rId13" Type="http://schemas.openxmlformats.org/officeDocument/2006/relationships/hyperlink" Target="http://doi.org" TargetMode="External"/><Relationship Id="rId12" Type="http://schemas.openxmlformats.org/officeDocument/2006/relationships/hyperlink" Target="http://fda.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i.org" TargetMode="External"/><Relationship Id="rId14" Type="http://schemas.openxmlformats.org/officeDocument/2006/relationships/hyperlink" Target="http://github.com" TargetMode="External"/><Relationship Id="rId5" Type="http://schemas.openxmlformats.org/officeDocument/2006/relationships/styles" Target="styles.xml"/><Relationship Id="rId6" Type="http://schemas.openxmlformats.org/officeDocument/2006/relationships/hyperlink" Target="http://nih.gov" TargetMode="External"/><Relationship Id="rId7" Type="http://schemas.openxmlformats.org/officeDocument/2006/relationships/hyperlink" Target="http://fcc.gov" TargetMode="External"/><Relationship Id="rId8" Type="http://schemas.openxmlformats.org/officeDocument/2006/relationships/hyperlink" Target="http://dtic.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