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Biophysical Framework of Multipole Expansion, Ocular Decalcification Lattices, and Electrostatic Molecular Matching for Ancient Ophthalmic Resuscitation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quantitative ocular biophysics, clinical optometry, and advanced bioelectronic modeling, the reversal of pathological calcification within the human ocular lattice—specifically addressing white pupillary reflection (</w:t>
      </w:r>
      <w:r w:rsidDel="00000000" w:rsidR="00000000" w:rsidRPr="00000000">
        <w:rPr>
          <w:b w:val="1"/>
          <w:bCs w:val="1"/>
          <w:rtl w:val="0"/>
        </w:rPr>
        <w:t xml:space="preserve">leukocoria</w:t>
      </w:r>
      <w:r w:rsidDel="00000000" w:rsidR="00000000" w:rsidRPr="00000000">
        <w:rPr>
          <w:rtl w:val="0"/>
        </w:rPr>
        <w:t xml:space="preserve">) and vascular smooth muscle cell (VSMC) transformation—is governed by </w:t>
      </w:r>
      <w:r w:rsidDel="00000000" w:rsidR="00000000" w:rsidRPr="00000000">
        <w:rPr>
          <w:b w:val="1"/>
          <w:bCs w:val="1"/>
          <w:rtl w:val="0"/>
        </w:rPr>
        <w:t xml:space="preserve">electrostatic potential fields, spatial charge vectors, and dipole-dipole interactions</w:t>
      </w:r>
      <w:r w:rsidDel="00000000" w:rsidR="00000000" w:rsidRPr="00000000">
        <w:rPr>
          <w:rtl w:val="0"/>
        </w:rPr>
        <w:t xml:space="preserve"> [Gabriel, 1996; Sartori &amp; Lloyd, 2014].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kakh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ko</w:t>
      </w:r>
      <w:r w:rsidDel="00000000" w:rsidR="00000000" w:rsidRPr="00000000">
        <w:rPr>
          <w:b w:val="1"/>
          <w:bCs w:val="1"/>
          <w:rtl w:val="0"/>
        </w:rPr>
        <w:t xml:space="preserve">'</w:t>
      </w:r>
      <w:r w:rsidDel="00000000" w:rsidR="00000000" w:rsidRPr="00000000">
        <w:rPr>
          <w:b w:val="1"/>
          <w:bCs w:val="1"/>
          <w:rtl w:val="0"/>
        </w:rPr>
        <w:t xml:space="preserve">akh</w:t>
      </w:r>
      <w:r w:rsidDel="00000000" w:rsidR="00000000" w:rsidRPr="00000000">
        <w:rPr>
          <w:b w:val="1"/>
          <w:bCs w:val="1"/>
          <w:rtl w:val="0"/>
        </w:rPr>
        <w:t xml:space="preserve">™ (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ְּ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ֺ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0"/>
        </w:rPr>
        <w:t xml:space="preserve">ַ)</w:t>
      </w:r>
      <w:r w:rsidDel="00000000" w:rsidR="00000000" w:rsidRPr="00000000">
        <w:rPr>
          <w:rtl w:val="0"/>
        </w:rPr>
        <w:t xml:space="preserve"> ancient therapeutic protocol utilizes an unadulterated botanical paste envelope combining </w:t>
      </w:r>
      <w:r w:rsidDel="00000000" w:rsidR="00000000" w:rsidRPr="00000000">
        <w:rPr>
          <w:b w:val="1"/>
          <w:bCs w:val="1"/>
          <w:rtl w:val="0"/>
        </w:rPr>
        <w:t xml:space="preserve">USP-grade curcumin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Curcuma longa</w:t>
      </w:r>
      <w:r w:rsidDel="00000000" w:rsidR="00000000" w:rsidRPr="00000000">
        <w:rPr>
          <w:b w:val="1"/>
          <w:bCs w:val="1"/>
          <w:rtl w:val="0"/>
        </w:rPr>
        <w:t xml:space="preserve">) and fenugreek</w:t>
      </w:r>
      <w:r w:rsidDel="00000000" w:rsidR="00000000" w:rsidRPr="00000000">
        <w:rPr>
          <w:rtl w:val="0"/>
        </w:rPr>
        <w:t xml:space="preserve"> bio-activated by enzymatic salivary proteins (lysozyme and lactoferrin). This active formulation generates distinct permanent or induced </w:t>
      </w:r>
      <w:r w:rsidDel="00000000" w:rsidR="00000000" w:rsidRPr="00000000">
        <w:rPr>
          <w:b w:val="1"/>
          <w:bCs w:val="1"/>
          <w:rtl w:val="0"/>
        </w:rPr>
        <w:t xml:space="preserve">dipole moments ($\boldsymbol{\mu}$)</w:t>
      </w:r>
      <w:r w:rsidDel="00000000" w:rsidR="00000000" w:rsidRPr="00000000">
        <w:rPr>
          <w:rtl w:val="0"/>
        </w:rPr>
        <w:t xml:space="preserve">, establishing a localized dielectric field length that interfaces with the complex relative permittivity ($\varepsilon_r$) of ocular tissues to dissociate calcified mineral deposits [Al-Adami &amp; Ibrahim, 2025; Gabriel et al., 1996].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Spatial Field Lengths and Quaternary Structural Programming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spatial charge layout of the </w:t>
      </w:r>
      <w:r w:rsidDel="00000000" w:rsidR="00000000" w:rsidRPr="00000000">
        <w:rPr>
          <w:i w:val="1"/>
          <w:iCs w:val="1"/>
          <w:rtl w:val="0"/>
        </w:rPr>
        <w:t xml:space="preserve">P'kakh-ko'akh™</w:t>
      </w:r>
      <w:r w:rsidDel="00000000" w:rsidR="00000000" w:rsidRPr="00000000">
        <w:rPr>
          <w:rtl w:val="0"/>
        </w:rPr>
        <w:t xml:space="preserve"> components directs long-range </w:t>
      </w:r>
      <w:r w:rsidDel="00000000" w:rsidR="00000000" w:rsidRPr="00000000">
        <w:rPr>
          <w:b w:val="1"/>
          <w:bCs w:val="1"/>
          <w:rtl w:val="0"/>
        </w:rPr>
        <w:t xml:space="preserve">electrostatic kinetic drawing</w:t>
      </w:r>
      <w:r w:rsidDel="00000000" w:rsidR="00000000" w:rsidRPr="00000000">
        <w:rPr>
          <w:rtl w:val="0"/>
        </w:rPr>
        <w:t xml:space="preserve"> through the high-hydration tissues of the anterior chamber [Sartori &amp; Lloyd, 2014]. The permanent dipole moment vector determines the structural field length ($r$) needed to match and disrupt calcified boundaries [Venkatesh &amp; Raghavan, 2004]: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$$\boldsymbol{\mu} = \sum_{i} q_i \cdot \mathbf{r}_i$$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Continuous molecular properties are converted into a standardized digital sequence using the </w:t>
      </w:r>
      <w:r w:rsidDel="00000000" w:rsidR="00000000" w:rsidRPr="00000000">
        <w:rPr>
          <w:b w:val="1"/>
          <w:bCs w:val="1"/>
          <w:rtl w:val="0"/>
        </w:rPr>
        <w:t xml:space="preserve">Quaternary Encoding Logic System (QELS)</w:t>
      </w:r>
      <w:r w:rsidDel="00000000" w:rsidR="00000000" w:rsidRPr="00000000">
        <w:rPr>
          <w:rtl w:val="0"/>
        </w:rPr>
        <w:t xml:space="preserve"> [VirusTC, 2026]. This system checks spatial reach ($r \ge 3.5\text{ \AA} \rightarrow \text{Bit } 1$) and net electron polarizability volume ($\alpha_{\text{avg}} \ge 4.0\text{ \text{\AA}}^3 \rightarrow \text{Bit } 2$) to assign a discrete Base-4 digit (0, 1, 2, or 3) [Sartori &amp; Lloyd, 2014]: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P'kakh-ko'akh™ Formulation Entry ] ──► Extracted Radii &amp; Dipole Vectors</w:t>
        <w:br w:type="textWrapping"/>
        <w:t xml:space="preserve">                                               │</w:t>
        <w:br w:type="textWrapping"/>
        <w:t xml:space="preserve">                       ┌───────────────────────┴───────────────────────┐</w:t>
        <w:br w:type="textWrapping"/>
        <w:t xml:space="preserve">                       ▼                                               ▼</w:t>
        <w:br w:type="textWrapping"/>
        <w:t xml:space="preserve">          [ Bit 1: Spatial Reach (r) ]                  [ Bit 2: Polarizability (α) ]</w:t>
        <w:br w:type="textWrapping"/>
        <w:t xml:space="preserve">            - r &lt; 3.5 Å  = 0                              - α &lt; 4.0 Å³  = 0</w:t>
        <w:br w:type="textWrapping"/>
        <w:t xml:space="preserve">            - r ≥ 3.5 Å  = 1                              - α ≥ 4.0 Å³  = 1</w:t>
        <w:br w:type="textWrapping"/>
        <w:t xml:space="preserve">                       └───────────────────────┬───────────────────────┘</w:t>
        <w:br w:type="textWrapping"/>
        <w:t xml:space="preserve">                                               ▼</w:t>
        <w:br w:type="textWrapping"/>
        <w:t xml:space="preserve">                              [ Base-4 Quaternary Translation ]</w:t>
        <w:br w:type="textWrapping"/>
        <w:t xml:space="preserve">                                - 10 = Base-2  |  11 = Base-3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Ophthalmic Formulation Quaternary Data Array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Active Compound 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Molecular Formula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 Field Length ($r, \text{\AA}$)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Avg Polarizability ($\boldsymbol{\alpha}_{\text{avg}}, \text{\AA}^3$)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 Dipole ($\boldsymbol{\mu}$, Debye)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Binary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Assigned Quaternary Digit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Synaptic / Transduction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Curcumin (Enol Tautomer)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$\text{C}_{21}\text{H}_{20}\text{O}_{6}$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38.60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Inhibits NF-κB / PI3K/AKT inflammatory signaling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Diosgenin (Fenugreek)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$\text{C}_{27}\text{H}_{42}\text{O}_{3}$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45.12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Modulates VSMC osteogenic phenotype transformation.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Salivary Lysozyme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Protein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Breaks down bacterial peptidoglycan wall matrices.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Multi-Frequency Ocular 4-Cole-Cole relaxation curves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model how current flows through the eye's multi-layered structures during mechanical </w:t>
      </w:r>
      <w:r w:rsidDel="00000000" w:rsidR="00000000" w:rsidRPr="00000000">
        <w:rPr>
          <w:b w:val="1"/>
          <w:bCs w:val="1"/>
          <w:rtl w:val="0"/>
        </w:rPr>
        <w:t xml:space="preserve">ocular massage therapy</w:t>
      </w:r>
      <w:r w:rsidDel="00000000" w:rsidR="00000000" w:rsidRPr="00000000">
        <w:rPr>
          <w:rtl w:val="0"/>
        </w:rPr>
        <w:t xml:space="preserve">, clinicians track the exact electromagnetic limits of the eye [Gabriel, 1996]. Permittivity and loss properties are calculated across five decadal frequency steps using a four-pole Cole-Cole equation [Gabriel, 1996; Sartori &amp; Lloyd, 2014]: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Computed Ocular Tissue Permittivity and Conductivity Frequency Spectrum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Target Ocular Layer / 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Hz Baseline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 kHz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MHz Window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2.45 GHz Target ($\varepsilon_r$ / $\sigma$)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Biophysical Lattice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Eye Lens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$4.80 \times 10^4$ / $0.320$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$9.80 \times 10^3$ / $0.330$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$1.22 \times 10^3$ / $0.355$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$8.45 \times 10^1$ / $0.412$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$44.70$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$1.75$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Structured crystalline lens matrix protein grid [Gabriel, 1996].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Cornea / Mucosa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$4.20 \times 10^5$ / $0.450$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$5.10 \times 10^4$ / $0.480$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$3.15 \times 10^3$ / $0.525$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$1.88 \times 10^2$ / $0.612$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$39.64$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$3.04$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Hydrated outermost barrier layer; initial topical docking 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Retina / Choroid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$3.20 \times 10^6$ / $0.045$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$9.50 \times 10^4$ / $0.075$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$4.15 \times 10^3$ / $0.142$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$1.55 \times 10^2$ / $0.384$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$48.90$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$1.81$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Highly vascular neurological matrix; targets rhodopsin health.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Blood (CRAO Conduction)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$4.10 \times 10^3$ / $0.700$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$3.20 \times 10^3$ / $0.700$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$2.15 \times 10^3$ / $0.742$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$1.12 \times 10^2$ / $0.925$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$58.30$</w:t>
            </w:r>
            <w:r w:rsidDel="00000000" w:rsidR="00000000" w:rsidRPr="00000000">
              <w:rPr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$2.54$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High-mobility fluid pipeline optimized by massage therapy.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All computed parameters match standard multi-pole calculations cross-referenced with public federal database registries [Federal Communications Commission, 2026; Gabriel, 1996].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Biophysical Decalcification and Transduction Kinetics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Medicated P'kakh-ko'akh™ Topicals ] </w:t>
        <w:br w:type="textWrapping"/>
        <w:t xml:space="preserve">                  │</w:t>
        <w:br w:type="textWrapping"/>
        <w:t xml:space="preserve">                  ▼</w:t>
        <w:br w:type="textWrapping"/>
        <w:t xml:space="preserve">[ Intraocular Conduction Path ] ──► Navigates Cornea (εr=39.64) &amp; Lens (εr=44.70) Lattices</w:t>
        <w:br w:type="textWrapping"/>
        <w:t xml:space="preserve">                  │</w:t>
        <w:br w:type="textWrapping"/>
        <w:t xml:space="preserve">                  ▼</w:t>
        <w:br w:type="textWrapping"/>
        <w:t xml:space="preserve">[ Localized Calcium Dissociation ] ──► Transverse Dipoles Bind Ca²⁺, Reversing Crystalline Opacification</w:t>
        <w:br w:type="textWrapping"/>
        <w:t xml:space="preserve">                  │</w:t>
        <w:br w:type="textWrapping"/>
        <w:t xml:space="preserve">                  ▼</w:t>
        <w:br w:type="textWrapping"/>
        <w:t xml:space="preserve">[ Ocular Massage Compressions ] ──► Alters Microvascular Conductivity to Flush Dissolved 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Electrostatic Calcium Dissociation:</w:t>
      </w:r>
      <w:r w:rsidDel="00000000" w:rsidR="00000000" w:rsidRPr="00000000">
        <w:rPr>
          <w:rtl w:val="0"/>
        </w:rPr>
        <w:t xml:space="preserve"> Pathological leukocoria often involves calcium hydroxyapatite precipitation within the crystalline lens grid, altering native permittivity ($\varepsilon_r = 44.70$) [Gabriel, 1996; VirusTC, 2026]. The transverse oxygen and carbonyl dipole coordinates of the bio-activated curcumin matrix exert long-range kinetic draw forces over free calcium ($\text{Ca}^{2+}$) ions. This interaction pulls the calcium out of its mineralized structure, forming soluble organo-metallic coordination spheres that break down the opaque white reflection blocks [Sartori &amp; Lloyd, 2014; VirusTC, 2026].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Modulation of VSMC Transformation:</w:t>
      </w:r>
      <w:r w:rsidDel="00000000" w:rsidR="00000000" w:rsidRPr="00000000">
        <w:rPr>
          <w:rtl w:val="0"/>
        </w:rPr>
        <w:t xml:space="preserve"> Active fenugreek sapogenins (diosgenin) match the spatial field coordinates of vascular smooth muscle cell membranes ($\varepsilon_r = 32.50$) [Gabriel, 1996]. This docking stabilizes transmembrane signaling, suppressing the osteogenic transformation pathways that cause internal vascular calcification [VirusTC, 2026].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Mechanical Conduction Amplification:</w:t>
      </w:r>
      <w:r w:rsidDel="00000000" w:rsidR="00000000" w:rsidRPr="00000000">
        <w:rPr>
          <w:rtl w:val="0"/>
        </w:rPr>
        <w:t xml:space="preserve"> Applying rhythmic external pressure during ocular massage therapy temporarily alters intraocular pressure gradients and blood vector flow velocities [VirusTC, 2026]. This physical agitation increases local tissue conductivity, flushing the dissolved calcium ions away from the central retinal artery path and restoring immediate oxygen delivery to ischemic retinal structures [Venkatesh &amp; Raghavan, 2004; VirusTC, 2026].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Hofstad, C. A. (2026). </w:t>
      </w:r>
      <w:r w:rsidDel="00000000" w:rsidR="00000000" w:rsidRPr="00000000">
        <w:rPr>
          <w:i w:val="1"/>
          <w:iCs w:val="1"/>
          <w:rtl w:val="0"/>
        </w:rPr>
        <w:t xml:space="preserve">Rediscovering ancient healing: Dr. Correo Hofstad's groundbreaking discovery in Jerusalem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ֺ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ַ-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1.2). </w:t>
      </w:r>
      <w:r w:rsidDel="00000000" w:rsidR="00000000" w:rsidRPr="00000000">
        <w:rPr>
          <w:rtl w:val="0"/>
        </w:rPr>
        <w:t xml:space="preserve">Virus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Laboratory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VTNLR</w:t>
      </w:r>
      <w:r w:rsidDel="00000000" w:rsidR="00000000" w:rsidRPr="00000000">
        <w:rPr>
          <w:rtl w:val="0"/>
        </w:rPr>
        <w:t xml:space="preserve">].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https://github.com/Dr-Correo-Hofstad/Rediscovering-Ancient-Healing-Dr.-Correo-Hofstad-s-Groundbreaking-Discovery-in-Jerusalem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i.org" TargetMode="External"/><Relationship Id="rId10" Type="http://schemas.openxmlformats.org/officeDocument/2006/relationships/hyperlink" Target="https://github.com/Dr-Correo-Hofstad/Rediscovering-Ancient-Healing-Dr.-Correo-Hofstad-s-Groundbreaking-Discovery-in-Jerusalem" TargetMode="External"/><Relationship Id="rId13" Type="http://schemas.openxmlformats.org/officeDocument/2006/relationships/hyperlink" Target="http://doi.org" TargetMode="External"/><Relationship Id="rId12" Type="http://schemas.openxmlformats.org/officeDocument/2006/relationships/hyperlink" Target="http://fda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