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Data Pipeline &amp; Dashboard Report</w:t>
      </w:r>
    </w:p>
    <w:p>
      <w:pPr>
        <w:pStyle w:val="Heading1"/>
      </w:pPr>
      <w:r>
        <w:t>Executive Summary</w:t>
      </w:r>
    </w:p>
    <w:p>
      <w:r>
        <w:t>This project demonstrates an end-to-end healthcare data pipeline built using Azure Blob Storage and Databricks. Raw clinical data is ingested, transformed through Bronze, Silver, and Gold layers, and stored in Unity Catalog. A dynamic dashboard provides insights into hospital utilization, ICU pressure, and patient risk.</w:t>
      </w:r>
    </w:p>
    <w:p>
      <w:pPr>
        <w:pStyle w:val="Heading1"/>
      </w:pPr>
      <w:r>
        <w:t>Business Insights</w:t>
      </w:r>
    </w:p>
    <w:p>
      <w:r>
        <w:t>• Emergency admissions dominate hospital intake.</w:t>
        <w:br/>
        <w:t>• ICU stays are higher for emergency patients.</w:t>
        <w:br/>
        <w:t>• Mortality risk increases with ICU duration.</w:t>
        <w:br/>
        <w:t>• Top diagnoses highlight critical health trends.</w:t>
        <w:br/>
        <w:t>• Insurance impacts admission patterns.</w:t>
      </w:r>
    </w:p>
    <w:p>
      <w:pPr>
        <w:pStyle w:val="Heading1"/>
      </w:pPr>
      <w:r>
        <w:t>Azure Storage Account</w:t>
      </w:r>
    </w:p>
    <w:p>
      <w:r>
        <w:drawing>
          <wp:inline xmlns:a="http://schemas.openxmlformats.org/drawingml/2006/main" xmlns:pic="http://schemas.openxmlformats.org/drawingml/2006/picture">
            <wp:extent cx="5486400" cy="2480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560a93-abe6-4750-b287-7fc6f4fb3e6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Azure Upload Script</w:t>
      </w:r>
    </w:p>
    <w:p>
      <w:r>
        <w:drawing>
          <wp:inline xmlns:a="http://schemas.openxmlformats.org/drawingml/2006/main" xmlns:pic="http://schemas.openxmlformats.org/drawingml/2006/picture">
            <wp:extent cx="5486400" cy="3373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536cc0-6526-46ba-b393-b666c07efe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Databricks Workspace</w:t>
      </w:r>
    </w:p>
    <w:p>
      <w:r>
        <w:drawing>
          <wp:inline xmlns:a="http://schemas.openxmlformats.org/drawingml/2006/main" xmlns:pic="http://schemas.openxmlformats.org/drawingml/2006/picture">
            <wp:extent cx="5486400" cy="2508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e5998-574a-4697-986b-e7bd7cdcd1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Bronze Ingestion</w:t>
      </w:r>
    </w:p>
    <w:p>
      <w:r>
        <w:drawing>
          <wp:inline xmlns:a="http://schemas.openxmlformats.org/drawingml/2006/main" xmlns:pic="http://schemas.openxmlformats.org/drawingml/2006/picture">
            <wp:extent cx="5486400" cy="2488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0654d-113a-49e0-a260-749a7198c7f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Bronze Output</w:t>
      </w:r>
    </w:p>
    <w:p>
      <w:r>
        <w:drawing>
          <wp:inline xmlns:a="http://schemas.openxmlformats.org/drawingml/2006/main" xmlns:pic="http://schemas.openxmlformats.org/drawingml/2006/picture">
            <wp:extent cx="5486400" cy="2750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bcd3ae-b6a6-47ec-9422-ae1a65bd0b4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Gold Join Logic</w:t>
      </w:r>
    </w:p>
    <w:p>
      <w:r>
        <w:drawing>
          <wp:inline xmlns:a="http://schemas.openxmlformats.org/drawingml/2006/main" xmlns:pic="http://schemas.openxmlformats.org/drawingml/2006/picture">
            <wp:extent cx="5486400" cy="2494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160697-42b8-4997-bddd-07d2dac93b7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Unity Catalog</w:t>
      </w:r>
    </w:p>
    <w:p>
      <w:r>
        <w:drawing>
          <wp:inline xmlns:a="http://schemas.openxmlformats.org/drawingml/2006/main" xmlns:pic="http://schemas.openxmlformats.org/drawingml/2006/picture">
            <wp:extent cx="5486400" cy="2163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1bcd49-6e29-4f12-a501-5969b149e5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Dashboard Overview</w:t>
      </w:r>
    </w:p>
    <w:p>
      <w:r>
        <w:drawing>
          <wp:inline xmlns:a="http://schemas.openxmlformats.org/drawingml/2006/main" xmlns:pic="http://schemas.openxmlformats.org/drawingml/2006/picture">
            <wp:extent cx="5486400" cy="3257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817ebd-4e28-4de2-a2a0-07a2bfea705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Top Diagnoses</w:t>
      </w:r>
    </w:p>
    <w:p>
      <w:r>
        <w:drawing>
          <wp:inline xmlns:a="http://schemas.openxmlformats.org/drawingml/2006/main" xmlns:pic="http://schemas.openxmlformats.org/drawingml/2006/picture">
            <wp:extent cx="5486400" cy="25292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daecd-7783-426e-be0f-bd5bd2f994d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Admission vs Gender</w:t>
      </w:r>
    </w:p>
    <w:p>
      <w:r>
        <w:drawing>
          <wp:inline xmlns:a="http://schemas.openxmlformats.org/drawingml/2006/main" xmlns:pic="http://schemas.openxmlformats.org/drawingml/2006/picture">
            <wp:extent cx="5486400" cy="25086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e5998-574a-4697-986b-e7bd7cdcd1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Insurance Heatmap</w:t>
      </w:r>
    </w:p>
    <w:p>
      <w:r>
        <w:drawing>
          <wp:inline xmlns:a="http://schemas.openxmlformats.org/drawingml/2006/main" xmlns:pic="http://schemas.openxmlformats.org/drawingml/2006/picture">
            <wp:extent cx="5486400" cy="28682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67ac9-96d2-4654-94be-f0cc2fe18b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