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Astra游戏UI与素材优化实践简报</w:t>
      </w:r>
    </w:p>
    <w:p>
      <w:pPr>
        <w:pStyle w:val="Subtitle"/>
      </w:pPr>
      <w:r>
        <w:t>盲盒模拟经营版本  |  复盘日期 2026年9月7日  |  整理日期 2026年9月8日</w:t>
      </w:r>
    </w:p>
    <w:p>
      <w:r>
        <w:t>这轮使用 GPT6 Astra 的协作，让我们看到它在游戏界面组织、素材选用和具体需求落地上的进步。它能够把已有资产组合成更接近实际游玩需要的界面，并继续处理代码、布局和交互之间的关系。我们的判断来自本项目的迭代体验，不是模型间的标准化性能测试。</w:t>
      </w:r>
    </w:p>
    <w:p>
      <w:pPr>
        <w:pStyle w:val="Heading2"/>
      </w:pPr>
      <w:r>
        <w:t>更理解游戏界面的操作层次</w:t>
      </w:r>
    </w:p>
    <w:p>
      <w:r>
        <w:t>主菜单沿用原有大致位置，统一三个入口的按钮样式，把文字放在按钮的主要可读区域，并保留悬停与点击反馈。手机则以三列应用图标组织主页，应用内保留统一的 HOME 导航，机身下方提供明显的收起箭头。玩家能够更容易判断从哪里进入、如何返回。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1" name="Picture 1" descr="city_menu 2026年9月7日项目运行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_menu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图1  主菜单运行截图。天空背景与纸张按钮组成统一界面，三个入口的文字层级和位置清晰。</w:t>
      </w:r>
    </w:p>
    <w:p>
      <w:pPr>
        <w:pStyle w:val="Heading2"/>
      </w:pPr>
      <w:r>
        <w:t>更能按功能使用已有美术资产</w:t>
      </w:r>
    </w:p>
    <w:p>
      <w:r>
        <w:t>整体UI调整不只是替换一张底图，还涉及按钮、面板、标题、图标与文字的组合。手机内页进一步处理了边框遮罩、安全留白和状态栏，避免内容伸出机身。Astra表现出一定的素材辨识与排版判断能力，但这些结果依然经过了负责人对样式、尺寸和位置的多轮纠正。</w:t>
      </w:r>
    </w:p>
    <w:p>
      <w:r>
        <w:t>本轮涉及主菜单、手机主页及应用内页、库存与交易界面；素材侧包括沿街建筑、动画角色、亚克力展示台，以及袋鼠盒体、独立盒盖和贴图接入。下页展示其中较能说明能力变化的特殊UI需求。</w:t>
      </w:r>
    </w:p>
    <w:p>
      <w:pPr>
        <w:pStyle w:val="Heading1"/>
        <w:pageBreakBefore/>
      </w:pPr>
      <w:r>
        <w:t>特殊展示需求能够落实到游戏中</w:t>
      </w:r>
    </w:p>
    <w:p>
      <w:r>
        <w:t>库存需要同时承担管理与收集反馈：已发现款显示模型静止图、名称和数量，未发现款显示黑色剪影与问号。商城则需要图片优先的两列卡片。Astra能够把这类文字描述转成相应的展示结构，并接入实际商品与库存数据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4846320" cy="2726055"/>
            <wp:docPr id="2" name="Picture 2" descr="inventory_grid 2026年9月7日项目运行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nventory_gri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846320" cy="272605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图2  库存与收藏格。已发现款、未发现剪影、数量和操作状态呈现在同一张卡片内。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1280160" cy="2550872"/>
            <wp:docPr id="3" name="Picture 3" descr="phone_frame_home 2026年9月7日项目运行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_frame_home.png"/>
                    <pic:cNvPicPr/>
                  </pic:nvPicPr>
                  <pic:blipFill>
                    <a:blip r:embed="rId11"/>
                    <a:srcRect l="72400" t="3000" r="500" b="100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25508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280160" cy="2550872"/>
            <wp:docPr id="4" name="Picture 4" descr="phone_frame_supply 2026年9月7日项目运行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hone_frame_supply.png"/>
                    <pic:cNvPicPr/>
                  </pic:nvPicPr>
                  <pic:blipFill>
                    <a:blip r:embed="rId12"/>
                    <a:srcRect l="72400" t="3000" r="500" b="100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2550872"/>
                    </a:xfrm>
                    <a:prstGeom prst="rect"/>
                  </pic:spPr>
                </pic:pic>
              </a:graphicData>
            </a:graphic>
          </wp:inline>
        </w:drawing>
      </w:r>
      <w:r>
        <w:t xml:space="preserve">    </w:t>
      </w:r>
      <w:r>
        <w:drawing>
          <wp:inline xmlns:a="http://schemas.openxmlformats.org/drawingml/2006/main" xmlns:pic="http://schemas.openxmlformats.org/drawingml/2006/picture">
            <wp:extent cx="1280160" cy="2550872"/>
            <wp:docPr id="5" name="Picture 5" descr="shopping_resale 2026年9月7日项目运行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hopping_resale.png"/>
                    <pic:cNvPicPr/>
                  </pic:nvPicPr>
                  <pic:blipFill>
                    <a:blip r:embed="rId13"/>
                    <a:srcRect l="72400" t="3000" r="500" b="1000"/>
                    <a:stretch>
                      <a:fillRect/>
                    </a:stretch>
                  </pic:blipFill>
                  <pic:spPr>
                    <a:xfrm>
                      <a:off x="0" y="0"/>
                      <a:ext cx="1280160" cy="255087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图3  手机主页、进货与扭扭页面局部。扭扭为较早的过程截图，状态栏与边框尚未完成后续统一。</w:t>
      </w:r>
    </w:p>
    <w:p>
      <w:r>
        <w:t>进货图用每个系列的三款实体模型组成静态商品合照，图像限制在方形窗口内；扭扭按款式显示图片、数量与回收价，支持处理重复款并保留收藏。基米采用同样的两列卡片，缺少商品图片的项目明确保留占位格。</w:t>
      </w:r>
    </w:p>
    <w:p>
      <w:r>
        <w:t>这体现了对特殊需求的拆解能力：不仅排出方格，还能处理模型取景、单帧图缓存、未知款剪影和按钮状态。截图能证明布局与展示结果，操作是否顺畅仍要结合运行检查和人工试玩。</w:t>
      </w:r>
    </w:p>
    <w:p>
      <w:pPr>
        <w:pStyle w:val="Heading1"/>
        <w:pageBreakBefore/>
      </w:pPr>
      <w:r>
        <w:t>素材理解的进步与仍需人承担的工作</w:t>
      </w:r>
    </w:p>
    <w:p>
      <w:pPr>
        <w:pStyle w:val="Heading2"/>
      </w:pPr>
      <w:r>
        <w:t>能够围绕玩家视角组织游戏素材</w:t>
      </w:r>
    </w:p>
    <w:p>
      <w:r>
        <w:t>街道替换使用 Cartoon City Massive Megapack 的建筑和角色，围绕镜头可见范围摆放店面，并接入行走与待机动画。顾客从行进中的人流变道到摊前，再回到街道；角色分类、朝向和身份需要保持一致。这比单纯按文件名换模型更进一步，要求同时理解资产外形和它在场景里的用途。</w:t>
      </w:r>
    </w:p>
    <w:p>
      <w:pPr>
        <w:keepNext/>
        <w:spacing w:line="240" w:lineRule="auto"/>
        <w:jc w:val="center"/>
      </w:pPr>
      <w:r>
        <w:drawing>
          <wp:inline xmlns:a="http://schemas.openxmlformats.org/drawingml/2006/main" xmlns:pic="http://schemas.openxmlformats.org/drawingml/2006/picture">
            <wp:extent cx="5577840" cy="3137535"/>
            <wp:docPr id="6" name="Picture 6" descr="city_street 2026年9月7日项目运行截图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ity_street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77840" cy="31375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t>图4  建筑与顾客接入后的过程截图。店面、街道和摊位形成空间关系，角色与商品遮挡仍需要继续打磨。</w:t>
      </w:r>
    </w:p>
    <w:p>
      <w:r>
        <w:t>同轮还完成了阶梯亚克力展示、桌面两侧陈列与中央开盒区调整，接入袋鼠盒体、盒盖及包装贴图，并修正撕封输入衔接和完整开盖后揭晓的时序。随后继续调整行人固定方向避让、双顾客驻足，以及交互期间持续营业。这些是根据明确反馈推进的实现与修复。</w:t>
      </w:r>
    </w:p>
    <w:p>
      <w:pPr>
        <w:pStyle w:val="Heading2"/>
      </w:pPr>
      <w:r>
        <w:t>仍不能整体接管游戏产出</w:t>
      </w:r>
    </w:p>
    <w:p>
      <w:r>
        <w:t>我们认为，Astra已经是较好的具体需求解决工具，但这次实践还不能证明它可以独立承担玩法设计者的角色。它可以实现经营规则和界面，也可以验证流程是否运行；它不能替代人去判断等待是否无聊、开盒是否惊喜、议价是否有趣，以及玩家为什么愿意继续玩。</w:t>
      </w:r>
    </w:p>
    <w:p>
      <w:r>
        <w:t>本项目适合保持这样的分工：人提出目标、提供素材与参考，并通过试玩决定取舍；Astra负责拆解需求、修改工程、接入资产和辅助检查。审美方向、玩法乐趣与最终验收仍由项目组负责。</w:t>
      </w:r>
    </w:p>
    <w:p>
      <w:pPr>
        <w:pStyle w:val="Caption"/>
      </w:pPr>
      <w:r>
        <w:t>资料索引  昨日项目运行截图与协作记录；工程内《手机商城与袋鼠包装接入》《步行街建筑与角色接入》《行情与展示库存更新》，以及对应UI和场景实现。</w:t>
      </w:r>
    </w:p>
    <w:sectPr w:rsidR="00FC693F" w:rsidRPr="0006063C" w:rsidSect="00034616">
      <w:pgSz w:w="12240" w:h="15840"/>
      <w:pgMar w:top="893" w:right="1080" w:bottom="893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20" w:lineRule="exact"/>
      <w:snapToGrid w:val="0"/>
    </w:pPr>
    <w:rPr>
      <w:rFonts w:ascii="Microsoft YaHei" w:hAnsi="Microsoft YaHei" w:eastAsia="Microsoft YaHei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20" w:line="460" w:lineRule="exact"/>
      <w:outlineLvl w:val="0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460" w:lineRule="exact"/>
      <w:outlineLvl w:val="1"/>
      <w:snapToGrid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20" w:line="600" w:lineRule="exact"/>
      <w:contextualSpacing/>
      <w:snapToGrid w:val="0"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320" w:lineRule="exact"/>
      <w:snapToGrid w:val="0"/>
    </w:pPr>
    <w:rPr>
      <w:rFonts w:asciiTheme="majorHAnsi" w:eastAsiaTheme="majorEastAsia" w:hAnsiTheme="majorHAnsi" w:cstheme="majorBidi" w:ascii="Microsoft YaHei" w:hAnsi="Microsoft YaHei" w:eastAsia="Microsoft YaHei"/>
      <w:i w:val="0"/>
      <w:iCs/>
      <w:color w:val="000000"/>
      <w:spacing w:val="15"/>
      <w:sz w:val="20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320" w:lineRule="exact" w:after="160"/>
      <w:snapToGrid w:val="0"/>
    </w:pPr>
    <w:rPr>
      <w:rFonts w:ascii="Microsoft YaHei" w:hAnsi="Microsoft YaHei" w:eastAsia="Microsoft YaHei"/>
      <w:b w:val="0"/>
      <w:bCs/>
      <w:color w:val="000000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Astra游戏UI与素材优化实践简报</dc:title>
  <dc:subject>2026年9月7日盲盒摆摊版本优化复盘</dc:subject>
  <dc:creator>项目组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