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E98" w:rsidRPr="00937E98" w:rsidRDefault="00937E98" w:rsidP="00937E98">
      <w:pPr>
        <w:spacing w:after="615"/>
        <w:ind w:left="720" w:right="49"/>
        <w:jc w:val="both"/>
        <w:rPr>
          <w:rFonts w:ascii="Cambria" w:eastAsia="Cambria" w:hAnsi="Cambria" w:cs="Cambria"/>
          <w:b/>
          <w:color w:val="355E91"/>
          <w:sz w:val="28"/>
          <w:lang w:eastAsia="en-GB"/>
        </w:rPr>
      </w:pPr>
      <w:r w:rsidRPr="00937E98">
        <w:rPr>
          <w:rFonts w:ascii="Cambria" w:eastAsia="Cambria" w:hAnsi="Cambria" w:cs="Cambria"/>
          <w:b/>
          <w:color w:val="355E91"/>
          <w:sz w:val="28"/>
          <w:lang w:eastAsia="en-GB"/>
        </w:rPr>
        <w:t>BIOL 5174 Omics &amp; Systems Approaches in Biology </w:t>
      </w:r>
    </w:p>
    <w:p w:rsidR="00937E98" w:rsidRPr="00937E98" w:rsidRDefault="00937E98" w:rsidP="00937E98">
      <w:pPr>
        <w:spacing w:after="615"/>
        <w:ind w:right="49"/>
        <w:jc w:val="both"/>
        <w:rPr>
          <w:rFonts w:ascii="Calibri" w:eastAsia="Calibri" w:hAnsi="Calibri" w:cs="Calibri"/>
          <w:color w:val="000000"/>
          <w:lang w:eastAsia="en-GB"/>
        </w:rPr>
      </w:pPr>
      <w:r w:rsidRPr="00937E98">
        <w:rPr>
          <w:rFonts w:ascii="Calibri" w:eastAsia="Calibri" w:hAnsi="Calibri" w:cs="Calibri"/>
          <w:b/>
          <w:color w:val="000000"/>
          <w:sz w:val="28"/>
          <w:lang w:eastAsia="en-GB"/>
        </w:rPr>
        <w:t xml:space="preserve">                                        STUDENT ID:   2060576   </w:t>
      </w:r>
    </w:p>
    <w:p w:rsidR="00937E98" w:rsidRPr="00937E98" w:rsidRDefault="00937E98" w:rsidP="00937E98">
      <w:pPr>
        <w:spacing w:after="115"/>
        <w:ind w:left="2170"/>
        <w:jc w:val="both"/>
        <w:rPr>
          <w:rFonts w:ascii="Calibri" w:eastAsia="Calibri" w:hAnsi="Calibri" w:cs="Calibri"/>
          <w:color w:val="000000"/>
          <w:sz w:val="48"/>
          <w:szCs w:val="48"/>
          <w:lang w:eastAsia="en-GB"/>
        </w:rPr>
      </w:pPr>
      <w:r>
        <w:rPr>
          <w:rFonts w:ascii="Calibri" w:eastAsia="Calibri" w:hAnsi="Calibri" w:cs="Calibri"/>
          <w:color w:val="000000"/>
          <w:sz w:val="48"/>
          <w:szCs w:val="48"/>
          <w:lang w:eastAsia="en-GB"/>
        </w:rPr>
        <w:t>IDCGV Report</w:t>
      </w:r>
    </w:p>
    <w:p w:rsidR="00B15FE3" w:rsidRDefault="00681DCE"/>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Default="00937E98"/>
    <w:p w:rsidR="00937E98" w:rsidRPr="00937E98" w:rsidRDefault="00937E98">
      <w:pPr>
        <w:rPr>
          <w:rFonts w:ascii="Leelawadee" w:hAnsi="Leelawadee" w:cs="Leelawadee"/>
          <w:sz w:val="44"/>
          <w:szCs w:val="44"/>
        </w:rPr>
      </w:pPr>
      <w:r w:rsidRPr="00937E98">
        <w:rPr>
          <w:rFonts w:ascii="Leelawadee" w:hAnsi="Leelawadee" w:cs="Leelawadee"/>
          <w:sz w:val="44"/>
          <w:szCs w:val="44"/>
        </w:rPr>
        <w:lastRenderedPageBreak/>
        <w:t>Part A</w:t>
      </w:r>
    </w:p>
    <w:p w:rsidR="00937E98" w:rsidRPr="007B58CA" w:rsidRDefault="00937E98" w:rsidP="00937E98">
      <w:pPr>
        <w:spacing w:line="360" w:lineRule="auto"/>
        <w:rPr>
          <w:rFonts w:ascii="Leelawadee" w:hAnsi="Leelawadee" w:cs="Leelawadee"/>
        </w:rPr>
      </w:pPr>
      <w:r w:rsidRPr="007B58CA">
        <w:rPr>
          <w:rFonts w:ascii="Leelawadee" w:hAnsi="Leelawadee" w:cs="Leelawadee"/>
        </w:rPr>
        <w:t xml:space="preserve">Type 2 diabetes mellitus (T2D) is complex disease that affects approximately 300 million individuals in </w:t>
      </w:r>
      <w:r w:rsidRPr="007B58CA">
        <w:rPr>
          <w:rFonts w:ascii="Leelawadee" w:hAnsi="Leelawadee" w:cs="Leelawadee"/>
        </w:rPr>
        <w:t xml:space="preserve">the </w:t>
      </w:r>
      <w:r w:rsidRPr="007B58CA">
        <w:rPr>
          <w:rFonts w:ascii="Leelawadee" w:hAnsi="Leelawadee" w:cs="Leelawadee"/>
        </w:rPr>
        <w:t xml:space="preserve">world’s population. It is characterized by </w:t>
      </w:r>
      <w:r w:rsidRPr="007B58CA">
        <w:rPr>
          <w:rFonts w:ascii="Leelawadee" w:hAnsi="Leelawadee" w:cs="Leelawadee"/>
          <w:color w:val="000000"/>
          <w:shd w:val="clear" w:color="auto" w:fill="FFFFFF"/>
        </w:rPr>
        <w:t xml:space="preserve">insulin resistance and </w:t>
      </w:r>
      <w:r w:rsidRPr="007B58CA">
        <w:rPr>
          <w:rFonts w:ascii="Leelawadee" w:hAnsi="Leelawadee" w:cs="Leelawadee"/>
        </w:rPr>
        <w:t xml:space="preserve">reduced secretion of insulin by </w:t>
      </w:r>
      <w:r w:rsidRPr="007B58CA">
        <w:rPr>
          <w:rFonts w:ascii="Calibri" w:hAnsi="Calibri" w:cs="Calibri"/>
          <w:color w:val="000000"/>
          <w:shd w:val="clear" w:color="auto" w:fill="FFFFFF"/>
        </w:rPr>
        <w:t>β</w:t>
      </w:r>
      <w:r w:rsidRPr="007B58CA">
        <w:rPr>
          <w:rFonts w:ascii="Leelawadee" w:hAnsi="Leelawadee" w:cs="Leelawadee"/>
          <w:color w:val="000000"/>
          <w:shd w:val="clear" w:color="auto" w:fill="FFFFFF"/>
        </w:rPr>
        <w:t>-cells (Ameri</w:t>
      </w:r>
      <w:r w:rsidRPr="007B58CA">
        <w:rPr>
          <w:rFonts w:ascii="Leelawadee" w:hAnsi="Leelawadee" w:cs="Leelawadee"/>
          <w:color w:val="000000"/>
          <w:shd w:val="clear" w:color="auto" w:fill="FFFFFF"/>
        </w:rPr>
        <w:t xml:space="preserve">can Diabetes Association, 2010; </w:t>
      </w:r>
      <w:r w:rsidRPr="007B58CA">
        <w:rPr>
          <w:rFonts w:ascii="Leelawadee" w:hAnsi="Leelawadee" w:cs="Leelawadee"/>
        </w:rPr>
        <w:t>Wheeler and Barroso, 2011). In addition to being influenced by environmental factors, T2D has also been shown to have a strong hereditary component</w:t>
      </w:r>
      <w:r w:rsidRPr="007B58CA">
        <w:rPr>
          <w:rFonts w:ascii="Leelawadee" w:hAnsi="Leelawadee" w:cs="Leelawadee"/>
        </w:rPr>
        <w:t xml:space="preserve"> (Ali</w:t>
      </w:r>
      <w:r w:rsidRPr="007B58CA">
        <w:rPr>
          <w:rFonts w:ascii="Leelawadee" w:hAnsi="Leelawadee" w:cs="Leelawadee"/>
        </w:rPr>
        <w:t>, 2013). This section of the report attempts to explain the most suitable approach to identifying genetic loci predisposing to T2D.</w:t>
      </w:r>
      <w:r w:rsidRPr="007B58CA">
        <w:rPr>
          <w:rFonts w:ascii="Leelawadee" w:hAnsi="Leelawadee" w:cs="Leelawadee"/>
          <w:i/>
          <w:iCs/>
        </w:rPr>
        <w:t xml:space="preserve"> </w:t>
      </w:r>
      <w:r w:rsidRPr="007B58CA">
        <w:rPr>
          <w:rFonts w:ascii="Leelawadee" w:hAnsi="Leelawadee" w:cs="Leelawadee"/>
        </w:rPr>
        <w:t>The most appropriate technique available for identifying predisposing loci for a common disease like T2D is the genome-wide analysis study (GWAS) (</w:t>
      </w:r>
      <w:proofErr w:type="spellStart"/>
      <w:r w:rsidRPr="007B58CA">
        <w:rPr>
          <w:rFonts w:ascii="Leelawadee" w:hAnsi="Leelawadee" w:cs="Leelawadee"/>
        </w:rPr>
        <w:t>Kruglyak</w:t>
      </w:r>
      <w:proofErr w:type="spellEnd"/>
      <w:r w:rsidRPr="007B58CA">
        <w:rPr>
          <w:rFonts w:ascii="Leelawadee" w:hAnsi="Leelawadee" w:cs="Leelawadee"/>
        </w:rPr>
        <w:t xml:space="preserve">, 2008). This technique allows for the interrogation of the entire genome without being limited by the need of an established disease-loci relationship. </w:t>
      </w:r>
    </w:p>
    <w:p w:rsidR="00937E98" w:rsidRPr="007B58CA" w:rsidRDefault="00937E98" w:rsidP="00937E98">
      <w:pPr>
        <w:spacing w:line="360" w:lineRule="auto"/>
        <w:rPr>
          <w:rFonts w:ascii="Leelawadee" w:hAnsi="Leelawadee" w:cs="Leelawadee"/>
        </w:rPr>
      </w:pPr>
      <w:r w:rsidRPr="007B58CA">
        <w:rPr>
          <w:rFonts w:ascii="Leelawadee" w:hAnsi="Leelawadee" w:cs="Leelawadee"/>
        </w:rPr>
        <w:t>The way a GWAS is designed affects the meaningfulness of the results. The characteristic of a phenotype majorly affects the design of a GWAS. The T2D phenotype is conventionally categorical in nature. This type of phenotype warrants the use of a case-control study design, where individuals are either classified as affected (“case”) or unaffected (“control”). The success of this type of design is attributed to a well-defined phenotype, usually aided by clinical variables. Ideally, with the exception of disease status, the cases and controls should be similar. They should be of similar sample size, be selected from the same population, and have similar sex and age distribution. All these specifications for a case-control study are there for the purpose of minimizing bias that can be introduced by stratification and/or exposure differences. It is also worth mentioning that controls should be randomly selected, in order to remove selection bias. To detect small effects of common variants, the statistical power of the study should be very high (≥0.8). Having a large enough sample size can really improve the statistical power.</w:t>
      </w:r>
    </w:p>
    <w:p w:rsidR="00937E98" w:rsidRPr="007B58CA" w:rsidRDefault="00937E98" w:rsidP="00937E98">
      <w:pPr>
        <w:spacing w:line="360" w:lineRule="auto"/>
        <w:rPr>
          <w:rFonts w:ascii="Leelawadee" w:hAnsi="Leelawadee" w:cs="Leelawadee"/>
        </w:rPr>
      </w:pPr>
      <w:r w:rsidRPr="007B58CA">
        <w:rPr>
          <w:rFonts w:ascii="Leelawadee" w:hAnsi="Leelawadee" w:cs="Leelawadee"/>
        </w:rPr>
        <w:t>The next step in the GWAS pipeline would be to select and genotype the single-nucleotide polymorphisms (SNPs) that would be used in the analyses. SNPs would be the markers of choice because millions of them have been well characterised across the genome, their inheritance patterns have been defined (</w:t>
      </w:r>
      <w:proofErr w:type="spellStart"/>
      <w:r w:rsidRPr="007B58CA">
        <w:rPr>
          <w:rFonts w:ascii="Leelawadee" w:hAnsi="Leelawadee" w:cs="Leelawadee"/>
        </w:rPr>
        <w:t>Kruglyak</w:t>
      </w:r>
      <w:proofErr w:type="spellEnd"/>
      <w:r w:rsidRPr="007B58CA">
        <w:rPr>
          <w:rFonts w:ascii="Leelawadee" w:hAnsi="Leelawadee" w:cs="Leelawadee"/>
        </w:rPr>
        <w:t xml:space="preserve">, 2008; Wheeler and Barroso, 2011). Ideally the repertoire of SNPs selected should contain randomly selected SNPs that span the entire genome, tag SNPs, and SNPs singled out for functionality from previous GWAS’s. There should also be a substantial amount (&gt; 300, 000) of SNPs selected to minimise cofounding by locus. Once SNPs are selected, the next step is to get their genotypes. When using large samples, genotyping tends to happen in multiple batches. In such cases, we can minimise ascertainment bias by adopting a blind genotyping approach; where the identity of the </w:t>
      </w:r>
      <w:r w:rsidRPr="007B58CA">
        <w:rPr>
          <w:rFonts w:ascii="Leelawadee" w:hAnsi="Leelawadee" w:cs="Leelawadee"/>
        </w:rPr>
        <w:lastRenderedPageBreak/>
        <w:t>sample as a case or control is unknown. Sometimes samples could have missing genotypes, and this can be bypassed by imputation.</w:t>
      </w:r>
    </w:p>
    <w:p w:rsidR="00937E98" w:rsidRPr="007B58CA" w:rsidRDefault="00937E98" w:rsidP="00937E98">
      <w:pPr>
        <w:spacing w:line="360" w:lineRule="auto"/>
        <w:rPr>
          <w:rFonts w:ascii="Leelawadee" w:hAnsi="Leelawadee" w:cs="Leelawadee"/>
        </w:rPr>
      </w:pPr>
      <w:r w:rsidRPr="007B58CA">
        <w:rPr>
          <w:rFonts w:ascii="Leelawadee" w:hAnsi="Leelawadee" w:cs="Leelawadee"/>
        </w:rPr>
        <w:t xml:space="preserve">Once the data for genotypes and phenotypes have been sorted, the next step would be to perform a range quality control (QC) checks. There </w:t>
      </w:r>
      <w:proofErr w:type="gramStart"/>
      <w:r w:rsidRPr="007B58CA">
        <w:rPr>
          <w:rFonts w:ascii="Leelawadee" w:hAnsi="Leelawadee" w:cs="Leelawadee"/>
        </w:rPr>
        <w:t>are</w:t>
      </w:r>
      <w:proofErr w:type="gramEnd"/>
      <w:r w:rsidRPr="007B58CA">
        <w:rPr>
          <w:rFonts w:ascii="Leelawadee" w:hAnsi="Leelawadee" w:cs="Leelawadee"/>
        </w:rPr>
        <w:t xml:space="preserve"> some software that allow for some these QCs before running the analyses, for instance PLINK. Filtering out SNPs that violate Hardy-Weinberg Equilibrium helps minimise genotyping errors. Individuals and/or SNPs can be removed if the fall below a threshold for percentage missing data. SNPs with a minor allele frequency below 1% can be filtered out. Pairwise comparisons of the genotype data for genetic relatedness can also be done to correct for cryptic relatedness. </w:t>
      </w:r>
    </w:p>
    <w:p w:rsidR="00937E98" w:rsidRPr="007B58CA" w:rsidRDefault="00937E98" w:rsidP="00937E98">
      <w:pPr>
        <w:spacing w:line="360" w:lineRule="auto"/>
        <w:rPr>
          <w:rFonts w:ascii="Leelawadee" w:hAnsi="Leelawadee" w:cs="Leelawadee"/>
        </w:rPr>
      </w:pPr>
      <w:r w:rsidRPr="007B58CA">
        <w:rPr>
          <w:rFonts w:ascii="Leelawadee" w:hAnsi="Leelawadee" w:cs="Leelawadee"/>
        </w:rPr>
        <w:t xml:space="preserve">Data that pass through the QC filters can then be used in the association analyses. The appropriate statistical test for the T2D would be a logistic regression. An additive model should ideally be the model for the genetic risk, as the effect of each of the three genotypes is assessed. The result of this regression can then be used to construct a Manhattan plot, which will allow us visualise loci across the genome that significantly associate with T2D. An ideal statistical threshold for significance is the </w:t>
      </w:r>
      <w:proofErr w:type="spellStart"/>
      <w:r w:rsidRPr="007B58CA">
        <w:rPr>
          <w:rFonts w:ascii="Leelawadee" w:hAnsi="Leelawadee" w:cs="Leelawadee"/>
        </w:rPr>
        <w:t>Bonferroni</w:t>
      </w:r>
      <w:proofErr w:type="spellEnd"/>
      <w:r w:rsidRPr="007B58CA">
        <w:rPr>
          <w:rFonts w:ascii="Leelawadee" w:hAnsi="Leelawadee" w:cs="Leelawadee"/>
        </w:rPr>
        <w:t>-corrected type I error rate (p &lt; 5 x 10</w:t>
      </w:r>
      <w:r w:rsidRPr="007B58CA">
        <w:rPr>
          <w:rFonts w:ascii="Leelawadee" w:hAnsi="Leelawadee" w:cs="Leelawadee"/>
          <w:vertAlign w:val="superscript"/>
        </w:rPr>
        <w:t>-8</w:t>
      </w:r>
      <w:r w:rsidRPr="007B58CA">
        <w:rPr>
          <w:rFonts w:ascii="Leelawadee" w:hAnsi="Leelawadee" w:cs="Leelawadee"/>
        </w:rPr>
        <w:t>). The result of the analyses should then subject to additional statistical tests to check for cofounders. These tests include stratified analysis, principal component analysis, ad quantile-quantile plot of the p-values.</w:t>
      </w:r>
    </w:p>
    <w:p w:rsidR="00937E98" w:rsidRPr="007B58CA" w:rsidRDefault="00937E98" w:rsidP="00937E98">
      <w:pPr>
        <w:spacing w:line="360" w:lineRule="auto"/>
        <w:rPr>
          <w:rFonts w:ascii="Leelawadee" w:hAnsi="Leelawadee" w:cs="Leelawadee"/>
        </w:rPr>
      </w:pPr>
    </w:p>
    <w:p w:rsidR="00937E98" w:rsidRPr="007B58CA" w:rsidRDefault="00937E98" w:rsidP="00937E98">
      <w:pPr>
        <w:spacing w:line="360" w:lineRule="auto"/>
        <w:rPr>
          <w:rFonts w:ascii="Leelawadee" w:hAnsi="Leelawadee" w:cs="Leelawadee"/>
        </w:rPr>
      </w:pPr>
      <w:r w:rsidRPr="007B58CA">
        <w:rPr>
          <w:rFonts w:ascii="Leelawadee" w:hAnsi="Leelawadee" w:cs="Leelawadee"/>
        </w:rPr>
        <w:t xml:space="preserve">The latest GWAS for T2D as conducted using samples from the Japanese population (Imamura </w:t>
      </w:r>
      <w:r w:rsidRPr="007B58CA">
        <w:rPr>
          <w:rFonts w:ascii="Leelawadee" w:hAnsi="Leelawadee" w:cs="Leelawadee"/>
          <w:i/>
          <w:iCs/>
        </w:rPr>
        <w:t>et al</w:t>
      </w:r>
      <w:r w:rsidRPr="007B58CA">
        <w:rPr>
          <w:rFonts w:ascii="Leelawadee" w:hAnsi="Leelawadee" w:cs="Leelawadee"/>
        </w:rPr>
        <w:t xml:space="preserve">, 2016). There are some similarities and differences between the design of their study and the design discussed in this report. In harmony with our design, their study used involved the use of a very large sample size (as it was a meta-analysis), and a large number of SNPs. They also characterised the T2D phenotype using the World Health Organisation criteria. Their study also involved our recommended QCs of HWE testing, the use of 1% MAF threshold, and data with ≥ 99% call rate. They also assessed cryptic relatedness for each sample. However, there was a major difference from ours in the design of their case-control selection. They did not match the case and control data sets for potential cofounders. They did however control for these potential cofounders by performing stratified analysis, principal component analysis, and quantile-quantile plots p-values (Imamura </w:t>
      </w:r>
      <w:r w:rsidRPr="007B58CA">
        <w:rPr>
          <w:rFonts w:ascii="Leelawadee" w:hAnsi="Leelawadee" w:cs="Leelawadee"/>
          <w:i/>
          <w:iCs/>
        </w:rPr>
        <w:t>et al</w:t>
      </w:r>
      <w:r w:rsidRPr="007B58CA">
        <w:rPr>
          <w:rFonts w:ascii="Leelawadee" w:hAnsi="Leelawadee" w:cs="Leelawadee"/>
        </w:rPr>
        <w:t>, 2016). Overall, the design of their study was ideal, and very similar to the one we have described.</w:t>
      </w:r>
    </w:p>
    <w:p w:rsidR="00CF45E6" w:rsidRDefault="00CF45E6" w:rsidP="00CF45E6">
      <w:pPr>
        <w:rPr>
          <w:rFonts w:ascii="Helvetica" w:hAnsi="Helvetica" w:cs="Helvetica"/>
          <w:sz w:val="48"/>
          <w:szCs w:val="48"/>
        </w:rPr>
      </w:pPr>
      <w:r>
        <w:rPr>
          <w:rFonts w:ascii="Helvetica" w:hAnsi="Helvetica" w:cs="Helvetica"/>
          <w:sz w:val="48"/>
          <w:szCs w:val="48"/>
        </w:rPr>
        <w:lastRenderedPageBreak/>
        <w:t>Part B</w:t>
      </w:r>
    </w:p>
    <w:p w:rsidR="00CF45E6" w:rsidRPr="007B58CA" w:rsidRDefault="009D7877" w:rsidP="007B58CA">
      <w:pPr>
        <w:spacing w:line="360" w:lineRule="auto"/>
        <w:rPr>
          <w:rFonts w:ascii="Leelawadee" w:hAnsi="Leelawadee" w:cs="Leelawadee"/>
        </w:rPr>
      </w:pPr>
      <w:r>
        <w:rPr>
          <w:rFonts w:ascii="Leelawadee" w:hAnsi="Leelawadee" w:cs="Leelawadee"/>
        </w:rPr>
        <w:t>(</w:t>
      </w:r>
      <w:proofErr w:type="spellStart"/>
      <w:r>
        <w:rPr>
          <w:rFonts w:ascii="Leelawadee" w:hAnsi="Leelawadee" w:cs="Leelawadee"/>
        </w:rPr>
        <w:t>i</w:t>
      </w:r>
      <w:proofErr w:type="spellEnd"/>
      <w:r>
        <w:rPr>
          <w:rFonts w:ascii="Leelawadee" w:hAnsi="Leelawadee" w:cs="Leelawadee"/>
        </w:rPr>
        <w:t xml:space="preserve">) </w:t>
      </w:r>
      <w:r w:rsidR="00CF45E6" w:rsidRPr="007B58CA">
        <w:rPr>
          <w:rFonts w:ascii="Leelawadee" w:hAnsi="Leelawadee" w:cs="Leelawadee"/>
        </w:rPr>
        <w:t xml:space="preserve">Hardy-Weinberg equilibrium (HWE) is a term generally used to describe a population, whose genotype frequencies remain stable from one generation to another. The stability of the genotype frequencies is maintained so far there is no mutation, selection, migration, or non-random mating. In this model, the population is also assumed to be infinitely large. </w:t>
      </w:r>
    </w:p>
    <w:p w:rsidR="00CF45E6" w:rsidRPr="007B58CA" w:rsidRDefault="00CF45E6" w:rsidP="007B58CA">
      <w:pPr>
        <w:spacing w:line="360" w:lineRule="auto"/>
        <w:rPr>
          <w:rFonts w:ascii="Leelawadee" w:hAnsi="Leelawadee" w:cs="Leelawadee"/>
        </w:rPr>
      </w:pPr>
      <w:r w:rsidRPr="007B58CA">
        <w:rPr>
          <w:rFonts w:ascii="Leelawadee" w:hAnsi="Leelawadee" w:cs="Leelawadee"/>
        </w:rPr>
        <w:t>When a population is in HWE, the frequency of alleles present in the population can be used to determine the proportions of genotypes. This can be expressed mathematically.</w:t>
      </w:r>
    </w:p>
    <w:p w:rsidR="00CF45E6" w:rsidRPr="007B58CA" w:rsidRDefault="00CF45E6" w:rsidP="007B58CA">
      <w:pPr>
        <w:spacing w:line="360" w:lineRule="auto"/>
        <w:rPr>
          <w:rFonts w:ascii="Leelawadee" w:hAnsi="Leelawadee" w:cs="Leelawadee"/>
        </w:rPr>
      </w:pPr>
      <w:r w:rsidRPr="007B58CA">
        <w:rPr>
          <w:rFonts w:ascii="Leelawadee" w:hAnsi="Leelawadee" w:cs="Leelawadee"/>
        </w:rPr>
        <w:t>Let’s say we have a single nucleotide polymorphism with two alleles, A and B.</w:t>
      </w:r>
    </w:p>
    <w:p w:rsidR="00CF45E6" w:rsidRPr="007B58CA" w:rsidRDefault="00CF45E6" w:rsidP="007B58CA">
      <w:pPr>
        <w:spacing w:line="360" w:lineRule="auto"/>
        <w:rPr>
          <w:rFonts w:ascii="Leelawadee" w:hAnsi="Leelawadee" w:cs="Leelawadee"/>
        </w:rPr>
      </w:pPr>
      <w:r w:rsidRPr="007B58CA">
        <w:rPr>
          <w:rFonts w:ascii="Leelawadee" w:hAnsi="Leelawadee" w:cs="Leelawadee"/>
        </w:rPr>
        <w:t>If the frequency (or proportion) of A is p, then the frequency of B is 1-p.</w:t>
      </w:r>
    </w:p>
    <w:p w:rsidR="00CF45E6" w:rsidRPr="007B58CA" w:rsidRDefault="00CF45E6" w:rsidP="007B58CA">
      <w:pPr>
        <w:spacing w:line="360" w:lineRule="auto"/>
        <w:rPr>
          <w:rFonts w:ascii="Leelawadee" w:hAnsi="Leelawadee" w:cs="Leelawadee"/>
        </w:rPr>
      </w:pPr>
      <w:r w:rsidRPr="007B58CA">
        <w:rPr>
          <w:rFonts w:ascii="Leelawadee" w:hAnsi="Leelawadee" w:cs="Leelawadee"/>
        </w:rPr>
        <w:t>Note: 1-p is commonly denoted as q (which we would use from now on).</w:t>
      </w:r>
    </w:p>
    <w:p w:rsidR="00CF45E6" w:rsidRPr="007B58CA" w:rsidRDefault="00CF45E6" w:rsidP="007B58CA">
      <w:pPr>
        <w:spacing w:line="360" w:lineRule="auto"/>
        <w:rPr>
          <w:rFonts w:ascii="Leelawadee" w:hAnsi="Leelawadee" w:cs="Leelawadee"/>
        </w:rPr>
      </w:pPr>
    </w:p>
    <w:p w:rsidR="00CF45E6" w:rsidRPr="007B58CA" w:rsidRDefault="00CF45E6" w:rsidP="007B58CA">
      <w:pPr>
        <w:spacing w:line="360" w:lineRule="auto"/>
        <w:rPr>
          <w:rFonts w:ascii="Leelawadee" w:hAnsi="Leelawadee" w:cs="Leelawadee"/>
        </w:rPr>
      </w:pPr>
      <w:r w:rsidRPr="007B58CA">
        <w:rPr>
          <w:rFonts w:ascii="Leelawadee" w:hAnsi="Leelawadee" w:cs="Leelawadee"/>
        </w:rPr>
        <w:t>Given this representation, the frequency of homozygosity for A is p</w:t>
      </w:r>
      <w:r w:rsidRPr="007B58CA">
        <w:rPr>
          <w:rFonts w:ascii="Leelawadee" w:hAnsi="Leelawadee" w:cs="Leelawadee"/>
          <w:vertAlign w:val="superscript"/>
        </w:rPr>
        <w:t>2</w:t>
      </w:r>
      <w:r w:rsidRPr="007B58CA">
        <w:rPr>
          <w:rFonts w:ascii="Leelawadee" w:hAnsi="Leelawadee" w:cs="Leelawadee"/>
        </w:rPr>
        <w:t>, and for B is q</w:t>
      </w:r>
      <w:r w:rsidRPr="007B58CA">
        <w:rPr>
          <w:rFonts w:ascii="Leelawadee" w:hAnsi="Leelawadee" w:cs="Leelawadee"/>
          <w:vertAlign w:val="superscript"/>
        </w:rPr>
        <w:t>2</w:t>
      </w:r>
      <w:r w:rsidRPr="007B58CA">
        <w:rPr>
          <w:rFonts w:ascii="Leelawadee" w:hAnsi="Leelawadee" w:cs="Leelawadee"/>
        </w:rPr>
        <w:t>.</w:t>
      </w:r>
    </w:p>
    <w:p w:rsidR="00CF45E6" w:rsidRPr="007B58CA" w:rsidRDefault="00CF45E6" w:rsidP="007B58CA">
      <w:pPr>
        <w:spacing w:line="360" w:lineRule="auto"/>
        <w:rPr>
          <w:rFonts w:ascii="Leelawadee" w:hAnsi="Leelawadee" w:cs="Leelawadee"/>
        </w:rPr>
      </w:pPr>
      <w:r w:rsidRPr="007B58CA">
        <w:rPr>
          <w:rFonts w:ascii="Leelawadee" w:hAnsi="Leelawadee" w:cs="Leelawadee"/>
        </w:rPr>
        <w:t>The frequency of heterozygosity is 2pq, since the A and B can be combined in two different ways (</w:t>
      </w:r>
      <w:proofErr w:type="spellStart"/>
      <w:r w:rsidRPr="007B58CA">
        <w:rPr>
          <w:rFonts w:ascii="Leelawadee" w:hAnsi="Leelawadee" w:cs="Leelawadee"/>
        </w:rPr>
        <w:t>i.e</w:t>
      </w:r>
      <w:proofErr w:type="spellEnd"/>
      <w:r w:rsidRPr="007B58CA">
        <w:rPr>
          <w:rFonts w:ascii="Leelawadee" w:hAnsi="Leelawadee" w:cs="Leelawadee"/>
        </w:rPr>
        <w:t xml:space="preserve"> AB and BA). The genotype frequencies have to some up to 1. So we end up with the equation below:</w:t>
      </w:r>
    </w:p>
    <w:p w:rsidR="00CF45E6" w:rsidRPr="007B58CA" w:rsidRDefault="00CF45E6" w:rsidP="007B58CA">
      <w:pPr>
        <w:spacing w:line="360" w:lineRule="auto"/>
        <w:rPr>
          <w:rFonts w:ascii="Leelawadee" w:hAnsi="Leelawadee" w:cs="Leelawadee"/>
        </w:rPr>
      </w:pPr>
    </w:p>
    <w:p w:rsidR="00CF45E6" w:rsidRPr="007B58CA" w:rsidRDefault="00CF45E6" w:rsidP="007B58CA">
      <w:pPr>
        <w:spacing w:line="360" w:lineRule="auto"/>
        <w:rPr>
          <w:rFonts w:ascii="Leelawadee" w:hAnsi="Leelawadee" w:cs="Leelawadee"/>
        </w:rPr>
      </w:pPr>
      <w:r w:rsidRPr="007B58CA">
        <w:rPr>
          <w:rFonts w:ascii="Leelawadee" w:hAnsi="Leelawadee" w:cs="Leelawadee"/>
        </w:rPr>
        <w:tab/>
      </w:r>
      <w:r w:rsidRPr="007B58CA">
        <w:rPr>
          <w:rFonts w:ascii="Leelawadee" w:hAnsi="Leelawadee" w:cs="Leelawadee"/>
        </w:rPr>
        <w:tab/>
      </w:r>
      <w:r w:rsidRPr="007B58CA">
        <w:rPr>
          <w:rFonts w:ascii="Leelawadee" w:hAnsi="Leelawadee" w:cs="Leelawadee"/>
        </w:rPr>
        <w:tab/>
      </w:r>
      <w:r w:rsidRPr="007B58CA">
        <w:rPr>
          <w:rFonts w:ascii="Leelawadee" w:hAnsi="Leelawadee" w:cs="Leelawadee"/>
        </w:rPr>
        <w:tab/>
        <w:t>P</w:t>
      </w:r>
      <w:r w:rsidRPr="007B58CA">
        <w:rPr>
          <w:rFonts w:ascii="Leelawadee" w:hAnsi="Leelawadee" w:cs="Leelawadee"/>
          <w:vertAlign w:val="superscript"/>
        </w:rPr>
        <w:t>2</w:t>
      </w:r>
      <w:r w:rsidRPr="007B58CA">
        <w:rPr>
          <w:rFonts w:ascii="Leelawadee" w:hAnsi="Leelawadee" w:cs="Leelawadee"/>
        </w:rPr>
        <w:t xml:space="preserve"> + 2pq + q</w:t>
      </w:r>
      <w:r w:rsidRPr="007B58CA">
        <w:rPr>
          <w:rFonts w:ascii="Leelawadee" w:hAnsi="Leelawadee" w:cs="Leelawadee"/>
          <w:vertAlign w:val="superscript"/>
        </w:rPr>
        <w:t>2</w:t>
      </w:r>
      <w:r w:rsidRPr="007B58CA">
        <w:rPr>
          <w:rFonts w:ascii="Leelawadee" w:hAnsi="Leelawadee" w:cs="Leelawadee"/>
        </w:rPr>
        <w:t xml:space="preserve"> = 1 </w:t>
      </w:r>
    </w:p>
    <w:p w:rsidR="00CF45E6" w:rsidRPr="007B58CA" w:rsidRDefault="00CF45E6" w:rsidP="007B58CA">
      <w:pPr>
        <w:spacing w:line="360" w:lineRule="auto"/>
        <w:rPr>
          <w:rFonts w:ascii="Leelawadee" w:hAnsi="Leelawadee" w:cs="Leelawadee"/>
        </w:rPr>
      </w:pPr>
    </w:p>
    <w:p w:rsidR="00CF45E6" w:rsidRPr="007B58CA" w:rsidRDefault="00CF45E6" w:rsidP="007B58CA">
      <w:pPr>
        <w:spacing w:line="360" w:lineRule="auto"/>
        <w:rPr>
          <w:rFonts w:ascii="Leelawadee" w:hAnsi="Leelawadee" w:cs="Leelawadee"/>
        </w:rPr>
      </w:pPr>
      <w:r w:rsidRPr="007B58CA">
        <w:rPr>
          <w:rFonts w:ascii="Leelawadee" w:hAnsi="Leelawadee" w:cs="Leelawadee"/>
        </w:rPr>
        <w:t>We can use these mathematical expressions to help calculate whether genotypes at a SNP site are in HWE. We can use the allele frequencies observed in a sample population to calculate the genotype frequencies we would expect, if they were in HWE.</w:t>
      </w:r>
    </w:p>
    <w:p w:rsidR="00CF45E6" w:rsidRPr="007B58CA" w:rsidRDefault="00CF45E6" w:rsidP="007B58CA">
      <w:pPr>
        <w:spacing w:line="360" w:lineRule="auto"/>
        <w:rPr>
          <w:rFonts w:ascii="Leelawadee" w:hAnsi="Leelawadee" w:cs="Leelawadee"/>
        </w:rPr>
      </w:pPr>
    </w:p>
    <w:p w:rsidR="00CF45E6" w:rsidRPr="007B58CA" w:rsidRDefault="00CF45E6" w:rsidP="007B58CA">
      <w:pPr>
        <w:spacing w:line="360" w:lineRule="auto"/>
        <w:rPr>
          <w:rFonts w:ascii="Leelawadee" w:hAnsi="Leelawadee" w:cs="Leelawadee"/>
        </w:rPr>
      </w:pPr>
      <w:r w:rsidRPr="007B58CA">
        <w:rPr>
          <w:rFonts w:ascii="Leelawadee" w:hAnsi="Leelawadee" w:cs="Leelawadee"/>
        </w:rPr>
        <w:t xml:space="preserve">We can then use a chi-squared test to see if the genotype frequencies we have observed is in good agreement (good fit) with the one we calculated (the expected). </w:t>
      </w:r>
    </w:p>
    <w:p w:rsidR="00CF45E6" w:rsidRPr="007B58CA" w:rsidRDefault="00CF45E6" w:rsidP="007B58CA">
      <w:pPr>
        <w:spacing w:line="360" w:lineRule="auto"/>
        <w:rPr>
          <w:rFonts w:ascii="Leelawadee" w:hAnsi="Leelawadee" w:cs="Leelawadee"/>
        </w:rPr>
      </w:pPr>
      <w:r w:rsidRPr="007B58CA">
        <w:rPr>
          <w:rFonts w:ascii="Leelawadee" w:hAnsi="Leelawadee" w:cs="Leelawadee"/>
        </w:rPr>
        <w:t>Doing this, we would get a chi-squared statistic, which we can look up in the table of chi-squared values to get the estimated p value. If the p-value is less than 0.05, then there is a statically significant difference between the observed and expected genotype frequencies. The case is otherwise if the p-value is greater than 0.05.</w:t>
      </w:r>
    </w:p>
    <w:p w:rsidR="00CF45E6" w:rsidRPr="007B58CA" w:rsidRDefault="00CF45E6" w:rsidP="007B58CA">
      <w:pPr>
        <w:spacing w:line="360" w:lineRule="auto"/>
        <w:rPr>
          <w:rFonts w:ascii="Leelawadee" w:hAnsi="Leelawadee" w:cs="Leelawadee"/>
        </w:rPr>
      </w:pPr>
    </w:p>
    <w:p w:rsidR="00CF45E6" w:rsidRPr="007B58CA" w:rsidRDefault="00CF45E6" w:rsidP="007B58CA">
      <w:pPr>
        <w:spacing w:line="360" w:lineRule="auto"/>
        <w:rPr>
          <w:rFonts w:ascii="Leelawadee" w:hAnsi="Leelawadee" w:cs="Leelawadee"/>
        </w:rPr>
      </w:pPr>
      <w:r w:rsidRPr="007B58CA">
        <w:rPr>
          <w:rFonts w:ascii="Leelawadee" w:hAnsi="Leelawadee" w:cs="Leelawadee"/>
        </w:rPr>
        <w:t xml:space="preserve">The chi-squared test can be run computationally with R, using a R- package called ‘genetics’. This package has a function (called </w:t>
      </w:r>
      <w:proofErr w:type="spellStart"/>
      <w:r w:rsidRPr="007B58CA">
        <w:rPr>
          <w:rFonts w:ascii="Leelawadee" w:hAnsi="Leelawadee" w:cs="Leelawadee"/>
        </w:rPr>
        <w:t>HWE.chisq</w:t>
      </w:r>
      <w:proofErr w:type="spellEnd"/>
      <w:r w:rsidRPr="007B58CA">
        <w:rPr>
          <w:rFonts w:ascii="Leelawadee" w:hAnsi="Leelawadee" w:cs="Leelawadee"/>
        </w:rPr>
        <w:t>) that can perform a chi-squared test for genotypes of a particular SNP. This function returns the chi-squared value, as well as a simulated p-value (based on a thousand replicates).</w:t>
      </w:r>
    </w:p>
    <w:p w:rsidR="00CF45E6" w:rsidRPr="007B58CA" w:rsidRDefault="00CF45E6" w:rsidP="007B58CA">
      <w:pPr>
        <w:spacing w:line="360" w:lineRule="auto"/>
        <w:rPr>
          <w:rFonts w:ascii="Leelawadee" w:hAnsi="Leelawadee" w:cs="Leelawadee"/>
        </w:rPr>
      </w:pPr>
    </w:p>
    <w:p w:rsidR="00CF45E6" w:rsidRPr="007B58CA" w:rsidRDefault="00CF45E6" w:rsidP="007B58CA">
      <w:pPr>
        <w:spacing w:line="360" w:lineRule="auto"/>
        <w:rPr>
          <w:rFonts w:ascii="Leelawadee" w:hAnsi="Leelawadee" w:cs="Leelawadee"/>
        </w:rPr>
      </w:pPr>
      <w:r w:rsidRPr="007B58CA">
        <w:rPr>
          <w:rFonts w:ascii="Leelawadee" w:hAnsi="Leelawadee" w:cs="Leelawadee"/>
        </w:rPr>
        <w:t>To calculate whether genotypes at 100 different SNP loci are in HWE, we first need to create a file containing the information each SNP in separate columns. The first row of the columns would be the name of the SNP sites (which serves as the header), and the genotypes for each SNP will occupy the rows beneath.  An example is shown below</w:t>
      </w:r>
    </w:p>
    <w:p w:rsidR="00CF45E6" w:rsidRPr="007B58CA" w:rsidRDefault="00CF45E6" w:rsidP="007B58CA">
      <w:pPr>
        <w:spacing w:line="360" w:lineRule="auto"/>
        <w:rPr>
          <w:rFonts w:ascii="Leelawadee" w:hAnsi="Leelawadee" w:cs="Leelawadee"/>
        </w:rPr>
      </w:pPr>
    </w:p>
    <w:tbl>
      <w:tblPr>
        <w:tblStyle w:val="TableGrid"/>
        <w:tblW w:w="0" w:type="auto"/>
        <w:tblInd w:w="1980" w:type="dxa"/>
        <w:tblLook w:val="04A0" w:firstRow="1" w:lastRow="0" w:firstColumn="1" w:lastColumn="0" w:noHBand="0" w:noVBand="1"/>
      </w:tblPr>
      <w:tblGrid>
        <w:gridCol w:w="1025"/>
        <w:gridCol w:w="959"/>
        <w:gridCol w:w="851"/>
      </w:tblGrid>
      <w:tr w:rsidR="00CF45E6" w:rsidRPr="007B58CA" w:rsidTr="003C7497">
        <w:tc>
          <w:tcPr>
            <w:tcW w:w="1025" w:type="dxa"/>
          </w:tcPr>
          <w:p w:rsidR="00CF45E6" w:rsidRPr="007B58CA" w:rsidRDefault="00CF45E6" w:rsidP="007B58CA">
            <w:pPr>
              <w:spacing w:after="160" w:line="360" w:lineRule="auto"/>
              <w:rPr>
                <w:rFonts w:ascii="Leelawadee" w:hAnsi="Leelawadee" w:cs="Leelawadee"/>
              </w:rPr>
            </w:pPr>
            <w:r w:rsidRPr="007B58CA">
              <w:rPr>
                <w:rFonts w:ascii="Leelawadee" w:hAnsi="Leelawadee" w:cs="Leelawadee"/>
              </w:rPr>
              <w:t>Rs456</w:t>
            </w:r>
          </w:p>
        </w:tc>
        <w:tc>
          <w:tcPr>
            <w:tcW w:w="959" w:type="dxa"/>
          </w:tcPr>
          <w:p w:rsidR="00CF45E6" w:rsidRPr="007B58CA" w:rsidRDefault="00CF45E6" w:rsidP="007B58CA">
            <w:pPr>
              <w:spacing w:after="160" w:line="360" w:lineRule="auto"/>
              <w:rPr>
                <w:rFonts w:ascii="Leelawadee" w:hAnsi="Leelawadee" w:cs="Leelawadee"/>
              </w:rPr>
            </w:pPr>
            <w:r w:rsidRPr="007B58CA">
              <w:rPr>
                <w:rFonts w:ascii="Leelawadee" w:hAnsi="Leelawadee" w:cs="Leelawadee"/>
              </w:rPr>
              <w:t>Rs576</w:t>
            </w:r>
          </w:p>
        </w:tc>
        <w:tc>
          <w:tcPr>
            <w:tcW w:w="851" w:type="dxa"/>
          </w:tcPr>
          <w:p w:rsidR="00CF45E6" w:rsidRPr="007B58CA" w:rsidRDefault="00CF45E6" w:rsidP="007B58CA">
            <w:pPr>
              <w:spacing w:after="160" w:line="360" w:lineRule="auto"/>
              <w:rPr>
                <w:rFonts w:ascii="Leelawadee" w:hAnsi="Leelawadee" w:cs="Leelawadee"/>
              </w:rPr>
            </w:pPr>
            <w:r w:rsidRPr="007B58CA">
              <w:rPr>
                <w:rFonts w:ascii="Leelawadee" w:hAnsi="Leelawadee" w:cs="Leelawadee"/>
              </w:rPr>
              <w:t>Rs689</w:t>
            </w:r>
          </w:p>
        </w:tc>
      </w:tr>
      <w:tr w:rsidR="00CF45E6" w:rsidRPr="007B58CA" w:rsidTr="003C7497">
        <w:tc>
          <w:tcPr>
            <w:tcW w:w="1025" w:type="dxa"/>
          </w:tcPr>
          <w:p w:rsidR="00CF45E6" w:rsidRPr="007B58CA" w:rsidRDefault="00CF45E6" w:rsidP="007B58CA">
            <w:pPr>
              <w:spacing w:after="160" w:line="360" w:lineRule="auto"/>
              <w:rPr>
                <w:rFonts w:ascii="Leelawadee" w:hAnsi="Leelawadee" w:cs="Leelawadee"/>
              </w:rPr>
            </w:pPr>
            <w:r w:rsidRPr="007B58CA">
              <w:rPr>
                <w:rFonts w:ascii="Leelawadee" w:hAnsi="Leelawadee" w:cs="Leelawadee"/>
              </w:rPr>
              <w:t>aa</w:t>
            </w:r>
          </w:p>
        </w:tc>
        <w:tc>
          <w:tcPr>
            <w:tcW w:w="959" w:type="dxa"/>
          </w:tcPr>
          <w:p w:rsidR="00CF45E6" w:rsidRPr="007B58CA" w:rsidRDefault="00CF45E6" w:rsidP="007B58CA">
            <w:pPr>
              <w:spacing w:after="160" w:line="360" w:lineRule="auto"/>
              <w:rPr>
                <w:rFonts w:ascii="Leelawadee" w:hAnsi="Leelawadee" w:cs="Leelawadee"/>
              </w:rPr>
            </w:pPr>
            <w:r w:rsidRPr="007B58CA">
              <w:rPr>
                <w:rFonts w:ascii="Leelawadee" w:hAnsi="Leelawadee" w:cs="Leelawadee"/>
              </w:rPr>
              <w:t>cg</w:t>
            </w:r>
          </w:p>
        </w:tc>
        <w:tc>
          <w:tcPr>
            <w:tcW w:w="851" w:type="dxa"/>
          </w:tcPr>
          <w:p w:rsidR="00CF45E6" w:rsidRPr="007B58CA" w:rsidRDefault="00CF45E6" w:rsidP="007B58CA">
            <w:pPr>
              <w:spacing w:after="160" w:line="360" w:lineRule="auto"/>
              <w:rPr>
                <w:rFonts w:ascii="Leelawadee" w:hAnsi="Leelawadee" w:cs="Leelawadee"/>
              </w:rPr>
            </w:pPr>
            <w:proofErr w:type="spellStart"/>
            <w:r w:rsidRPr="007B58CA">
              <w:rPr>
                <w:rFonts w:ascii="Leelawadee" w:hAnsi="Leelawadee" w:cs="Leelawadee"/>
              </w:rPr>
              <w:t>tc</w:t>
            </w:r>
            <w:proofErr w:type="spellEnd"/>
          </w:p>
        </w:tc>
      </w:tr>
      <w:tr w:rsidR="00CF45E6" w:rsidRPr="007B58CA" w:rsidTr="003C7497">
        <w:tc>
          <w:tcPr>
            <w:tcW w:w="1025" w:type="dxa"/>
          </w:tcPr>
          <w:p w:rsidR="00CF45E6" w:rsidRPr="007B58CA" w:rsidRDefault="00CF45E6" w:rsidP="007B58CA">
            <w:pPr>
              <w:spacing w:after="160" w:line="360" w:lineRule="auto"/>
              <w:rPr>
                <w:rFonts w:ascii="Leelawadee" w:hAnsi="Leelawadee" w:cs="Leelawadee"/>
              </w:rPr>
            </w:pPr>
            <w:r w:rsidRPr="007B58CA">
              <w:rPr>
                <w:rFonts w:ascii="Leelawadee" w:hAnsi="Leelawadee" w:cs="Leelawadee"/>
              </w:rPr>
              <w:t>at</w:t>
            </w:r>
          </w:p>
        </w:tc>
        <w:tc>
          <w:tcPr>
            <w:tcW w:w="959" w:type="dxa"/>
          </w:tcPr>
          <w:p w:rsidR="00CF45E6" w:rsidRPr="007B58CA" w:rsidRDefault="00CF45E6" w:rsidP="007B58CA">
            <w:pPr>
              <w:spacing w:after="160" w:line="360" w:lineRule="auto"/>
              <w:rPr>
                <w:rFonts w:ascii="Leelawadee" w:hAnsi="Leelawadee" w:cs="Leelawadee"/>
              </w:rPr>
            </w:pPr>
            <w:r w:rsidRPr="007B58CA">
              <w:rPr>
                <w:rFonts w:ascii="Leelawadee" w:hAnsi="Leelawadee" w:cs="Leelawadee"/>
              </w:rPr>
              <w:t>cc</w:t>
            </w:r>
          </w:p>
        </w:tc>
        <w:tc>
          <w:tcPr>
            <w:tcW w:w="851" w:type="dxa"/>
          </w:tcPr>
          <w:p w:rsidR="00CF45E6" w:rsidRPr="007B58CA" w:rsidRDefault="00CF45E6" w:rsidP="007B58CA">
            <w:pPr>
              <w:spacing w:after="160" w:line="360" w:lineRule="auto"/>
              <w:rPr>
                <w:rFonts w:ascii="Leelawadee" w:hAnsi="Leelawadee" w:cs="Leelawadee"/>
              </w:rPr>
            </w:pPr>
            <w:r w:rsidRPr="007B58CA">
              <w:rPr>
                <w:rFonts w:ascii="Leelawadee" w:hAnsi="Leelawadee" w:cs="Leelawadee"/>
              </w:rPr>
              <w:t>cc</w:t>
            </w:r>
          </w:p>
        </w:tc>
      </w:tr>
    </w:tbl>
    <w:p w:rsidR="00CF45E6" w:rsidRPr="007B58CA" w:rsidRDefault="00CF45E6" w:rsidP="007B58CA">
      <w:pPr>
        <w:spacing w:line="360" w:lineRule="auto"/>
        <w:rPr>
          <w:rFonts w:ascii="Leelawadee" w:hAnsi="Leelawadee" w:cs="Leelawadee"/>
        </w:rPr>
      </w:pPr>
    </w:p>
    <w:p w:rsidR="00CF45E6" w:rsidRPr="007B58CA" w:rsidRDefault="00CF45E6" w:rsidP="007B58CA">
      <w:pPr>
        <w:spacing w:line="360" w:lineRule="auto"/>
        <w:rPr>
          <w:rFonts w:ascii="Leelawadee" w:hAnsi="Leelawadee" w:cs="Leelawadee"/>
        </w:rPr>
      </w:pPr>
      <w:r w:rsidRPr="007B58CA">
        <w:rPr>
          <w:rFonts w:ascii="Leelawadee" w:hAnsi="Leelawadee" w:cs="Leelawadee"/>
        </w:rPr>
        <w:t xml:space="preserve"> Figure x: Example of file containing information for 3 SNP sites.</w:t>
      </w:r>
    </w:p>
    <w:p w:rsidR="00CF45E6" w:rsidRPr="007B58CA" w:rsidRDefault="00CF45E6" w:rsidP="007B58CA">
      <w:pPr>
        <w:spacing w:line="360" w:lineRule="auto"/>
        <w:rPr>
          <w:rFonts w:ascii="Leelawadee" w:hAnsi="Leelawadee" w:cs="Leelawadee"/>
        </w:rPr>
      </w:pPr>
    </w:p>
    <w:p w:rsidR="00CF45E6" w:rsidRPr="007B58CA" w:rsidRDefault="00CF45E6" w:rsidP="007B58CA">
      <w:pPr>
        <w:spacing w:line="360" w:lineRule="auto"/>
        <w:rPr>
          <w:rFonts w:ascii="Leelawadee" w:hAnsi="Leelawadee" w:cs="Leelawadee"/>
        </w:rPr>
      </w:pPr>
      <w:r w:rsidRPr="007B58CA">
        <w:rPr>
          <w:rFonts w:ascii="Leelawadee" w:hAnsi="Leelawadee" w:cs="Leelawadee"/>
        </w:rPr>
        <w:t xml:space="preserve">This file will then be read into a variable in R, and attached to the search path. </w:t>
      </w:r>
    </w:p>
    <w:p w:rsidR="00CF45E6" w:rsidRPr="007B58CA" w:rsidRDefault="00CF45E6" w:rsidP="007B58CA">
      <w:pPr>
        <w:spacing w:line="360" w:lineRule="auto"/>
        <w:rPr>
          <w:rFonts w:ascii="Leelawadee" w:hAnsi="Leelawadee" w:cs="Leelawadee"/>
        </w:rPr>
      </w:pPr>
      <w:r w:rsidRPr="007B58CA">
        <w:rPr>
          <w:rFonts w:ascii="Leelawadee" w:hAnsi="Leelawadee" w:cs="Leelawadee"/>
        </w:rPr>
        <w:t xml:space="preserve">Assuming the variable is named </w:t>
      </w:r>
      <w:proofErr w:type="spellStart"/>
      <w:r w:rsidRPr="007B58CA">
        <w:rPr>
          <w:rFonts w:ascii="Leelawadee" w:hAnsi="Leelawadee" w:cs="Leelawadee"/>
        </w:rPr>
        <w:t>SNPdata</w:t>
      </w:r>
      <w:proofErr w:type="spellEnd"/>
      <w:r w:rsidRPr="007B58CA">
        <w:rPr>
          <w:rFonts w:ascii="Leelawadee" w:hAnsi="Leelawadee" w:cs="Leelawadee"/>
        </w:rPr>
        <w:t>, this is how the code for the above would look:</w:t>
      </w:r>
    </w:p>
    <w:p w:rsidR="003B73CB" w:rsidRDefault="003B73CB" w:rsidP="007B58CA">
      <w:pPr>
        <w:spacing w:line="360" w:lineRule="auto"/>
        <w:rPr>
          <w:rFonts w:ascii="Leelawadee" w:hAnsi="Leelawadee" w:cs="Leelawadee"/>
        </w:rPr>
      </w:pPr>
    </w:p>
    <w:p w:rsidR="00CF45E6" w:rsidRPr="007B58CA" w:rsidRDefault="00CF45E6" w:rsidP="007B58CA">
      <w:pPr>
        <w:spacing w:line="360" w:lineRule="auto"/>
        <w:rPr>
          <w:rFonts w:ascii="Courier New" w:hAnsi="Courier New" w:cs="Courier New"/>
        </w:rPr>
      </w:pPr>
      <w:proofErr w:type="spellStart"/>
      <w:r w:rsidRPr="007B58CA">
        <w:rPr>
          <w:rFonts w:ascii="Courier New" w:hAnsi="Courier New" w:cs="Courier New"/>
        </w:rPr>
        <w:t>SNPdata</w:t>
      </w:r>
      <w:proofErr w:type="spellEnd"/>
      <w:r w:rsidRPr="007B58CA">
        <w:rPr>
          <w:rFonts w:ascii="Courier New" w:hAnsi="Courier New" w:cs="Courier New"/>
        </w:rPr>
        <w:t xml:space="preserve"> &lt;-</w:t>
      </w:r>
      <w:proofErr w:type="spellStart"/>
      <w:proofErr w:type="gramStart"/>
      <w:r w:rsidRPr="007B58CA">
        <w:rPr>
          <w:rFonts w:ascii="Courier New" w:hAnsi="Courier New" w:cs="Courier New"/>
        </w:rPr>
        <w:t>read.table</w:t>
      </w:r>
      <w:proofErr w:type="spellEnd"/>
      <w:proofErr w:type="gramEnd"/>
      <w:r w:rsidRPr="007B58CA">
        <w:rPr>
          <w:rFonts w:ascii="Courier New" w:hAnsi="Courier New" w:cs="Courier New"/>
        </w:rPr>
        <w:t xml:space="preserve">("C:/Users/Paul/Documents/file.txt", header=T) </w:t>
      </w:r>
    </w:p>
    <w:p w:rsidR="00CF45E6" w:rsidRPr="007B58CA" w:rsidRDefault="00CF45E6" w:rsidP="007B58CA">
      <w:pPr>
        <w:spacing w:line="360" w:lineRule="auto"/>
        <w:rPr>
          <w:rFonts w:ascii="Courier New" w:hAnsi="Courier New" w:cs="Courier New"/>
        </w:rPr>
      </w:pPr>
      <w:r w:rsidRPr="007B58CA">
        <w:rPr>
          <w:rFonts w:ascii="Courier New" w:hAnsi="Courier New" w:cs="Courier New"/>
        </w:rPr>
        <w:t>attach(</w:t>
      </w:r>
      <w:proofErr w:type="spellStart"/>
      <w:r w:rsidRPr="007B58CA">
        <w:rPr>
          <w:rFonts w:ascii="Courier New" w:hAnsi="Courier New" w:cs="Courier New"/>
        </w:rPr>
        <w:t>SNPdata</w:t>
      </w:r>
      <w:proofErr w:type="spellEnd"/>
      <w:r w:rsidRPr="007B58CA">
        <w:rPr>
          <w:rFonts w:ascii="Courier New" w:hAnsi="Courier New" w:cs="Courier New"/>
        </w:rPr>
        <w:t>)</w:t>
      </w:r>
    </w:p>
    <w:p w:rsidR="009D7877" w:rsidRDefault="009D7877" w:rsidP="007B58CA">
      <w:pPr>
        <w:spacing w:line="360" w:lineRule="auto"/>
        <w:rPr>
          <w:rFonts w:ascii="Leelawadee" w:hAnsi="Leelawadee" w:cs="Leelawadee"/>
        </w:rPr>
      </w:pPr>
    </w:p>
    <w:p w:rsidR="00CF45E6" w:rsidRPr="007B58CA" w:rsidRDefault="00CF45E6" w:rsidP="007B58CA">
      <w:pPr>
        <w:spacing w:line="360" w:lineRule="auto"/>
        <w:rPr>
          <w:rFonts w:ascii="Leelawadee" w:hAnsi="Leelawadee" w:cs="Leelawadee"/>
        </w:rPr>
      </w:pPr>
      <w:r w:rsidRPr="007B58CA">
        <w:rPr>
          <w:rFonts w:ascii="Leelawadee" w:hAnsi="Leelawadee" w:cs="Leelawadee"/>
        </w:rPr>
        <w:t xml:space="preserve">We can then use the ‘genotype’ function of the genetics package to create an object that stores the allele and genotype frequencies of the SNP. We can then use the </w:t>
      </w:r>
      <w:proofErr w:type="spellStart"/>
      <w:r w:rsidRPr="007B58CA">
        <w:rPr>
          <w:rFonts w:ascii="Leelawadee" w:hAnsi="Leelawadee" w:cs="Leelawadee"/>
        </w:rPr>
        <w:t>HWE.chisq</w:t>
      </w:r>
      <w:proofErr w:type="spellEnd"/>
      <w:r w:rsidRPr="007B58CA">
        <w:rPr>
          <w:rFonts w:ascii="Leelawadee" w:hAnsi="Leelawadee" w:cs="Leelawadee"/>
        </w:rPr>
        <w:t xml:space="preserve"> function on the object. The code for these steps are written below:</w:t>
      </w:r>
    </w:p>
    <w:p w:rsidR="00CF45E6" w:rsidRPr="007B58CA" w:rsidRDefault="00CF45E6" w:rsidP="007B58CA">
      <w:pPr>
        <w:spacing w:line="360" w:lineRule="auto"/>
        <w:rPr>
          <w:rFonts w:ascii="Courier New" w:hAnsi="Courier New" w:cs="Courier New"/>
        </w:rPr>
      </w:pPr>
      <w:r w:rsidRPr="007B58CA">
        <w:rPr>
          <w:rFonts w:ascii="Courier New" w:hAnsi="Courier New" w:cs="Courier New"/>
        </w:rPr>
        <w:t xml:space="preserve">Object &lt;- </w:t>
      </w:r>
      <w:proofErr w:type="gramStart"/>
      <w:r w:rsidRPr="007B58CA">
        <w:rPr>
          <w:rFonts w:ascii="Courier New" w:hAnsi="Courier New" w:cs="Courier New"/>
        </w:rPr>
        <w:t>genotype(</w:t>
      </w:r>
      <w:proofErr w:type="spellStart"/>
      <w:proofErr w:type="gramEnd"/>
      <w:r w:rsidRPr="007B58CA">
        <w:rPr>
          <w:rFonts w:ascii="Courier New" w:hAnsi="Courier New" w:cs="Courier New"/>
        </w:rPr>
        <w:t>SNPname</w:t>
      </w:r>
      <w:proofErr w:type="spellEnd"/>
      <w:r w:rsidRPr="007B58CA">
        <w:rPr>
          <w:rFonts w:ascii="Courier New" w:hAnsi="Courier New" w:cs="Courier New"/>
        </w:rPr>
        <w:t xml:space="preserve">, </w:t>
      </w:r>
      <w:proofErr w:type="spellStart"/>
      <w:r w:rsidRPr="007B58CA">
        <w:rPr>
          <w:rFonts w:ascii="Courier New" w:hAnsi="Courier New" w:cs="Courier New"/>
        </w:rPr>
        <w:t>sep</w:t>
      </w:r>
      <w:proofErr w:type="spellEnd"/>
      <w:r w:rsidRPr="007B58CA">
        <w:rPr>
          <w:rFonts w:ascii="Courier New" w:hAnsi="Courier New" w:cs="Courier New"/>
        </w:rPr>
        <w:t>=””)</w:t>
      </w:r>
    </w:p>
    <w:p w:rsidR="00CF45E6" w:rsidRPr="007B58CA" w:rsidRDefault="00CF45E6" w:rsidP="007B58CA">
      <w:pPr>
        <w:spacing w:line="360" w:lineRule="auto"/>
        <w:rPr>
          <w:rFonts w:ascii="Courier New" w:hAnsi="Courier New" w:cs="Courier New"/>
        </w:rPr>
      </w:pPr>
      <w:proofErr w:type="spellStart"/>
      <w:r w:rsidRPr="007B58CA">
        <w:rPr>
          <w:rFonts w:ascii="Courier New" w:hAnsi="Courier New" w:cs="Courier New"/>
        </w:rPr>
        <w:t>HWE.chisq</w:t>
      </w:r>
      <w:proofErr w:type="spellEnd"/>
      <w:r w:rsidRPr="007B58CA">
        <w:rPr>
          <w:rFonts w:ascii="Courier New" w:hAnsi="Courier New" w:cs="Courier New"/>
        </w:rPr>
        <w:t>(Object)</w:t>
      </w:r>
    </w:p>
    <w:p w:rsidR="00CF45E6" w:rsidRPr="007B58CA" w:rsidRDefault="00CF45E6" w:rsidP="007B58CA">
      <w:pPr>
        <w:spacing w:line="360" w:lineRule="auto"/>
        <w:rPr>
          <w:rFonts w:ascii="Leelawadee" w:hAnsi="Leelawadee" w:cs="Leelawadee"/>
        </w:rPr>
      </w:pPr>
    </w:p>
    <w:p w:rsidR="00CF45E6" w:rsidRPr="007B58CA" w:rsidRDefault="00CF45E6" w:rsidP="007B58CA">
      <w:pPr>
        <w:spacing w:line="360" w:lineRule="auto"/>
        <w:rPr>
          <w:rFonts w:ascii="Leelawadee" w:hAnsi="Leelawadee" w:cs="Leelawadee"/>
        </w:rPr>
      </w:pPr>
      <w:r w:rsidRPr="007B58CA">
        <w:rPr>
          <w:rFonts w:ascii="Leelawadee" w:hAnsi="Leelawadee" w:cs="Leelawadee"/>
        </w:rPr>
        <w:t>We can re-iterate this task with the different SNP names using a loop.</w:t>
      </w:r>
    </w:p>
    <w:p w:rsidR="00CF45E6" w:rsidRPr="00CF45E6" w:rsidRDefault="00CF45E6" w:rsidP="00CF45E6">
      <w:pPr>
        <w:rPr>
          <w:rFonts w:ascii="Helvetica" w:hAnsi="Helvetica" w:cs="Helvetica"/>
          <w:sz w:val="48"/>
          <w:szCs w:val="48"/>
        </w:rPr>
      </w:pPr>
    </w:p>
    <w:p w:rsidR="000154B8" w:rsidRDefault="00E41FD9" w:rsidP="00007ABE">
      <w:pPr>
        <w:spacing w:line="360" w:lineRule="auto"/>
        <w:rPr>
          <w:rFonts w:ascii="Leelawadee" w:hAnsi="Leelawadee" w:cs="Leelawadee"/>
        </w:rPr>
      </w:pPr>
      <w:r>
        <w:rPr>
          <w:rFonts w:ascii="Leelawadee" w:hAnsi="Leelawadee" w:cs="Leelawadee"/>
        </w:rPr>
        <w:t xml:space="preserve">(ii) </w:t>
      </w:r>
      <w:r w:rsidR="009D7877">
        <w:rPr>
          <w:rFonts w:ascii="Leelawadee" w:hAnsi="Leelawadee" w:cs="Leelawadee"/>
        </w:rPr>
        <w:t xml:space="preserve">Linkage </w:t>
      </w:r>
      <w:r>
        <w:rPr>
          <w:rFonts w:ascii="Leelawadee" w:hAnsi="Leelawadee" w:cs="Leelawadee"/>
        </w:rPr>
        <w:t>disequilibrium</w:t>
      </w:r>
      <w:r w:rsidRPr="009D7877">
        <w:rPr>
          <w:rFonts w:ascii="Arial" w:hAnsi="Arial" w:cs="Arial"/>
          <w:color w:val="222222"/>
          <w:sz w:val="21"/>
          <w:szCs w:val="21"/>
          <w:shd w:val="clear" w:color="auto" w:fill="FFFFFF"/>
        </w:rPr>
        <w:t xml:space="preserve"> </w:t>
      </w:r>
      <w:r w:rsidRPr="009D7877">
        <w:rPr>
          <w:rFonts w:ascii="Leelawadee" w:hAnsi="Leelawadee" w:cs="Leelawadee"/>
        </w:rPr>
        <w:t>is</w:t>
      </w:r>
      <w:r>
        <w:rPr>
          <w:rFonts w:ascii="Leelawadee" w:hAnsi="Leelawadee" w:cs="Leelawadee"/>
        </w:rPr>
        <w:t xml:space="preserve"> the term used describe alleles at different loci that </w:t>
      </w:r>
      <w:r w:rsidR="00705105">
        <w:rPr>
          <w:rFonts w:ascii="Leelawadee" w:hAnsi="Leelawadee" w:cs="Leelawadee"/>
        </w:rPr>
        <w:t>exhibit</w:t>
      </w:r>
      <w:r>
        <w:rPr>
          <w:rFonts w:ascii="Leelawadee" w:hAnsi="Leelawadee" w:cs="Leelawadee"/>
        </w:rPr>
        <w:t xml:space="preserve"> a non-random association. The</w:t>
      </w:r>
      <w:r w:rsidR="000154B8">
        <w:rPr>
          <w:rFonts w:ascii="Leelawadee" w:hAnsi="Leelawadee" w:cs="Leelawadee"/>
        </w:rPr>
        <w:t>y</w:t>
      </w:r>
      <w:r>
        <w:rPr>
          <w:rFonts w:ascii="Leelawadee" w:hAnsi="Leelawadee" w:cs="Leelawadee"/>
        </w:rPr>
        <w:t xml:space="preserve"> are in </w:t>
      </w:r>
      <w:r w:rsidR="000154B8">
        <w:rPr>
          <w:rFonts w:ascii="Leelawadee" w:hAnsi="Leelawadee" w:cs="Leelawadee"/>
        </w:rPr>
        <w:t>disequilibrium</w:t>
      </w:r>
      <w:r>
        <w:rPr>
          <w:rFonts w:ascii="Leelawadee" w:hAnsi="Leelawadee" w:cs="Leelawadee"/>
        </w:rPr>
        <w:t xml:space="preserve"> if their </w:t>
      </w:r>
      <w:r w:rsidR="000154B8">
        <w:rPr>
          <w:rFonts w:ascii="Leelawadee" w:hAnsi="Leelawadee" w:cs="Leelawadee"/>
        </w:rPr>
        <w:t xml:space="preserve">frequency of association is higher (positive LD) or lower (negative LD) than expected. </w:t>
      </w:r>
    </w:p>
    <w:p w:rsidR="000154B8" w:rsidRDefault="000154B8" w:rsidP="00007ABE">
      <w:pPr>
        <w:spacing w:line="360" w:lineRule="auto"/>
        <w:rPr>
          <w:rFonts w:ascii="Leelawadee" w:hAnsi="Leelawadee" w:cs="Leelawadee"/>
        </w:rPr>
      </w:pPr>
      <w:r>
        <w:rPr>
          <w:rFonts w:ascii="Leelawadee" w:hAnsi="Leelawadee" w:cs="Leelawadee"/>
        </w:rPr>
        <w:t>LD is used in association studies for narrowing down the number of significant hits in attempt to find the causal variant.</w:t>
      </w:r>
    </w:p>
    <w:p w:rsidR="000154B8" w:rsidRDefault="000154B8" w:rsidP="00007ABE">
      <w:pPr>
        <w:spacing w:line="360" w:lineRule="auto"/>
        <w:rPr>
          <w:rFonts w:ascii="Leelawadee" w:hAnsi="Leelawadee" w:cs="Leelawadee"/>
        </w:rPr>
      </w:pPr>
      <w:r>
        <w:rPr>
          <w:rFonts w:ascii="Leelawadee" w:hAnsi="Leelawadee" w:cs="Leelawadee"/>
        </w:rPr>
        <w:t>It can be measured by the correlation coefficient of LD (D’), or R</w:t>
      </w:r>
      <w:r>
        <w:rPr>
          <w:rFonts w:ascii="Leelawadee" w:hAnsi="Leelawadee" w:cs="Leelawadee"/>
          <w:vertAlign w:val="superscript"/>
        </w:rPr>
        <w:t>2</w:t>
      </w:r>
      <w:r>
        <w:rPr>
          <w:rFonts w:ascii="Leelawadee" w:hAnsi="Leelawadee" w:cs="Leelawadee"/>
        </w:rPr>
        <w:t>.</w:t>
      </w:r>
    </w:p>
    <w:p w:rsidR="000154B8" w:rsidRDefault="000154B8" w:rsidP="000154B8">
      <w:pPr>
        <w:rPr>
          <w:rFonts w:ascii="Leelawadee" w:hAnsi="Leelawadee" w:cs="Leelawadee"/>
        </w:rPr>
      </w:pPr>
    </w:p>
    <w:p w:rsidR="0037281D" w:rsidRDefault="000154B8" w:rsidP="0037281D">
      <w:pPr>
        <w:spacing w:line="360" w:lineRule="auto"/>
        <w:rPr>
          <w:rFonts w:ascii="Leelawadee" w:hAnsi="Leelawadee" w:cs="Leelawadee"/>
        </w:rPr>
      </w:pPr>
      <w:r>
        <w:rPr>
          <w:rFonts w:ascii="Leelawadee" w:hAnsi="Leelawadee" w:cs="Leelawadee"/>
        </w:rPr>
        <w:t>T</w:t>
      </w:r>
      <w:r w:rsidR="00B34A2C">
        <w:rPr>
          <w:rFonts w:ascii="Leelawadee" w:hAnsi="Leelawadee" w:cs="Leelawadee"/>
        </w:rPr>
        <w:t>o calculate LD for the 100 SNPs,</w:t>
      </w:r>
      <w:r w:rsidR="0037281D">
        <w:rPr>
          <w:rFonts w:ascii="Leelawadee" w:hAnsi="Leelawadee" w:cs="Leelawadee"/>
        </w:rPr>
        <w:t xml:space="preserve"> you can use the R statistical software. The first step would be to create data frame of genotype objects. Genotype objects are created using he </w:t>
      </w:r>
      <w:proofErr w:type="gramStart"/>
      <w:r w:rsidR="0037281D">
        <w:rPr>
          <w:rFonts w:ascii="Leelawadee" w:hAnsi="Leelawadee" w:cs="Leelawadee"/>
        </w:rPr>
        <w:t>genotype(</w:t>
      </w:r>
      <w:proofErr w:type="gramEnd"/>
      <w:r w:rsidR="0037281D">
        <w:rPr>
          <w:rFonts w:ascii="Leelawadee" w:hAnsi="Leelawadee" w:cs="Leelawadee"/>
        </w:rPr>
        <w:t>) function of the genetics R-package. The genotype function will convert the column of a SNPs information to a new column where the genotypes of that particular SNP have been formatted. An example of the command is shown below</w:t>
      </w:r>
    </w:p>
    <w:p w:rsidR="0037281D" w:rsidRPr="00007ABE" w:rsidRDefault="0037281D" w:rsidP="00007ABE">
      <w:pPr>
        <w:spacing w:after="0" w:line="360" w:lineRule="auto"/>
        <w:rPr>
          <w:rFonts w:ascii="Courier New" w:hAnsi="Courier New" w:cs="Courier New"/>
        </w:rPr>
      </w:pPr>
      <w:proofErr w:type="spellStart"/>
      <w:r w:rsidRPr="00007ABE">
        <w:rPr>
          <w:rFonts w:ascii="Courier New" w:hAnsi="Courier New" w:cs="Courier New"/>
        </w:rPr>
        <w:t>Install.packages</w:t>
      </w:r>
      <w:proofErr w:type="spellEnd"/>
      <w:r w:rsidRPr="00007ABE">
        <w:rPr>
          <w:rFonts w:ascii="Courier New" w:hAnsi="Courier New" w:cs="Courier New"/>
        </w:rPr>
        <w:t>(“genetics”)</w:t>
      </w:r>
    </w:p>
    <w:p w:rsidR="0037281D" w:rsidRPr="00007ABE" w:rsidRDefault="0037281D" w:rsidP="00007ABE">
      <w:pPr>
        <w:spacing w:after="0" w:line="360" w:lineRule="auto"/>
        <w:rPr>
          <w:rFonts w:ascii="Courier New" w:hAnsi="Courier New" w:cs="Courier New"/>
        </w:rPr>
      </w:pPr>
      <w:r w:rsidRPr="00007ABE">
        <w:rPr>
          <w:rFonts w:ascii="Courier New" w:hAnsi="Courier New" w:cs="Courier New"/>
        </w:rPr>
        <w:t>Library(genetics)</w:t>
      </w:r>
    </w:p>
    <w:p w:rsidR="0037281D" w:rsidRDefault="0037281D" w:rsidP="00007ABE">
      <w:pPr>
        <w:spacing w:after="0" w:line="360" w:lineRule="auto"/>
        <w:rPr>
          <w:rFonts w:ascii="Courier New" w:hAnsi="Courier New" w:cs="Courier New"/>
        </w:rPr>
      </w:pPr>
      <w:r w:rsidRPr="00007ABE">
        <w:rPr>
          <w:rFonts w:ascii="Courier New" w:hAnsi="Courier New" w:cs="Courier New"/>
        </w:rPr>
        <w:t>rs3457geno &lt;-</w:t>
      </w:r>
      <w:r w:rsidR="00007ABE" w:rsidRPr="00007ABE">
        <w:rPr>
          <w:rFonts w:ascii="Courier New" w:hAnsi="Courier New" w:cs="Courier New"/>
        </w:rPr>
        <w:t xml:space="preserve"> genotype (rs3457, </w:t>
      </w:r>
      <w:proofErr w:type="spellStart"/>
      <w:r w:rsidR="00007ABE" w:rsidRPr="00007ABE">
        <w:rPr>
          <w:rFonts w:ascii="Courier New" w:hAnsi="Courier New" w:cs="Courier New"/>
        </w:rPr>
        <w:t>sep</w:t>
      </w:r>
      <w:proofErr w:type="spellEnd"/>
      <w:r w:rsidR="00007ABE" w:rsidRPr="00007ABE">
        <w:rPr>
          <w:rFonts w:ascii="Courier New" w:hAnsi="Courier New" w:cs="Courier New"/>
        </w:rPr>
        <w:t>=””)</w:t>
      </w:r>
    </w:p>
    <w:p w:rsidR="00007ABE" w:rsidRDefault="00007ABE" w:rsidP="00007ABE">
      <w:pPr>
        <w:spacing w:after="0" w:line="360" w:lineRule="auto"/>
        <w:rPr>
          <w:rFonts w:ascii="Leelawadee" w:hAnsi="Leelawadee" w:cs="Leelawadee"/>
        </w:rPr>
      </w:pPr>
    </w:p>
    <w:p w:rsidR="00007ABE" w:rsidRDefault="00007ABE" w:rsidP="00007ABE">
      <w:pPr>
        <w:spacing w:after="0" w:line="360" w:lineRule="auto"/>
        <w:rPr>
          <w:rFonts w:ascii="Leelawadee" w:hAnsi="Leelawadee" w:cs="Leelawadee"/>
        </w:rPr>
      </w:pPr>
      <w:r>
        <w:rPr>
          <w:rFonts w:ascii="Leelawadee" w:hAnsi="Leelawadee" w:cs="Leelawadee"/>
        </w:rPr>
        <w:t xml:space="preserve">This data frame can then be used by the </w:t>
      </w:r>
      <w:proofErr w:type="spellStart"/>
      <w:proofErr w:type="gramStart"/>
      <w:r>
        <w:rPr>
          <w:rFonts w:ascii="Leelawadee" w:hAnsi="Leelawadee" w:cs="Leelawadee"/>
        </w:rPr>
        <w:t>LDheatmap</w:t>
      </w:r>
      <w:proofErr w:type="spellEnd"/>
      <w:r>
        <w:rPr>
          <w:rFonts w:ascii="Leelawadee" w:hAnsi="Leelawadee" w:cs="Leelawadee"/>
        </w:rPr>
        <w:t>(</w:t>
      </w:r>
      <w:proofErr w:type="gramEnd"/>
      <w:r>
        <w:rPr>
          <w:rFonts w:ascii="Leelawadee" w:hAnsi="Leelawadee" w:cs="Leelawadee"/>
        </w:rPr>
        <w:t xml:space="preserve">) function of the </w:t>
      </w:r>
      <w:proofErr w:type="spellStart"/>
      <w:r>
        <w:rPr>
          <w:rFonts w:ascii="Leelawadee" w:hAnsi="Leelawadee" w:cs="Leelawadee"/>
        </w:rPr>
        <w:t>LDheatmap</w:t>
      </w:r>
      <w:proofErr w:type="spellEnd"/>
      <w:r>
        <w:rPr>
          <w:rFonts w:ascii="Leelawadee" w:hAnsi="Leelawadee" w:cs="Leelawadee"/>
        </w:rPr>
        <w:t xml:space="preserve"> R-package, to construct an LD </w:t>
      </w:r>
      <w:proofErr w:type="spellStart"/>
      <w:r>
        <w:rPr>
          <w:rFonts w:ascii="Leelawadee" w:hAnsi="Leelawadee" w:cs="Leelawadee"/>
        </w:rPr>
        <w:t>heatmap</w:t>
      </w:r>
      <w:proofErr w:type="spellEnd"/>
      <w:r>
        <w:rPr>
          <w:rFonts w:ascii="Leelawadee" w:hAnsi="Leelawadee" w:cs="Leelawadee"/>
        </w:rPr>
        <w:t>. You can modify the measurement type to a D’ or R</w:t>
      </w:r>
      <w:r>
        <w:rPr>
          <w:rFonts w:ascii="Leelawadee" w:hAnsi="Leelawadee" w:cs="Leelawadee"/>
          <w:vertAlign w:val="superscript"/>
        </w:rPr>
        <w:t>2</w:t>
      </w:r>
      <w:r>
        <w:rPr>
          <w:rFonts w:ascii="Leelawadee" w:hAnsi="Leelawadee" w:cs="Leelawadee"/>
        </w:rPr>
        <w:t xml:space="preserve"> using the </w:t>
      </w:r>
      <w:proofErr w:type="spellStart"/>
      <w:r>
        <w:rPr>
          <w:rFonts w:ascii="Leelawadee" w:hAnsi="Leelawadee" w:cs="Leelawadee"/>
        </w:rPr>
        <w:t>LDmeasure</w:t>
      </w:r>
      <w:proofErr w:type="spellEnd"/>
      <w:r>
        <w:rPr>
          <w:rFonts w:ascii="Leelawadee" w:hAnsi="Leelawadee" w:cs="Leelawadee"/>
        </w:rPr>
        <w:t xml:space="preserve"> modifier. You can label the map using the SNP.name modifier to identify which part of your data frame holds the information of the names of the SNPs, and the text = TRUE modifier for those names to be displayed. For example:</w:t>
      </w:r>
    </w:p>
    <w:p w:rsidR="00007ABE" w:rsidRDefault="00007ABE" w:rsidP="00007ABE">
      <w:pPr>
        <w:spacing w:after="0" w:line="360" w:lineRule="auto"/>
        <w:rPr>
          <w:rFonts w:ascii="Leelawadee" w:hAnsi="Leelawadee" w:cs="Leelawadee"/>
        </w:rPr>
      </w:pPr>
    </w:p>
    <w:p w:rsidR="00007ABE" w:rsidRPr="00007ABE" w:rsidRDefault="00007ABE" w:rsidP="00007ABE">
      <w:pPr>
        <w:spacing w:after="0" w:line="360" w:lineRule="auto"/>
        <w:rPr>
          <w:rFonts w:ascii="Courier New" w:hAnsi="Courier New" w:cs="Courier New"/>
        </w:rPr>
      </w:pPr>
      <w:proofErr w:type="spellStart"/>
      <w:proofErr w:type="gramStart"/>
      <w:r w:rsidRPr="00007ABE">
        <w:rPr>
          <w:rFonts w:ascii="Courier New" w:hAnsi="Courier New" w:cs="Courier New"/>
        </w:rPr>
        <w:t>LDheatmap</w:t>
      </w:r>
      <w:proofErr w:type="spellEnd"/>
      <w:r w:rsidRPr="00007ABE">
        <w:rPr>
          <w:rFonts w:ascii="Courier New" w:hAnsi="Courier New" w:cs="Courier New"/>
        </w:rPr>
        <w:t>(</w:t>
      </w:r>
      <w:proofErr w:type="spellStart"/>
      <w:proofErr w:type="gramEnd"/>
      <w:r w:rsidRPr="00007ABE">
        <w:rPr>
          <w:rFonts w:ascii="Courier New" w:hAnsi="Courier New" w:cs="Courier New"/>
        </w:rPr>
        <w:t>frameOfgenotypes</w:t>
      </w:r>
      <w:proofErr w:type="spellEnd"/>
      <w:r w:rsidRPr="00007ABE">
        <w:rPr>
          <w:rFonts w:ascii="Courier New" w:hAnsi="Courier New" w:cs="Courier New"/>
        </w:rPr>
        <w:t xml:space="preserve">, </w:t>
      </w:r>
      <w:proofErr w:type="spellStart"/>
      <w:r w:rsidRPr="00007ABE">
        <w:rPr>
          <w:rFonts w:ascii="Courier New" w:hAnsi="Courier New" w:cs="Courier New"/>
        </w:rPr>
        <w:t>LDmeasure</w:t>
      </w:r>
      <w:proofErr w:type="spellEnd"/>
      <w:r w:rsidRPr="00007ABE">
        <w:rPr>
          <w:rFonts w:ascii="Courier New" w:hAnsi="Courier New" w:cs="Courier New"/>
        </w:rPr>
        <w:t xml:space="preserve"> = “r”, SNP.name = </w:t>
      </w:r>
      <w:proofErr w:type="spellStart"/>
      <w:r w:rsidRPr="00007ABE">
        <w:rPr>
          <w:rFonts w:ascii="Courier New" w:hAnsi="Courier New" w:cs="Courier New"/>
        </w:rPr>
        <w:t>colnames</w:t>
      </w:r>
      <w:proofErr w:type="spellEnd"/>
      <w:r w:rsidRPr="00007ABE">
        <w:rPr>
          <w:rFonts w:ascii="Courier New" w:hAnsi="Courier New" w:cs="Courier New"/>
        </w:rPr>
        <w:t>(</w:t>
      </w:r>
      <w:proofErr w:type="spellStart"/>
      <w:r w:rsidRPr="00007ABE">
        <w:rPr>
          <w:rFonts w:ascii="Courier New" w:hAnsi="Courier New" w:cs="Courier New"/>
        </w:rPr>
        <w:t>frameOfgenotypes</w:t>
      </w:r>
      <w:proofErr w:type="spellEnd"/>
      <w:r w:rsidRPr="00007ABE">
        <w:rPr>
          <w:rFonts w:ascii="Courier New" w:hAnsi="Courier New" w:cs="Courier New"/>
        </w:rPr>
        <w:t>), text = TRUE)</w:t>
      </w:r>
    </w:p>
    <w:p w:rsidR="00007ABE" w:rsidRPr="00007ABE" w:rsidRDefault="00007ABE" w:rsidP="00007ABE">
      <w:pPr>
        <w:spacing w:after="0" w:line="360" w:lineRule="auto"/>
        <w:rPr>
          <w:rFonts w:ascii="Leelawadee" w:hAnsi="Leelawadee" w:cs="Leelawadee"/>
        </w:rPr>
      </w:pPr>
    </w:p>
    <w:p w:rsidR="000154B8" w:rsidRPr="00901F1B" w:rsidRDefault="00B34A2C" w:rsidP="00007ABE">
      <w:pPr>
        <w:spacing w:line="360" w:lineRule="auto"/>
        <w:rPr>
          <w:rFonts w:ascii="Leelawadee" w:hAnsi="Leelawadee" w:cs="Leelawadee"/>
        </w:rPr>
      </w:pPr>
      <w:r>
        <w:rPr>
          <w:rFonts w:ascii="Leelawadee" w:hAnsi="Leelawadee" w:cs="Leelawadee"/>
        </w:rPr>
        <w:t xml:space="preserve"> </w:t>
      </w:r>
      <w:r w:rsidR="00007ABE">
        <w:rPr>
          <w:rFonts w:ascii="Leelawadee" w:hAnsi="Leelawadee" w:cs="Leelawadee"/>
        </w:rPr>
        <w:t xml:space="preserve">The LD </w:t>
      </w:r>
      <w:proofErr w:type="spellStart"/>
      <w:r w:rsidR="00007ABE">
        <w:rPr>
          <w:rFonts w:ascii="Leelawadee" w:hAnsi="Leelawadee" w:cs="Leelawadee"/>
        </w:rPr>
        <w:t>heatmap</w:t>
      </w:r>
      <w:proofErr w:type="spellEnd"/>
      <w:r w:rsidR="00007ABE">
        <w:rPr>
          <w:rFonts w:ascii="Leelawadee" w:hAnsi="Leelawadee" w:cs="Leelawadee"/>
        </w:rPr>
        <w:t xml:space="preserve"> would show you all the LD scores of each SNP.</w:t>
      </w:r>
    </w:p>
    <w:p w:rsidR="003B73CB" w:rsidRDefault="003B73CB" w:rsidP="000C01C6">
      <w:pPr>
        <w:rPr>
          <w:rFonts w:ascii="Leelawadee" w:hAnsi="Leelawadee" w:cs="Leelawadee"/>
        </w:rPr>
      </w:pPr>
    </w:p>
    <w:p w:rsidR="003B73CB" w:rsidRDefault="003B73CB" w:rsidP="000C01C6">
      <w:pPr>
        <w:rPr>
          <w:rFonts w:ascii="Leelawadee" w:hAnsi="Leelawadee" w:cs="Leelawadee"/>
        </w:rPr>
      </w:pPr>
    </w:p>
    <w:p w:rsidR="003B73CB" w:rsidRDefault="005129A5" w:rsidP="00A532D0">
      <w:pPr>
        <w:rPr>
          <w:rFonts w:ascii="Leelawadee" w:hAnsi="Leelawadee" w:cs="Leelawadee"/>
        </w:rPr>
      </w:pPr>
      <w:r>
        <w:rPr>
          <w:rFonts w:ascii="Leelawadee" w:hAnsi="Leelawadee" w:cs="Leelawadee"/>
        </w:rPr>
        <w:lastRenderedPageBreak/>
        <w:t xml:space="preserve">(iii) </w:t>
      </w:r>
      <w:r w:rsidR="003B73CB">
        <w:rPr>
          <w:rFonts w:ascii="Leelawadee" w:hAnsi="Leelawadee" w:cs="Leelawadee"/>
        </w:rPr>
        <w:t>Tag SNPs are SNPs that are used as a proxy for surrounding SNPs, as they sit in a region of the genome with high LD. We</w:t>
      </w:r>
      <w:r w:rsidR="00502892">
        <w:rPr>
          <w:rFonts w:ascii="Leelawadee" w:hAnsi="Leelawadee" w:cs="Leelawadee"/>
        </w:rPr>
        <w:t xml:space="preserve"> will</w:t>
      </w:r>
      <w:r w:rsidR="0085708F">
        <w:rPr>
          <w:rFonts w:ascii="Leelawadee" w:hAnsi="Leelawadee" w:cs="Leelawadee"/>
        </w:rPr>
        <w:t xml:space="preserve"> be assessing 9</w:t>
      </w:r>
      <w:r w:rsidR="003B73CB">
        <w:rPr>
          <w:rFonts w:ascii="Leelawadee" w:hAnsi="Leelawadee" w:cs="Leelawadee"/>
        </w:rPr>
        <w:t xml:space="preserve"> tag SNPs</w:t>
      </w:r>
      <w:r w:rsidR="0085708F">
        <w:rPr>
          <w:rFonts w:ascii="Leelawadee" w:hAnsi="Leelawadee" w:cs="Leelawadee"/>
        </w:rPr>
        <w:t xml:space="preserve"> (located on chromosome 1)</w:t>
      </w:r>
      <w:r w:rsidR="003B73CB">
        <w:rPr>
          <w:rFonts w:ascii="Leelawadee" w:hAnsi="Leelawadee" w:cs="Leelawadee"/>
        </w:rPr>
        <w:t xml:space="preserve"> for association with a dichotomous phenotype using the PLINK software</w:t>
      </w:r>
      <w:r w:rsidR="0085708F">
        <w:rPr>
          <w:rFonts w:ascii="Leelawadee" w:hAnsi="Leelawadee" w:cs="Leelawadee"/>
        </w:rPr>
        <w:t xml:space="preserve"> on a UNIX operating system. T</w:t>
      </w:r>
      <w:r w:rsidR="00502892">
        <w:rPr>
          <w:rFonts w:ascii="Leelawadee" w:hAnsi="Leelawadee" w:cs="Leelawadee"/>
        </w:rPr>
        <w:t>he statistical test run by PLINK for this an</w:t>
      </w:r>
      <w:r w:rsidR="0085708F">
        <w:rPr>
          <w:rFonts w:ascii="Leelawadee" w:hAnsi="Leelawadee" w:cs="Leelawadee"/>
        </w:rPr>
        <w:t>alysis is a logistic regression under the additive model.</w:t>
      </w:r>
    </w:p>
    <w:p w:rsidR="0085708F" w:rsidRPr="00511A67" w:rsidRDefault="0085708F" w:rsidP="0085708F">
      <w:pPr>
        <w:rPr>
          <w:rFonts w:ascii="Leelawadee" w:hAnsi="Leelawadee" w:cs="Leelawadee"/>
        </w:rPr>
      </w:pPr>
      <w:r>
        <w:rPr>
          <w:rFonts w:ascii="Leelawadee" w:hAnsi="Leelawadee" w:cs="Leelawadee"/>
        </w:rPr>
        <w:t xml:space="preserve">PLINK requires a bed, </w:t>
      </w:r>
      <w:proofErr w:type="spellStart"/>
      <w:r>
        <w:rPr>
          <w:rFonts w:ascii="Leelawadee" w:hAnsi="Leelawadee" w:cs="Leelawadee"/>
        </w:rPr>
        <w:t>bim</w:t>
      </w:r>
      <w:proofErr w:type="spellEnd"/>
      <w:r>
        <w:rPr>
          <w:rFonts w:ascii="Leelawadee" w:hAnsi="Leelawadee" w:cs="Leelawadee"/>
        </w:rPr>
        <w:t>, and fam file run the analysis. These three files are made as per the specifications cited on the PLINK website. When running the analyses, we used some quality control filters to minimize the events of spurious association. These included a test for HWE (</w:t>
      </w:r>
      <w:r w:rsidR="00511A67">
        <w:rPr>
          <w:rFonts w:ascii="Leelawadee" w:hAnsi="Leelawadee" w:cs="Leelawadee"/>
        </w:rPr>
        <w:t>&lt;1 x 10</w:t>
      </w:r>
      <w:r w:rsidR="00511A67">
        <w:rPr>
          <w:rFonts w:ascii="Leelawadee" w:hAnsi="Leelawadee" w:cs="Leelawadee"/>
          <w:vertAlign w:val="superscript"/>
        </w:rPr>
        <w:t>-6</w:t>
      </w:r>
      <w:r w:rsidR="00511A67">
        <w:rPr>
          <w:rFonts w:ascii="Leelawadee" w:hAnsi="Leelawadee" w:cs="Leelawadee"/>
        </w:rPr>
        <w:t>), and a minor allele frequency threshold (MAF, &lt;1%)</w:t>
      </w:r>
    </w:p>
    <w:p w:rsidR="0085708F" w:rsidRPr="00D5379A" w:rsidRDefault="0085708F" w:rsidP="0085708F">
      <w:pPr>
        <w:rPr>
          <w:rFonts w:ascii="Leelawadee" w:hAnsi="Leelawadee" w:cs="Leelawadee"/>
        </w:rPr>
      </w:pPr>
      <w:r>
        <w:rPr>
          <w:rFonts w:ascii="Leelawadee" w:hAnsi="Leelawadee" w:cs="Leelawadee"/>
        </w:rPr>
        <w:t>The results of the analyses are summarised with plots and tables below.</w:t>
      </w:r>
      <w:r w:rsidR="00FC7550">
        <w:rPr>
          <w:rFonts w:ascii="Leelawadee" w:hAnsi="Leelawadee" w:cs="Leelawadee"/>
        </w:rPr>
        <w:t xml:space="preserve"> The minor alleles of these SNPs all appear to be risk alleles. The Manhattan plo</w:t>
      </w:r>
      <w:r w:rsidR="00D5379A">
        <w:rPr>
          <w:rFonts w:ascii="Leelawadee" w:hAnsi="Leelawadee" w:cs="Leelawadee"/>
        </w:rPr>
        <w:t xml:space="preserve">t below visualises the significance of their association to the phenotype. The red line is the </w:t>
      </w:r>
      <w:proofErr w:type="spellStart"/>
      <w:r w:rsidR="00D5379A">
        <w:rPr>
          <w:rFonts w:ascii="Leelawadee" w:hAnsi="Leelawadee" w:cs="Leelawadee"/>
        </w:rPr>
        <w:t>Bonferroni</w:t>
      </w:r>
      <w:proofErr w:type="spellEnd"/>
      <w:r w:rsidR="00D5379A">
        <w:rPr>
          <w:rFonts w:ascii="Leelawadee" w:hAnsi="Leelawadee" w:cs="Leelawadee"/>
        </w:rPr>
        <w:t>-corrected type 1 error rate (5 x 10</w:t>
      </w:r>
      <w:r w:rsidR="00D5379A">
        <w:rPr>
          <w:rFonts w:ascii="Leelawadee" w:hAnsi="Leelawadee" w:cs="Leelawadee"/>
          <w:vertAlign w:val="superscript"/>
        </w:rPr>
        <w:t>-8</w:t>
      </w:r>
      <w:r w:rsidR="00D5379A">
        <w:rPr>
          <w:rFonts w:ascii="Leelawadee" w:hAnsi="Leelawadee" w:cs="Leelawadee"/>
        </w:rPr>
        <w:t xml:space="preserve">). The blue line </w:t>
      </w:r>
      <w:r w:rsidR="00A532D0">
        <w:rPr>
          <w:rFonts w:ascii="Leelawadee" w:hAnsi="Leelawadee" w:cs="Leelawadee"/>
        </w:rPr>
        <w:t>indicates</w:t>
      </w:r>
      <w:r w:rsidR="00D5379A">
        <w:rPr>
          <w:rFonts w:ascii="Leelawadee" w:hAnsi="Leelawadee" w:cs="Leelawadee"/>
        </w:rPr>
        <w:t xml:space="preserve"> p-value of 0.0005.</w:t>
      </w:r>
    </w:p>
    <w:p w:rsidR="00511A67" w:rsidRDefault="00511A67" w:rsidP="0085708F">
      <w:pPr>
        <w:rPr>
          <w:rFonts w:ascii="Leelawadee" w:hAnsi="Leelawadee" w:cs="Leelawadee"/>
        </w:rPr>
      </w:pPr>
    </w:p>
    <w:tbl>
      <w:tblPr>
        <w:tblStyle w:val="TableGrid"/>
        <w:tblW w:w="9464" w:type="dxa"/>
        <w:tblLook w:val="04A0" w:firstRow="1" w:lastRow="0" w:firstColumn="1" w:lastColumn="0" w:noHBand="0" w:noVBand="1"/>
      </w:tblPr>
      <w:tblGrid>
        <w:gridCol w:w="596"/>
        <w:gridCol w:w="1160"/>
        <w:gridCol w:w="1047"/>
        <w:gridCol w:w="478"/>
        <w:gridCol w:w="646"/>
        <w:gridCol w:w="820"/>
        <w:gridCol w:w="718"/>
        <w:gridCol w:w="941"/>
        <w:gridCol w:w="718"/>
        <w:gridCol w:w="769"/>
        <w:gridCol w:w="797"/>
        <w:gridCol w:w="977"/>
      </w:tblGrid>
      <w:tr w:rsidR="00FC7550" w:rsidRPr="00060B4F" w:rsidTr="003C7497">
        <w:trPr>
          <w:trHeight w:val="300"/>
        </w:trPr>
        <w:tc>
          <w:tcPr>
            <w:tcW w:w="579" w:type="dxa"/>
            <w:noWrap/>
            <w:hideMark/>
          </w:tcPr>
          <w:p w:rsidR="00FC7550" w:rsidRPr="00060B4F" w:rsidRDefault="00FC7550" w:rsidP="003C7497">
            <w:pPr>
              <w:rPr>
                <w:b/>
                <w:bCs/>
              </w:rPr>
            </w:pPr>
            <w:r w:rsidRPr="00060B4F">
              <w:rPr>
                <w:b/>
                <w:bCs/>
              </w:rPr>
              <w:t>CHR</w:t>
            </w:r>
          </w:p>
        </w:tc>
        <w:tc>
          <w:tcPr>
            <w:tcW w:w="1117" w:type="dxa"/>
            <w:noWrap/>
            <w:hideMark/>
          </w:tcPr>
          <w:p w:rsidR="00FC7550" w:rsidRPr="00060B4F" w:rsidRDefault="00FC7550" w:rsidP="003C7497">
            <w:pPr>
              <w:rPr>
                <w:b/>
                <w:bCs/>
              </w:rPr>
            </w:pPr>
            <w:r w:rsidRPr="00060B4F">
              <w:rPr>
                <w:b/>
                <w:bCs/>
              </w:rPr>
              <w:t>SNP</w:t>
            </w:r>
          </w:p>
        </w:tc>
        <w:tc>
          <w:tcPr>
            <w:tcW w:w="1009" w:type="dxa"/>
            <w:noWrap/>
            <w:hideMark/>
          </w:tcPr>
          <w:p w:rsidR="00FC7550" w:rsidRPr="00060B4F" w:rsidRDefault="00FC7550" w:rsidP="003C7497">
            <w:pPr>
              <w:rPr>
                <w:b/>
                <w:bCs/>
              </w:rPr>
            </w:pPr>
            <w:r w:rsidRPr="00060B4F">
              <w:rPr>
                <w:b/>
                <w:bCs/>
              </w:rPr>
              <w:t>BP</w:t>
            </w:r>
          </w:p>
        </w:tc>
        <w:tc>
          <w:tcPr>
            <w:tcW w:w="478" w:type="dxa"/>
            <w:noWrap/>
            <w:hideMark/>
          </w:tcPr>
          <w:p w:rsidR="00FC7550" w:rsidRPr="00060B4F" w:rsidRDefault="00FC7550" w:rsidP="003C7497">
            <w:pPr>
              <w:rPr>
                <w:b/>
                <w:bCs/>
              </w:rPr>
            </w:pPr>
            <w:r w:rsidRPr="00060B4F">
              <w:rPr>
                <w:b/>
                <w:bCs/>
              </w:rPr>
              <w:t>A1</w:t>
            </w:r>
          </w:p>
        </w:tc>
        <w:tc>
          <w:tcPr>
            <w:tcW w:w="627" w:type="dxa"/>
            <w:noWrap/>
            <w:hideMark/>
          </w:tcPr>
          <w:p w:rsidR="00FC7550" w:rsidRPr="00060B4F" w:rsidRDefault="00FC7550" w:rsidP="003C7497">
            <w:pPr>
              <w:rPr>
                <w:b/>
                <w:bCs/>
              </w:rPr>
            </w:pPr>
            <w:r w:rsidRPr="00060B4F">
              <w:rPr>
                <w:b/>
                <w:bCs/>
              </w:rPr>
              <w:t>TEST</w:t>
            </w:r>
          </w:p>
        </w:tc>
        <w:tc>
          <w:tcPr>
            <w:tcW w:w="793" w:type="dxa"/>
            <w:noWrap/>
            <w:hideMark/>
          </w:tcPr>
          <w:p w:rsidR="00FC7550" w:rsidRPr="00060B4F" w:rsidRDefault="00FC7550" w:rsidP="003C7497">
            <w:pPr>
              <w:rPr>
                <w:b/>
                <w:bCs/>
              </w:rPr>
            </w:pPr>
            <w:r w:rsidRPr="00060B4F">
              <w:rPr>
                <w:b/>
                <w:bCs/>
              </w:rPr>
              <w:t>NMISS</w:t>
            </w:r>
          </w:p>
        </w:tc>
        <w:tc>
          <w:tcPr>
            <w:tcW w:w="695" w:type="dxa"/>
            <w:noWrap/>
            <w:hideMark/>
          </w:tcPr>
          <w:p w:rsidR="00FC7550" w:rsidRPr="00060B4F" w:rsidRDefault="00FC7550" w:rsidP="003C7497">
            <w:pPr>
              <w:rPr>
                <w:b/>
                <w:bCs/>
              </w:rPr>
            </w:pPr>
            <w:r w:rsidRPr="00060B4F">
              <w:rPr>
                <w:b/>
                <w:bCs/>
              </w:rPr>
              <w:t>OR</w:t>
            </w:r>
          </w:p>
        </w:tc>
        <w:tc>
          <w:tcPr>
            <w:tcW w:w="928" w:type="dxa"/>
            <w:noWrap/>
            <w:hideMark/>
          </w:tcPr>
          <w:p w:rsidR="00FC7550" w:rsidRPr="00060B4F" w:rsidRDefault="00FC7550" w:rsidP="003C7497">
            <w:pPr>
              <w:rPr>
                <w:b/>
                <w:bCs/>
              </w:rPr>
            </w:pPr>
            <w:r w:rsidRPr="00060B4F">
              <w:rPr>
                <w:b/>
                <w:bCs/>
              </w:rPr>
              <w:t>SE</w:t>
            </w:r>
          </w:p>
        </w:tc>
        <w:tc>
          <w:tcPr>
            <w:tcW w:w="695" w:type="dxa"/>
            <w:noWrap/>
            <w:hideMark/>
          </w:tcPr>
          <w:p w:rsidR="00FC7550" w:rsidRPr="00060B4F" w:rsidRDefault="00FC7550" w:rsidP="003C7497">
            <w:pPr>
              <w:rPr>
                <w:b/>
                <w:bCs/>
              </w:rPr>
            </w:pPr>
            <w:r w:rsidRPr="00060B4F">
              <w:rPr>
                <w:b/>
                <w:bCs/>
              </w:rPr>
              <w:t>L95</w:t>
            </w:r>
          </w:p>
        </w:tc>
        <w:tc>
          <w:tcPr>
            <w:tcW w:w="769" w:type="dxa"/>
            <w:noWrap/>
            <w:hideMark/>
          </w:tcPr>
          <w:p w:rsidR="00FC7550" w:rsidRPr="00060B4F" w:rsidRDefault="00FC7550" w:rsidP="003C7497">
            <w:pPr>
              <w:rPr>
                <w:b/>
                <w:bCs/>
              </w:rPr>
            </w:pPr>
            <w:r w:rsidRPr="00060B4F">
              <w:rPr>
                <w:b/>
                <w:bCs/>
              </w:rPr>
              <w:t>U95</w:t>
            </w:r>
          </w:p>
        </w:tc>
        <w:tc>
          <w:tcPr>
            <w:tcW w:w="797" w:type="dxa"/>
            <w:noWrap/>
            <w:hideMark/>
          </w:tcPr>
          <w:p w:rsidR="00FC7550" w:rsidRPr="00060B4F" w:rsidRDefault="00FC7550" w:rsidP="003C7497">
            <w:pPr>
              <w:rPr>
                <w:b/>
                <w:bCs/>
              </w:rPr>
            </w:pPr>
            <w:r w:rsidRPr="00060B4F">
              <w:rPr>
                <w:b/>
                <w:bCs/>
              </w:rPr>
              <w:t>STAT</w:t>
            </w:r>
          </w:p>
        </w:tc>
        <w:tc>
          <w:tcPr>
            <w:tcW w:w="977" w:type="dxa"/>
            <w:noWrap/>
            <w:hideMark/>
          </w:tcPr>
          <w:p w:rsidR="00FC7550" w:rsidRPr="00060B4F" w:rsidRDefault="00FC7550" w:rsidP="003C7497">
            <w:pPr>
              <w:rPr>
                <w:b/>
                <w:bCs/>
              </w:rPr>
            </w:pPr>
            <w:r w:rsidRPr="00060B4F">
              <w:rPr>
                <w:b/>
                <w:bCs/>
              </w:rPr>
              <w:t>P</w:t>
            </w:r>
          </w:p>
        </w:tc>
      </w:tr>
      <w:tr w:rsidR="00FC7550" w:rsidRPr="00060B4F" w:rsidTr="003C7497">
        <w:trPr>
          <w:trHeight w:val="300"/>
        </w:trPr>
        <w:tc>
          <w:tcPr>
            <w:tcW w:w="579" w:type="dxa"/>
            <w:noWrap/>
            <w:hideMark/>
          </w:tcPr>
          <w:p w:rsidR="00FC7550" w:rsidRPr="00060B4F" w:rsidRDefault="00FC7550" w:rsidP="003C7497">
            <w:r w:rsidRPr="00060B4F">
              <w:t>1</w:t>
            </w:r>
          </w:p>
        </w:tc>
        <w:tc>
          <w:tcPr>
            <w:tcW w:w="1117" w:type="dxa"/>
            <w:noWrap/>
            <w:hideMark/>
          </w:tcPr>
          <w:p w:rsidR="00FC7550" w:rsidRPr="00060B4F" w:rsidRDefault="00FC7550" w:rsidP="003C7497">
            <w:r w:rsidRPr="00060B4F">
              <w:t>rs6322715</w:t>
            </w:r>
          </w:p>
        </w:tc>
        <w:tc>
          <w:tcPr>
            <w:tcW w:w="1009" w:type="dxa"/>
            <w:noWrap/>
            <w:hideMark/>
          </w:tcPr>
          <w:p w:rsidR="00FC7550" w:rsidRPr="00060B4F" w:rsidRDefault="00FC7550" w:rsidP="003C7497">
            <w:r w:rsidRPr="00060B4F">
              <w:t>1.34E+08</w:t>
            </w:r>
          </w:p>
        </w:tc>
        <w:tc>
          <w:tcPr>
            <w:tcW w:w="478" w:type="dxa"/>
            <w:noWrap/>
            <w:hideMark/>
          </w:tcPr>
          <w:p w:rsidR="00FC7550" w:rsidRPr="00060B4F" w:rsidRDefault="00FC7550" w:rsidP="003C7497">
            <w:r w:rsidRPr="00060B4F">
              <w:t>C</w:t>
            </w:r>
          </w:p>
        </w:tc>
        <w:tc>
          <w:tcPr>
            <w:tcW w:w="627" w:type="dxa"/>
            <w:noWrap/>
            <w:hideMark/>
          </w:tcPr>
          <w:p w:rsidR="00FC7550" w:rsidRPr="00060B4F" w:rsidRDefault="00FC7550" w:rsidP="003C7497">
            <w:r w:rsidRPr="00060B4F">
              <w:t>ADD</w:t>
            </w:r>
          </w:p>
        </w:tc>
        <w:tc>
          <w:tcPr>
            <w:tcW w:w="793" w:type="dxa"/>
            <w:noWrap/>
            <w:hideMark/>
          </w:tcPr>
          <w:p w:rsidR="00FC7550" w:rsidRPr="00060B4F" w:rsidRDefault="00FC7550" w:rsidP="003C7497">
            <w:r w:rsidRPr="00060B4F">
              <w:t>17105</w:t>
            </w:r>
          </w:p>
        </w:tc>
        <w:tc>
          <w:tcPr>
            <w:tcW w:w="695" w:type="dxa"/>
            <w:noWrap/>
            <w:hideMark/>
          </w:tcPr>
          <w:p w:rsidR="00FC7550" w:rsidRPr="00060B4F" w:rsidRDefault="00FC7550" w:rsidP="003C7497">
            <w:r w:rsidRPr="00060B4F">
              <w:t>1.753</w:t>
            </w:r>
          </w:p>
        </w:tc>
        <w:tc>
          <w:tcPr>
            <w:tcW w:w="928" w:type="dxa"/>
            <w:noWrap/>
            <w:hideMark/>
          </w:tcPr>
          <w:p w:rsidR="00FC7550" w:rsidRPr="00060B4F" w:rsidRDefault="00FC7550" w:rsidP="003C7497">
            <w:r w:rsidRPr="00060B4F">
              <w:t>0.05365</w:t>
            </w:r>
          </w:p>
        </w:tc>
        <w:tc>
          <w:tcPr>
            <w:tcW w:w="695" w:type="dxa"/>
            <w:noWrap/>
            <w:hideMark/>
          </w:tcPr>
          <w:p w:rsidR="00FC7550" w:rsidRPr="00060B4F" w:rsidRDefault="00FC7550" w:rsidP="003C7497">
            <w:r w:rsidRPr="00060B4F">
              <w:t>1.578</w:t>
            </w:r>
          </w:p>
        </w:tc>
        <w:tc>
          <w:tcPr>
            <w:tcW w:w="769" w:type="dxa"/>
            <w:noWrap/>
            <w:hideMark/>
          </w:tcPr>
          <w:p w:rsidR="00FC7550" w:rsidRPr="00060B4F" w:rsidRDefault="00FC7550" w:rsidP="003C7497">
            <w:r w:rsidRPr="00060B4F">
              <w:t>1.947</w:t>
            </w:r>
          </w:p>
        </w:tc>
        <w:tc>
          <w:tcPr>
            <w:tcW w:w="797" w:type="dxa"/>
            <w:noWrap/>
            <w:hideMark/>
          </w:tcPr>
          <w:p w:rsidR="00FC7550" w:rsidRPr="00060B4F" w:rsidRDefault="00FC7550" w:rsidP="003C7497">
            <w:r w:rsidRPr="00060B4F">
              <w:t>10.46</w:t>
            </w:r>
          </w:p>
        </w:tc>
        <w:tc>
          <w:tcPr>
            <w:tcW w:w="977" w:type="dxa"/>
            <w:noWrap/>
            <w:hideMark/>
          </w:tcPr>
          <w:p w:rsidR="00FC7550" w:rsidRPr="00060B4F" w:rsidRDefault="00FC7550" w:rsidP="003C7497">
            <w:r w:rsidRPr="00060B4F">
              <w:t>1.33E-25</w:t>
            </w:r>
          </w:p>
        </w:tc>
      </w:tr>
      <w:tr w:rsidR="00FC7550" w:rsidRPr="00060B4F" w:rsidTr="003C7497">
        <w:trPr>
          <w:trHeight w:val="300"/>
        </w:trPr>
        <w:tc>
          <w:tcPr>
            <w:tcW w:w="579" w:type="dxa"/>
            <w:noWrap/>
            <w:hideMark/>
          </w:tcPr>
          <w:p w:rsidR="00FC7550" w:rsidRPr="00060B4F" w:rsidRDefault="00FC7550" w:rsidP="003C7497">
            <w:r w:rsidRPr="00060B4F">
              <w:t>1</w:t>
            </w:r>
          </w:p>
        </w:tc>
        <w:tc>
          <w:tcPr>
            <w:tcW w:w="1117" w:type="dxa"/>
            <w:noWrap/>
            <w:hideMark/>
          </w:tcPr>
          <w:p w:rsidR="00FC7550" w:rsidRPr="00060B4F" w:rsidRDefault="00FC7550" w:rsidP="003C7497">
            <w:r w:rsidRPr="00060B4F">
              <w:t>rs6082789</w:t>
            </w:r>
          </w:p>
        </w:tc>
        <w:tc>
          <w:tcPr>
            <w:tcW w:w="1009" w:type="dxa"/>
            <w:noWrap/>
            <w:hideMark/>
          </w:tcPr>
          <w:p w:rsidR="00FC7550" w:rsidRPr="00060B4F" w:rsidRDefault="00FC7550" w:rsidP="003C7497">
            <w:r w:rsidRPr="00060B4F">
              <w:t>1.6E+08</w:t>
            </w:r>
          </w:p>
        </w:tc>
        <w:tc>
          <w:tcPr>
            <w:tcW w:w="478" w:type="dxa"/>
            <w:noWrap/>
            <w:hideMark/>
          </w:tcPr>
          <w:p w:rsidR="00FC7550" w:rsidRPr="00060B4F" w:rsidRDefault="00FC7550" w:rsidP="003C7497">
            <w:r w:rsidRPr="00060B4F">
              <w:t>T</w:t>
            </w:r>
          </w:p>
        </w:tc>
        <w:tc>
          <w:tcPr>
            <w:tcW w:w="627" w:type="dxa"/>
            <w:noWrap/>
            <w:hideMark/>
          </w:tcPr>
          <w:p w:rsidR="00FC7550" w:rsidRPr="00060B4F" w:rsidRDefault="00FC7550" w:rsidP="003C7497">
            <w:r w:rsidRPr="00060B4F">
              <w:t>ADD</w:t>
            </w:r>
          </w:p>
        </w:tc>
        <w:tc>
          <w:tcPr>
            <w:tcW w:w="793" w:type="dxa"/>
            <w:noWrap/>
            <w:hideMark/>
          </w:tcPr>
          <w:p w:rsidR="00FC7550" w:rsidRPr="00060B4F" w:rsidRDefault="00FC7550" w:rsidP="003C7497">
            <w:r w:rsidRPr="00060B4F">
              <w:t>17105</w:t>
            </w:r>
          </w:p>
        </w:tc>
        <w:tc>
          <w:tcPr>
            <w:tcW w:w="695" w:type="dxa"/>
            <w:noWrap/>
            <w:hideMark/>
          </w:tcPr>
          <w:p w:rsidR="00FC7550" w:rsidRPr="00060B4F" w:rsidRDefault="00FC7550" w:rsidP="003C7497">
            <w:r w:rsidRPr="00060B4F">
              <w:t>1.626</w:t>
            </w:r>
          </w:p>
        </w:tc>
        <w:tc>
          <w:tcPr>
            <w:tcW w:w="928" w:type="dxa"/>
            <w:noWrap/>
            <w:hideMark/>
          </w:tcPr>
          <w:p w:rsidR="00FC7550" w:rsidRPr="00060B4F" w:rsidRDefault="00FC7550" w:rsidP="003C7497">
            <w:r w:rsidRPr="00060B4F">
              <w:t>0.04746</w:t>
            </w:r>
          </w:p>
        </w:tc>
        <w:tc>
          <w:tcPr>
            <w:tcW w:w="695" w:type="dxa"/>
            <w:noWrap/>
            <w:hideMark/>
          </w:tcPr>
          <w:p w:rsidR="00FC7550" w:rsidRPr="00060B4F" w:rsidRDefault="00FC7550" w:rsidP="003C7497">
            <w:r w:rsidRPr="00060B4F">
              <w:t>1.481</w:t>
            </w:r>
          </w:p>
        </w:tc>
        <w:tc>
          <w:tcPr>
            <w:tcW w:w="769" w:type="dxa"/>
            <w:noWrap/>
            <w:hideMark/>
          </w:tcPr>
          <w:p w:rsidR="00FC7550" w:rsidRPr="00060B4F" w:rsidRDefault="00FC7550" w:rsidP="003C7497">
            <w:r w:rsidRPr="00060B4F">
              <w:t>1.784</w:t>
            </w:r>
          </w:p>
        </w:tc>
        <w:tc>
          <w:tcPr>
            <w:tcW w:w="797" w:type="dxa"/>
            <w:noWrap/>
            <w:hideMark/>
          </w:tcPr>
          <w:p w:rsidR="00FC7550" w:rsidRPr="00060B4F" w:rsidRDefault="00FC7550" w:rsidP="003C7497">
            <w:r w:rsidRPr="00060B4F">
              <w:t>10.24</w:t>
            </w:r>
          </w:p>
        </w:tc>
        <w:tc>
          <w:tcPr>
            <w:tcW w:w="977" w:type="dxa"/>
            <w:noWrap/>
            <w:hideMark/>
          </w:tcPr>
          <w:p w:rsidR="00FC7550" w:rsidRPr="00060B4F" w:rsidRDefault="00FC7550" w:rsidP="003C7497">
            <w:r w:rsidRPr="00060B4F">
              <w:t>1.32E-24</w:t>
            </w:r>
          </w:p>
        </w:tc>
      </w:tr>
      <w:tr w:rsidR="00FC7550" w:rsidRPr="00060B4F" w:rsidTr="003C7497">
        <w:trPr>
          <w:trHeight w:val="300"/>
        </w:trPr>
        <w:tc>
          <w:tcPr>
            <w:tcW w:w="579" w:type="dxa"/>
            <w:noWrap/>
            <w:hideMark/>
          </w:tcPr>
          <w:p w:rsidR="00FC7550" w:rsidRPr="00060B4F" w:rsidRDefault="00FC7550" w:rsidP="003C7497">
            <w:r w:rsidRPr="00060B4F">
              <w:t>1</w:t>
            </w:r>
          </w:p>
        </w:tc>
        <w:tc>
          <w:tcPr>
            <w:tcW w:w="1117" w:type="dxa"/>
            <w:noWrap/>
            <w:hideMark/>
          </w:tcPr>
          <w:p w:rsidR="00FC7550" w:rsidRPr="00060B4F" w:rsidRDefault="00FC7550" w:rsidP="003C7497">
            <w:r w:rsidRPr="00060B4F">
              <w:t>rs3117965</w:t>
            </w:r>
          </w:p>
        </w:tc>
        <w:tc>
          <w:tcPr>
            <w:tcW w:w="1009" w:type="dxa"/>
            <w:noWrap/>
            <w:hideMark/>
          </w:tcPr>
          <w:p w:rsidR="00FC7550" w:rsidRPr="00060B4F" w:rsidRDefault="00FC7550" w:rsidP="003C7497">
            <w:r w:rsidRPr="00060B4F">
              <w:t>1.61E+08</w:t>
            </w:r>
          </w:p>
        </w:tc>
        <w:tc>
          <w:tcPr>
            <w:tcW w:w="478" w:type="dxa"/>
            <w:noWrap/>
            <w:hideMark/>
          </w:tcPr>
          <w:p w:rsidR="00FC7550" w:rsidRPr="00060B4F" w:rsidRDefault="00FC7550" w:rsidP="003C7497">
            <w:r w:rsidRPr="00060B4F">
              <w:t>A</w:t>
            </w:r>
          </w:p>
        </w:tc>
        <w:tc>
          <w:tcPr>
            <w:tcW w:w="627" w:type="dxa"/>
            <w:noWrap/>
            <w:hideMark/>
          </w:tcPr>
          <w:p w:rsidR="00FC7550" w:rsidRPr="00060B4F" w:rsidRDefault="00FC7550" w:rsidP="003C7497">
            <w:r w:rsidRPr="00060B4F">
              <w:t>ADD</w:t>
            </w:r>
          </w:p>
        </w:tc>
        <w:tc>
          <w:tcPr>
            <w:tcW w:w="793" w:type="dxa"/>
            <w:noWrap/>
            <w:hideMark/>
          </w:tcPr>
          <w:p w:rsidR="00FC7550" w:rsidRPr="00060B4F" w:rsidRDefault="00FC7550" w:rsidP="003C7497">
            <w:r w:rsidRPr="00060B4F">
              <w:t>17105</w:t>
            </w:r>
          </w:p>
        </w:tc>
        <w:tc>
          <w:tcPr>
            <w:tcW w:w="695" w:type="dxa"/>
            <w:noWrap/>
            <w:hideMark/>
          </w:tcPr>
          <w:p w:rsidR="00FC7550" w:rsidRPr="00060B4F" w:rsidRDefault="00FC7550" w:rsidP="003C7497">
            <w:r w:rsidRPr="00060B4F">
              <w:t>1.49</w:t>
            </w:r>
          </w:p>
        </w:tc>
        <w:tc>
          <w:tcPr>
            <w:tcW w:w="928" w:type="dxa"/>
            <w:noWrap/>
            <w:hideMark/>
          </w:tcPr>
          <w:p w:rsidR="00FC7550" w:rsidRPr="00060B4F" w:rsidRDefault="00FC7550" w:rsidP="003C7497">
            <w:r w:rsidRPr="00060B4F">
              <w:t>0.04087</w:t>
            </w:r>
          </w:p>
        </w:tc>
        <w:tc>
          <w:tcPr>
            <w:tcW w:w="695" w:type="dxa"/>
            <w:noWrap/>
            <w:hideMark/>
          </w:tcPr>
          <w:p w:rsidR="00FC7550" w:rsidRPr="00060B4F" w:rsidRDefault="00FC7550" w:rsidP="003C7497">
            <w:r w:rsidRPr="00060B4F">
              <w:t>1.375</w:t>
            </w:r>
          </w:p>
        </w:tc>
        <w:tc>
          <w:tcPr>
            <w:tcW w:w="769" w:type="dxa"/>
            <w:noWrap/>
            <w:hideMark/>
          </w:tcPr>
          <w:p w:rsidR="00FC7550" w:rsidRPr="00060B4F" w:rsidRDefault="00FC7550" w:rsidP="003C7497">
            <w:r w:rsidRPr="00060B4F">
              <w:t>1.614</w:t>
            </w:r>
          </w:p>
        </w:tc>
        <w:tc>
          <w:tcPr>
            <w:tcW w:w="797" w:type="dxa"/>
            <w:noWrap/>
            <w:hideMark/>
          </w:tcPr>
          <w:p w:rsidR="00FC7550" w:rsidRPr="00060B4F" w:rsidRDefault="00FC7550" w:rsidP="003C7497">
            <w:r w:rsidRPr="00060B4F">
              <w:t>9.755</w:t>
            </w:r>
          </w:p>
        </w:tc>
        <w:tc>
          <w:tcPr>
            <w:tcW w:w="977" w:type="dxa"/>
            <w:noWrap/>
            <w:hideMark/>
          </w:tcPr>
          <w:p w:rsidR="00FC7550" w:rsidRPr="00060B4F" w:rsidRDefault="00FC7550" w:rsidP="003C7497">
            <w:r w:rsidRPr="00060B4F">
              <w:t>1.75E-22</w:t>
            </w:r>
          </w:p>
        </w:tc>
      </w:tr>
      <w:tr w:rsidR="00FC7550" w:rsidRPr="00060B4F" w:rsidTr="003C7497">
        <w:trPr>
          <w:trHeight w:val="300"/>
        </w:trPr>
        <w:tc>
          <w:tcPr>
            <w:tcW w:w="579" w:type="dxa"/>
            <w:noWrap/>
            <w:hideMark/>
          </w:tcPr>
          <w:p w:rsidR="00FC7550" w:rsidRPr="00060B4F" w:rsidRDefault="00FC7550" w:rsidP="003C7497">
            <w:r w:rsidRPr="00060B4F">
              <w:t>1</w:t>
            </w:r>
          </w:p>
        </w:tc>
        <w:tc>
          <w:tcPr>
            <w:tcW w:w="1117" w:type="dxa"/>
            <w:noWrap/>
            <w:hideMark/>
          </w:tcPr>
          <w:p w:rsidR="00FC7550" w:rsidRPr="00060B4F" w:rsidRDefault="00FC7550" w:rsidP="003C7497">
            <w:r w:rsidRPr="00060B4F">
              <w:t>rs3509922</w:t>
            </w:r>
          </w:p>
        </w:tc>
        <w:tc>
          <w:tcPr>
            <w:tcW w:w="1009" w:type="dxa"/>
            <w:noWrap/>
            <w:hideMark/>
          </w:tcPr>
          <w:p w:rsidR="00FC7550" w:rsidRPr="00060B4F" w:rsidRDefault="00FC7550" w:rsidP="003C7497">
            <w:r w:rsidRPr="00060B4F">
              <w:t>1.61E+08</w:t>
            </w:r>
          </w:p>
        </w:tc>
        <w:tc>
          <w:tcPr>
            <w:tcW w:w="478" w:type="dxa"/>
            <w:noWrap/>
            <w:hideMark/>
          </w:tcPr>
          <w:p w:rsidR="00FC7550" w:rsidRPr="00060B4F" w:rsidRDefault="00FC7550" w:rsidP="003C7497">
            <w:r w:rsidRPr="00060B4F">
              <w:t>A</w:t>
            </w:r>
          </w:p>
        </w:tc>
        <w:tc>
          <w:tcPr>
            <w:tcW w:w="627" w:type="dxa"/>
            <w:noWrap/>
            <w:hideMark/>
          </w:tcPr>
          <w:p w:rsidR="00FC7550" w:rsidRPr="00060B4F" w:rsidRDefault="00FC7550" w:rsidP="003C7497">
            <w:r w:rsidRPr="00060B4F">
              <w:t>ADD</w:t>
            </w:r>
          </w:p>
        </w:tc>
        <w:tc>
          <w:tcPr>
            <w:tcW w:w="793" w:type="dxa"/>
            <w:noWrap/>
            <w:hideMark/>
          </w:tcPr>
          <w:p w:rsidR="00FC7550" w:rsidRPr="00060B4F" w:rsidRDefault="00FC7550" w:rsidP="003C7497">
            <w:r w:rsidRPr="00060B4F">
              <w:t>17105</w:t>
            </w:r>
          </w:p>
        </w:tc>
        <w:tc>
          <w:tcPr>
            <w:tcW w:w="695" w:type="dxa"/>
            <w:noWrap/>
            <w:hideMark/>
          </w:tcPr>
          <w:p w:rsidR="00FC7550" w:rsidRPr="00060B4F" w:rsidRDefault="00FC7550" w:rsidP="003C7497">
            <w:r w:rsidRPr="00060B4F">
              <w:t>1.614</w:t>
            </w:r>
          </w:p>
        </w:tc>
        <w:tc>
          <w:tcPr>
            <w:tcW w:w="928" w:type="dxa"/>
            <w:noWrap/>
            <w:hideMark/>
          </w:tcPr>
          <w:p w:rsidR="00FC7550" w:rsidRPr="00060B4F" w:rsidRDefault="00FC7550" w:rsidP="003C7497">
            <w:r w:rsidRPr="00060B4F">
              <w:t>0.04659</w:t>
            </w:r>
          </w:p>
        </w:tc>
        <w:tc>
          <w:tcPr>
            <w:tcW w:w="695" w:type="dxa"/>
            <w:noWrap/>
            <w:hideMark/>
          </w:tcPr>
          <w:p w:rsidR="00FC7550" w:rsidRPr="00060B4F" w:rsidRDefault="00FC7550" w:rsidP="003C7497">
            <w:r w:rsidRPr="00060B4F">
              <w:t>1.473</w:t>
            </w:r>
          </w:p>
        </w:tc>
        <w:tc>
          <w:tcPr>
            <w:tcW w:w="769" w:type="dxa"/>
            <w:noWrap/>
            <w:hideMark/>
          </w:tcPr>
          <w:p w:rsidR="00FC7550" w:rsidRPr="00060B4F" w:rsidRDefault="00FC7550" w:rsidP="003C7497">
            <w:r w:rsidRPr="00060B4F">
              <w:t>1.768</w:t>
            </w:r>
          </w:p>
        </w:tc>
        <w:tc>
          <w:tcPr>
            <w:tcW w:w="797" w:type="dxa"/>
            <w:noWrap/>
            <w:hideMark/>
          </w:tcPr>
          <w:p w:rsidR="00FC7550" w:rsidRPr="00060B4F" w:rsidRDefault="00FC7550" w:rsidP="003C7497">
            <w:r w:rsidRPr="00060B4F">
              <w:t>10.27</w:t>
            </w:r>
          </w:p>
        </w:tc>
        <w:tc>
          <w:tcPr>
            <w:tcW w:w="977" w:type="dxa"/>
            <w:noWrap/>
            <w:hideMark/>
          </w:tcPr>
          <w:p w:rsidR="00FC7550" w:rsidRPr="00060B4F" w:rsidRDefault="00FC7550" w:rsidP="003C7497">
            <w:r w:rsidRPr="00060B4F">
              <w:t>9.56E-25</w:t>
            </w:r>
          </w:p>
        </w:tc>
      </w:tr>
      <w:tr w:rsidR="00FC7550" w:rsidRPr="00060B4F" w:rsidTr="003C7497">
        <w:trPr>
          <w:trHeight w:val="300"/>
        </w:trPr>
        <w:tc>
          <w:tcPr>
            <w:tcW w:w="579" w:type="dxa"/>
            <w:noWrap/>
            <w:hideMark/>
          </w:tcPr>
          <w:p w:rsidR="00FC7550" w:rsidRPr="00060B4F" w:rsidRDefault="00FC7550" w:rsidP="003C7497">
            <w:r w:rsidRPr="00060B4F">
              <w:t>1</w:t>
            </w:r>
          </w:p>
        </w:tc>
        <w:tc>
          <w:tcPr>
            <w:tcW w:w="1117" w:type="dxa"/>
            <w:noWrap/>
            <w:hideMark/>
          </w:tcPr>
          <w:p w:rsidR="00FC7550" w:rsidRPr="00060B4F" w:rsidRDefault="00FC7550" w:rsidP="003C7497">
            <w:r w:rsidRPr="00060B4F">
              <w:t>rs1832042</w:t>
            </w:r>
          </w:p>
        </w:tc>
        <w:tc>
          <w:tcPr>
            <w:tcW w:w="1009" w:type="dxa"/>
            <w:noWrap/>
            <w:hideMark/>
          </w:tcPr>
          <w:p w:rsidR="00FC7550" w:rsidRPr="00060B4F" w:rsidRDefault="00FC7550" w:rsidP="003C7497">
            <w:r w:rsidRPr="00060B4F">
              <w:t>1.61E+08</w:t>
            </w:r>
          </w:p>
        </w:tc>
        <w:tc>
          <w:tcPr>
            <w:tcW w:w="478" w:type="dxa"/>
            <w:noWrap/>
            <w:hideMark/>
          </w:tcPr>
          <w:p w:rsidR="00FC7550" w:rsidRPr="00060B4F" w:rsidRDefault="00FC7550" w:rsidP="003C7497">
            <w:r w:rsidRPr="00060B4F">
              <w:t>T</w:t>
            </w:r>
          </w:p>
        </w:tc>
        <w:tc>
          <w:tcPr>
            <w:tcW w:w="627" w:type="dxa"/>
            <w:noWrap/>
            <w:hideMark/>
          </w:tcPr>
          <w:p w:rsidR="00FC7550" w:rsidRPr="00060B4F" w:rsidRDefault="00FC7550" w:rsidP="003C7497">
            <w:r w:rsidRPr="00060B4F">
              <w:t>ADD</w:t>
            </w:r>
          </w:p>
        </w:tc>
        <w:tc>
          <w:tcPr>
            <w:tcW w:w="793" w:type="dxa"/>
            <w:noWrap/>
            <w:hideMark/>
          </w:tcPr>
          <w:p w:rsidR="00FC7550" w:rsidRPr="00060B4F" w:rsidRDefault="00FC7550" w:rsidP="003C7497">
            <w:r w:rsidRPr="00060B4F">
              <w:t>17105</w:t>
            </w:r>
          </w:p>
        </w:tc>
        <w:tc>
          <w:tcPr>
            <w:tcW w:w="695" w:type="dxa"/>
            <w:noWrap/>
            <w:hideMark/>
          </w:tcPr>
          <w:p w:rsidR="00FC7550" w:rsidRPr="00060B4F" w:rsidRDefault="00FC7550" w:rsidP="003C7497">
            <w:r w:rsidRPr="00060B4F">
              <w:t>1.626</w:t>
            </w:r>
          </w:p>
        </w:tc>
        <w:tc>
          <w:tcPr>
            <w:tcW w:w="928" w:type="dxa"/>
            <w:noWrap/>
            <w:hideMark/>
          </w:tcPr>
          <w:p w:rsidR="00FC7550" w:rsidRPr="00060B4F" w:rsidRDefault="00FC7550" w:rsidP="003C7497">
            <w:r w:rsidRPr="00060B4F">
              <w:t>0.04227</w:t>
            </w:r>
          </w:p>
        </w:tc>
        <w:tc>
          <w:tcPr>
            <w:tcW w:w="695" w:type="dxa"/>
            <w:noWrap/>
            <w:hideMark/>
          </w:tcPr>
          <w:p w:rsidR="00FC7550" w:rsidRPr="00060B4F" w:rsidRDefault="00FC7550" w:rsidP="003C7497">
            <w:r w:rsidRPr="00060B4F">
              <w:t>1.497</w:t>
            </w:r>
          </w:p>
        </w:tc>
        <w:tc>
          <w:tcPr>
            <w:tcW w:w="769" w:type="dxa"/>
            <w:noWrap/>
            <w:hideMark/>
          </w:tcPr>
          <w:p w:rsidR="00FC7550" w:rsidRPr="00060B4F" w:rsidRDefault="00FC7550" w:rsidP="003C7497">
            <w:r w:rsidRPr="00060B4F">
              <w:t>1.767</w:t>
            </w:r>
          </w:p>
        </w:tc>
        <w:tc>
          <w:tcPr>
            <w:tcW w:w="797" w:type="dxa"/>
            <w:noWrap/>
            <w:hideMark/>
          </w:tcPr>
          <w:p w:rsidR="00FC7550" w:rsidRPr="00060B4F" w:rsidRDefault="00FC7550" w:rsidP="003C7497">
            <w:r w:rsidRPr="00060B4F">
              <w:t>11.51</w:t>
            </w:r>
          </w:p>
        </w:tc>
        <w:tc>
          <w:tcPr>
            <w:tcW w:w="977" w:type="dxa"/>
            <w:noWrap/>
            <w:hideMark/>
          </w:tcPr>
          <w:p w:rsidR="00FC7550" w:rsidRPr="00060B4F" w:rsidRDefault="00FC7550" w:rsidP="003C7497">
            <w:r w:rsidRPr="00060B4F">
              <w:t>1.22E-30</w:t>
            </w:r>
          </w:p>
        </w:tc>
      </w:tr>
      <w:tr w:rsidR="00FC7550" w:rsidRPr="00060B4F" w:rsidTr="003C7497">
        <w:trPr>
          <w:trHeight w:val="300"/>
        </w:trPr>
        <w:tc>
          <w:tcPr>
            <w:tcW w:w="579" w:type="dxa"/>
            <w:noWrap/>
            <w:hideMark/>
          </w:tcPr>
          <w:p w:rsidR="00FC7550" w:rsidRPr="00060B4F" w:rsidRDefault="00FC7550" w:rsidP="003C7497">
            <w:r w:rsidRPr="00060B4F">
              <w:t>1</w:t>
            </w:r>
          </w:p>
        </w:tc>
        <w:tc>
          <w:tcPr>
            <w:tcW w:w="1117" w:type="dxa"/>
            <w:noWrap/>
            <w:hideMark/>
          </w:tcPr>
          <w:p w:rsidR="00FC7550" w:rsidRPr="00060B4F" w:rsidRDefault="00FC7550" w:rsidP="003C7497">
            <w:r w:rsidRPr="00060B4F">
              <w:t>rs6902854</w:t>
            </w:r>
          </w:p>
        </w:tc>
        <w:tc>
          <w:tcPr>
            <w:tcW w:w="1009" w:type="dxa"/>
            <w:noWrap/>
            <w:hideMark/>
          </w:tcPr>
          <w:p w:rsidR="00FC7550" w:rsidRPr="00060B4F" w:rsidRDefault="00FC7550" w:rsidP="003C7497">
            <w:r w:rsidRPr="00060B4F">
              <w:t>3.02E+08</w:t>
            </w:r>
          </w:p>
        </w:tc>
        <w:tc>
          <w:tcPr>
            <w:tcW w:w="478" w:type="dxa"/>
            <w:noWrap/>
            <w:hideMark/>
          </w:tcPr>
          <w:p w:rsidR="00FC7550" w:rsidRPr="00060B4F" w:rsidRDefault="00FC7550" w:rsidP="003C7497">
            <w:r w:rsidRPr="00060B4F">
              <w:t>C</w:t>
            </w:r>
          </w:p>
        </w:tc>
        <w:tc>
          <w:tcPr>
            <w:tcW w:w="627" w:type="dxa"/>
            <w:noWrap/>
            <w:hideMark/>
          </w:tcPr>
          <w:p w:rsidR="00FC7550" w:rsidRPr="00060B4F" w:rsidRDefault="00FC7550" w:rsidP="003C7497">
            <w:r w:rsidRPr="00060B4F">
              <w:t>ADD</w:t>
            </w:r>
          </w:p>
        </w:tc>
        <w:tc>
          <w:tcPr>
            <w:tcW w:w="793" w:type="dxa"/>
            <w:noWrap/>
            <w:hideMark/>
          </w:tcPr>
          <w:p w:rsidR="00FC7550" w:rsidRPr="00060B4F" w:rsidRDefault="00FC7550" w:rsidP="003C7497">
            <w:r w:rsidRPr="00060B4F">
              <w:t>17105</w:t>
            </w:r>
          </w:p>
        </w:tc>
        <w:tc>
          <w:tcPr>
            <w:tcW w:w="695" w:type="dxa"/>
            <w:noWrap/>
            <w:hideMark/>
          </w:tcPr>
          <w:p w:rsidR="00FC7550" w:rsidRPr="00060B4F" w:rsidRDefault="00FC7550" w:rsidP="003C7497">
            <w:r w:rsidRPr="00060B4F">
              <w:t>1.836</w:t>
            </w:r>
          </w:p>
        </w:tc>
        <w:tc>
          <w:tcPr>
            <w:tcW w:w="928" w:type="dxa"/>
            <w:noWrap/>
            <w:hideMark/>
          </w:tcPr>
          <w:p w:rsidR="00FC7550" w:rsidRPr="00060B4F" w:rsidRDefault="00FC7550" w:rsidP="003C7497">
            <w:r w:rsidRPr="00060B4F">
              <w:t>0.05321</w:t>
            </w:r>
          </w:p>
        </w:tc>
        <w:tc>
          <w:tcPr>
            <w:tcW w:w="695" w:type="dxa"/>
            <w:noWrap/>
            <w:hideMark/>
          </w:tcPr>
          <w:p w:rsidR="00FC7550" w:rsidRPr="00060B4F" w:rsidRDefault="00FC7550" w:rsidP="003C7497">
            <w:r w:rsidRPr="00060B4F">
              <w:t>1.654</w:t>
            </w:r>
          </w:p>
        </w:tc>
        <w:tc>
          <w:tcPr>
            <w:tcW w:w="769" w:type="dxa"/>
            <w:noWrap/>
            <w:hideMark/>
          </w:tcPr>
          <w:p w:rsidR="00FC7550" w:rsidRPr="00060B4F" w:rsidRDefault="00FC7550" w:rsidP="003C7497">
            <w:r w:rsidRPr="00060B4F">
              <w:t>2.038</w:t>
            </w:r>
          </w:p>
        </w:tc>
        <w:tc>
          <w:tcPr>
            <w:tcW w:w="797" w:type="dxa"/>
            <w:noWrap/>
            <w:hideMark/>
          </w:tcPr>
          <w:p w:rsidR="00FC7550" w:rsidRPr="00060B4F" w:rsidRDefault="00FC7550" w:rsidP="003C7497">
            <w:r w:rsidRPr="00060B4F">
              <w:t>11.42</w:t>
            </w:r>
          </w:p>
        </w:tc>
        <w:tc>
          <w:tcPr>
            <w:tcW w:w="977" w:type="dxa"/>
            <w:noWrap/>
            <w:hideMark/>
          </w:tcPr>
          <w:p w:rsidR="00FC7550" w:rsidRPr="00060B4F" w:rsidRDefault="00FC7550" w:rsidP="003C7497">
            <w:r w:rsidRPr="00060B4F">
              <w:t>3.33E-30</w:t>
            </w:r>
          </w:p>
        </w:tc>
      </w:tr>
      <w:tr w:rsidR="00FC7550" w:rsidRPr="00060B4F" w:rsidTr="003C7497">
        <w:trPr>
          <w:trHeight w:val="300"/>
        </w:trPr>
        <w:tc>
          <w:tcPr>
            <w:tcW w:w="579" w:type="dxa"/>
            <w:noWrap/>
            <w:hideMark/>
          </w:tcPr>
          <w:p w:rsidR="00FC7550" w:rsidRPr="00060B4F" w:rsidRDefault="00FC7550" w:rsidP="003C7497">
            <w:r w:rsidRPr="00060B4F">
              <w:t>1</w:t>
            </w:r>
          </w:p>
        </w:tc>
        <w:tc>
          <w:tcPr>
            <w:tcW w:w="1117" w:type="dxa"/>
            <w:noWrap/>
            <w:hideMark/>
          </w:tcPr>
          <w:p w:rsidR="00FC7550" w:rsidRPr="00060B4F" w:rsidRDefault="00FC7550" w:rsidP="003C7497">
            <w:r w:rsidRPr="00060B4F">
              <w:t>rs4669271</w:t>
            </w:r>
          </w:p>
        </w:tc>
        <w:tc>
          <w:tcPr>
            <w:tcW w:w="1009" w:type="dxa"/>
            <w:noWrap/>
            <w:hideMark/>
          </w:tcPr>
          <w:p w:rsidR="00FC7550" w:rsidRPr="00060B4F" w:rsidRDefault="00FC7550" w:rsidP="003C7497">
            <w:r w:rsidRPr="00060B4F">
              <w:t>3.02E+08</w:t>
            </w:r>
          </w:p>
        </w:tc>
        <w:tc>
          <w:tcPr>
            <w:tcW w:w="478" w:type="dxa"/>
            <w:noWrap/>
            <w:hideMark/>
          </w:tcPr>
          <w:p w:rsidR="00FC7550" w:rsidRPr="00060B4F" w:rsidRDefault="00FC7550" w:rsidP="003C7497">
            <w:r w:rsidRPr="00060B4F">
              <w:t>A</w:t>
            </w:r>
          </w:p>
        </w:tc>
        <w:tc>
          <w:tcPr>
            <w:tcW w:w="627" w:type="dxa"/>
            <w:noWrap/>
            <w:hideMark/>
          </w:tcPr>
          <w:p w:rsidR="00FC7550" w:rsidRPr="00060B4F" w:rsidRDefault="00FC7550" w:rsidP="003C7497">
            <w:r w:rsidRPr="00060B4F">
              <w:t>ADD</w:t>
            </w:r>
          </w:p>
        </w:tc>
        <w:tc>
          <w:tcPr>
            <w:tcW w:w="793" w:type="dxa"/>
            <w:noWrap/>
            <w:hideMark/>
          </w:tcPr>
          <w:p w:rsidR="00FC7550" w:rsidRPr="00060B4F" w:rsidRDefault="00FC7550" w:rsidP="003C7497">
            <w:r w:rsidRPr="00060B4F">
              <w:t>17105</w:t>
            </w:r>
          </w:p>
        </w:tc>
        <w:tc>
          <w:tcPr>
            <w:tcW w:w="695" w:type="dxa"/>
            <w:noWrap/>
            <w:hideMark/>
          </w:tcPr>
          <w:p w:rsidR="00FC7550" w:rsidRPr="00060B4F" w:rsidRDefault="00FC7550" w:rsidP="003C7497">
            <w:r w:rsidRPr="00060B4F">
              <w:t>1.831</w:t>
            </w:r>
          </w:p>
        </w:tc>
        <w:tc>
          <w:tcPr>
            <w:tcW w:w="928" w:type="dxa"/>
            <w:noWrap/>
            <w:hideMark/>
          </w:tcPr>
          <w:p w:rsidR="00FC7550" w:rsidRPr="00060B4F" w:rsidRDefault="00FC7550" w:rsidP="003C7497">
            <w:r w:rsidRPr="00060B4F">
              <w:t>0.05423</w:t>
            </w:r>
          </w:p>
        </w:tc>
        <w:tc>
          <w:tcPr>
            <w:tcW w:w="695" w:type="dxa"/>
            <w:noWrap/>
            <w:hideMark/>
          </w:tcPr>
          <w:p w:rsidR="00FC7550" w:rsidRPr="00060B4F" w:rsidRDefault="00FC7550" w:rsidP="003C7497">
            <w:r w:rsidRPr="00060B4F">
              <w:t>1.647</w:t>
            </w:r>
          </w:p>
        </w:tc>
        <w:tc>
          <w:tcPr>
            <w:tcW w:w="769" w:type="dxa"/>
            <w:noWrap/>
            <w:hideMark/>
          </w:tcPr>
          <w:p w:rsidR="00FC7550" w:rsidRPr="00060B4F" w:rsidRDefault="00FC7550" w:rsidP="003C7497">
            <w:r w:rsidRPr="00060B4F">
              <w:t>2.037</w:t>
            </w:r>
          </w:p>
        </w:tc>
        <w:tc>
          <w:tcPr>
            <w:tcW w:w="797" w:type="dxa"/>
            <w:noWrap/>
            <w:hideMark/>
          </w:tcPr>
          <w:p w:rsidR="00FC7550" w:rsidRPr="00060B4F" w:rsidRDefault="00FC7550" w:rsidP="003C7497">
            <w:r w:rsidRPr="00060B4F">
              <w:t>11.16</w:t>
            </w:r>
          </w:p>
        </w:tc>
        <w:tc>
          <w:tcPr>
            <w:tcW w:w="977" w:type="dxa"/>
            <w:noWrap/>
            <w:hideMark/>
          </w:tcPr>
          <w:p w:rsidR="00FC7550" w:rsidRPr="00060B4F" w:rsidRDefault="00FC7550" w:rsidP="003C7497">
            <w:r w:rsidRPr="00060B4F">
              <w:t>6.71E-29</w:t>
            </w:r>
          </w:p>
        </w:tc>
      </w:tr>
      <w:tr w:rsidR="00FC7550" w:rsidRPr="00060B4F" w:rsidTr="003C7497">
        <w:trPr>
          <w:trHeight w:val="300"/>
        </w:trPr>
        <w:tc>
          <w:tcPr>
            <w:tcW w:w="579" w:type="dxa"/>
            <w:noWrap/>
            <w:hideMark/>
          </w:tcPr>
          <w:p w:rsidR="00FC7550" w:rsidRPr="00060B4F" w:rsidRDefault="00FC7550" w:rsidP="003C7497">
            <w:r w:rsidRPr="00060B4F">
              <w:t>1</w:t>
            </w:r>
          </w:p>
        </w:tc>
        <w:tc>
          <w:tcPr>
            <w:tcW w:w="1117" w:type="dxa"/>
            <w:noWrap/>
            <w:hideMark/>
          </w:tcPr>
          <w:p w:rsidR="00FC7550" w:rsidRPr="00060B4F" w:rsidRDefault="00FC7550" w:rsidP="003C7497">
            <w:r w:rsidRPr="00060B4F">
              <w:t>rs4111591</w:t>
            </w:r>
          </w:p>
        </w:tc>
        <w:tc>
          <w:tcPr>
            <w:tcW w:w="1009" w:type="dxa"/>
            <w:noWrap/>
            <w:hideMark/>
          </w:tcPr>
          <w:p w:rsidR="00FC7550" w:rsidRPr="00060B4F" w:rsidRDefault="00FC7550" w:rsidP="003C7497">
            <w:r w:rsidRPr="00060B4F">
              <w:t>3.03E+08</w:t>
            </w:r>
          </w:p>
        </w:tc>
        <w:tc>
          <w:tcPr>
            <w:tcW w:w="478" w:type="dxa"/>
            <w:noWrap/>
            <w:hideMark/>
          </w:tcPr>
          <w:p w:rsidR="00FC7550" w:rsidRPr="00060B4F" w:rsidRDefault="00FC7550" w:rsidP="003C7497">
            <w:r w:rsidRPr="00060B4F">
              <w:t>A</w:t>
            </w:r>
          </w:p>
        </w:tc>
        <w:tc>
          <w:tcPr>
            <w:tcW w:w="627" w:type="dxa"/>
            <w:noWrap/>
            <w:hideMark/>
          </w:tcPr>
          <w:p w:rsidR="00FC7550" w:rsidRPr="00060B4F" w:rsidRDefault="00FC7550" w:rsidP="003C7497">
            <w:r w:rsidRPr="00060B4F">
              <w:t>ADD</w:t>
            </w:r>
          </w:p>
        </w:tc>
        <w:tc>
          <w:tcPr>
            <w:tcW w:w="793" w:type="dxa"/>
            <w:noWrap/>
            <w:hideMark/>
          </w:tcPr>
          <w:p w:rsidR="00FC7550" w:rsidRPr="00060B4F" w:rsidRDefault="00FC7550" w:rsidP="003C7497">
            <w:r w:rsidRPr="00060B4F">
              <w:t>17105</w:t>
            </w:r>
          </w:p>
        </w:tc>
        <w:tc>
          <w:tcPr>
            <w:tcW w:w="695" w:type="dxa"/>
            <w:noWrap/>
            <w:hideMark/>
          </w:tcPr>
          <w:p w:rsidR="00FC7550" w:rsidRPr="00060B4F" w:rsidRDefault="00FC7550" w:rsidP="003C7497">
            <w:r w:rsidRPr="00060B4F">
              <w:t>1.539</w:t>
            </w:r>
          </w:p>
        </w:tc>
        <w:tc>
          <w:tcPr>
            <w:tcW w:w="928" w:type="dxa"/>
            <w:noWrap/>
            <w:hideMark/>
          </w:tcPr>
          <w:p w:rsidR="00FC7550" w:rsidRPr="00060B4F" w:rsidRDefault="00FC7550" w:rsidP="003C7497">
            <w:r w:rsidRPr="00060B4F">
              <w:t>0.04352</w:t>
            </w:r>
          </w:p>
        </w:tc>
        <w:tc>
          <w:tcPr>
            <w:tcW w:w="695" w:type="dxa"/>
            <w:noWrap/>
            <w:hideMark/>
          </w:tcPr>
          <w:p w:rsidR="00FC7550" w:rsidRPr="00060B4F" w:rsidRDefault="00FC7550" w:rsidP="003C7497">
            <w:r w:rsidRPr="00060B4F">
              <w:t>1.413</w:t>
            </w:r>
          </w:p>
        </w:tc>
        <w:tc>
          <w:tcPr>
            <w:tcW w:w="769" w:type="dxa"/>
            <w:noWrap/>
            <w:hideMark/>
          </w:tcPr>
          <w:p w:rsidR="00FC7550" w:rsidRPr="00060B4F" w:rsidRDefault="00FC7550" w:rsidP="003C7497">
            <w:r w:rsidRPr="00060B4F">
              <w:t>1.676</w:t>
            </w:r>
          </w:p>
        </w:tc>
        <w:tc>
          <w:tcPr>
            <w:tcW w:w="797" w:type="dxa"/>
            <w:noWrap/>
            <w:hideMark/>
          </w:tcPr>
          <w:p w:rsidR="00FC7550" w:rsidRPr="00060B4F" w:rsidRDefault="00FC7550" w:rsidP="003C7497">
            <w:r w:rsidRPr="00060B4F">
              <w:t>9.9</w:t>
            </w:r>
          </w:p>
        </w:tc>
        <w:tc>
          <w:tcPr>
            <w:tcW w:w="977" w:type="dxa"/>
            <w:noWrap/>
            <w:hideMark/>
          </w:tcPr>
          <w:p w:rsidR="00FC7550" w:rsidRPr="00060B4F" w:rsidRDefault="00FC7550" w:rsidP="003C7497">
            <w:r w:rsidRPr="00060B4F">
              <w:t>4.15E-23</w:t>
            </w:r>
          </w:p>
        </w:tc>
      </w:tr>
      <w:tr w:rsidR="00FC7550" w:rsidRPr="00060B4F" w:rsidTr="003C7497">
        <w:trPr>
          <w:trHeight w:val="300"/>
        </w:trPr>
        <w:tc>
          <w:tcPr>
            <w:tcW w:w="579" w:type="dxa"/>
            <w:noWrap/>
            <w:hideMark/>
          </w:tcPr>
          <w:p w:rsidR="00FC7550" w:rsidRPr="00060B4F" w:rsidRDefault="00FC7550" w:rsidP="003C7497">
            <w:r w:rsidRPr="00060B4F">
              <w:t>1</w:t>
            </w:r>
          </w:p>
        </w:tc>
        <w:tc>
          <w:tcPr>
            <w:tcW w:w="1117" w:type="dxa"/>
            <w:noWrap/>
            <w:hideMark/>
          </w:tcPr>
          <w:p w:rsidR="00FC7550" w:rsidRPr="00060B4F" w:rsidRDefault="00FC7550" w:rsidP="003C7497">
            <w:r w:rsidRPr="00060B4F">
              <w:t>rs3239164</w:t>
            </w:r>
          </w:p>
        </w:tc>
        <w:tc>
          <w:tcPr>
            <w:tcW w:w="1009" w:type="dxa"/>
            <w:noWrap/>
            <w:hideMark/>
          </w:tcPr>
          <w:p w:rsidR="00FC7550" w:rsidRPr="00060B4F" w:rsidRDefault="00FC7550" w:rsidP="003C7497">
            <w:r w:rsidRPr="00060B4F">
              <w:t>3.03E+08</w:t>
            </w:r>
          </w:p>
        </w:tc>
        <w:tc>
          <w:tcPr>
            <w:tcW w:w="478" w:type="dxa"/>
            <w:noWrap/>
            <w:hideMark/>
          </w:tcPr>
          <w:p w:rsidR="00FC7550" w:rsidRPr="00060B4F" w:rsidRDefault="00FC7550" w:rsidP="003C7497">
            <w:r w:rsidRPr="00060B4F">
              <w:t>T</w:t>
            </w:r>
          </w:p>
        </w:tc>
        <w:tc>
          <w:tcPr>
            <w:tcW w:w="627" w:type="dxa"/>
            <w:noWrap/>
            <w:hideMark/>
          </w:tcPr>
          <w:p w:rsidR="00FC7550" w:rsidRPr="00060B4F" w:rsidRDefault="00FC7550" w:rsidP="003C7497">
            <w:r w:rsidRPr="00060B4F">
              <w:t>ADD</w:t>
            </w:r>
          </w:p>
        </w:tc>
        <w:tc>
          <w:tcPr>
            <w:tcW w:w="793" w:type="dxa"/>
            <w:noWrap/>
            <w:hideMark/>
          </w:tcPr>
          <w:p w:rsidR="00FC7550" w:rsidRPr="00060B4F" w:rsidRDefault="00FC7550" w:rsidP="003C7497">
            <w:r w:rsidRPr="00060B4F">
              <w:t>17105</w:t>
            </w:r>
          </w:p>
        </w:tc>
        <w:tc>
          <w:tcPr>
            <w:tcW w:w="695" w:type="dxa"/>
            <w:noWrap/>
            <w:hideMark/>
          </w:tcPr>
          <w:p w:rsidR="00FC7550" w:rsidRPr="00060B4F" w:rsidRDefault="00FC7550" w:rsidP="003C7497">
            <w:r w:rsidRPr="00060B4F">
              <w:t>1.507</w:t>
            </w:r>
          </w:p>
        </w:tc>
        <w:tc>
          <w:tcPr>
            <w:tcW w:w="928" w:type="dxa"/>
            <w:noWrap/>
            <w:hideMark/>
          </w:tcPr>
          <w:p w:rsidR="00FC7550" w:rsidRPr="00060B4F" w:rsidRDefault="00FC7550" w:rsidP="003C7497">
            <w:r w:rsidRPr="00060B4F">
              <w:t>0.04221</w:t>
            </w:r>
          </w:p>
        </w:tc>
        <w:tc>
          <w:tcPr>
            <w:tcW w:w="695" w:type="dxa"/>
            <w:noWrap/>
            <w:hideMark/>
          </w:tcPr>
          <w:p w:rsidR="00FC7550" w:rsidRPr="00060B4F" w:rsidRDefault="00FC7550" w:rsidP="003C7497">
            <w:r w:rsidRPr="00060B4F">
              <w:t>1.388</w:t>
            </w:r>
          </w:p>
        </w:tc>
        <w:tc>
          <w:tcPr>
            <w:tcW w:w="769" w:type="dxa"/>
            <w:noWrap/>
            <w:hideMark/>
          </w:tcPr>
          <w:p w:rsidR="00FC7550" w:rsidRPr="00060B4F" w:rsidRDefault="00FC7550" w:rsidP="003C7497">
            <w:r w:rsidRPr="00060B4F">
              <w:t>1.637</w:t>
            </w:r>
          </w:p>
        </w:tc>
        <w:tc>
          <w:tcPr>
            <w:tcW w:w="797" w:type="dxa"/>
            <w:noWrap/>
            <w:hideMark/>
          </w:tcPr>
          <w:p w:rsidR="00FC7550" w:rsidRPr="00060B4F" w:rsidRDefault="00FC7550" w:rsidP="003C7497">
            <w:r w:rsidRPr="00060B4F">
              <w:t>9.722</w:t>
            </w:r>
          </w:p>
        </w:tc>
        <w:tc>
          <w:tcPr>
            <w:tcW w:w="977" w:type="dxa"/>
            <w:noWrap/>
            <w:hideMark/>
          </w:tcPr>
          <w:p w:rsidR="00FC7550" w:rsidRPr="00060B4F" w:rsidRDefault="00FC7550" w:rsidP="003C7497">
            <w:r w:rsidRPr="00060B4F">
              <w:t>2.44E-22</w:t>
            </w:r>
          </w:p>
        </w:tc>
      </w:tr>
    </w:tbl>
    <w:p w:rsidR="00FC7550" w:rsidRDefault="00FC7550" w:rsidP="0085708F">
      <w:pPr>
        <w:rPr>
          <w:rFonts w:ascii="Leelawadee" w:hAnsi="Leelawadee" w:cs="Leelawadee"/>
        </w:rPr>
      </w:pPr>
    </w:p>
    <w:p w:rsidR="0085708F" w:rsidRDefault="00D5379A" w:rsidP="0085708F">
      <w:pPr>
        <w:rPr>
          <w:rFonts w:ascii="Leelawadee" w:hAnsi="Leelawadee" w:cs="Leelawadee"/>
        </w:rPr>
      </w:pPr>
      <w:r>
        <w:rPr>
          <w:noProof/>
        </w:rPr>
        <w:lastRenderedPageBreak/>
        <w:drawing>
          <wp:inline distT="0" distB="0" distL="0" distR="0" wp14:anchorId="66B74B3D" wp14:editId="20CE464B">
            <wp:extent cx="5731510" cy="44056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731510" cy="4405630"/>
                    </a:xfrm>
                    <a:prstGeom prst="rect">
                      <a:avLst/>
                    </a:prstGeom>
                  </pic:spPr>
                </pic:pic>
              </a:graphicData>
            </a:graphic>
          </wp:inline>
        </w:drawing>
      </w:r>
    </w:p>
    <w:p w:rsidR="0085708F" w:rsidRPr="000154B8" w:rsidRDefault="0085708F" w:rsidP="000C01C6">
      <w:pPr>
        <w:rPr>
          <w:rFonts w:ascii="Leelawadee" w:hAnsi="Leelawadee" w:cs="Leelawadee"/>
        </w:rPr>
      </w:pPr>
    </w:p>
    <w:p w:rsidR="00CF45E6" w:rsidRPr="005129A5" w:rsidRDefault="00CF45E6">
      <w:pPr>
        <w:rPr>
          <w:rFonts w:ascii="Leelawadee" w:hAnsi="Leelawadee" w:cs="Leelawadee"/>
        </w:rPr>
      </w:pPr>
    </w:p>
    <w:p w:rsidR="00CF45E6" w:rsidRDefault="00CF45E6">
      <w:pPr>
        <w:rPr>
          <w:rFonts w:ascii="Helvetica" w:hAnsi="Helvetica" w:cs="Helvetica"/>
          <w:sz w:val="48"/>
          <w:szCs w:val="48"/>
        </w:rPr>
      </w:pPr>
    </w:p>
    <w:p w:rsidR="00CF45E6" w:rsidRPr="009D7877" w:rsidRDefault="00CF45E6">
      <w:pPr>
        <w:rPr>
          <w:rFonts w:ascii="Leelawadee" w:hAnsi="Leelawadee" w:cs="Leelawadee"/>
          <w:sz w:val="48"/>
          <w:szCs w:val="48"/>
        </w:rPr>
      </w:pPr>
    </w:p>
    <w:p w:rsidR="00CF45E6" w:rsidRDefault="00CF45E6">
      <w:pPr>
        <w:rPr>
          <w:rFonts w:ascii="Helvetica" w:hAnsi="Helvetica" w:cs="Helvetica"/>
          <w:sz w:val="48"/>
          <w:szCs w:val="48"/>
        </w:rPr>
      </w:pPr>
    </w:p>
    <w:p w:rsidR="00CF45E6" w:rsidRDefault="00CF45E6">
      <w:pPr>
        <w:rPr>
          <w:rFonts w:ascii="Helvetica" w:hAnsi="Helvetica" w:cs="Helvetica"/>
          <w:sz w:val="48"/>
          <w:szCs w:val="48"/>
        </w:rPr>
      </w:pPr>
    </w:p>
    <w:p w:rsidR="00CF45E6" w:rsidRPr="008575FB" w:rsidRDefault="00CF45E6">
      <w:pPr>
        <w:rPr>
          <w:rFonts w:ascii="Leelawadee" w:hAnsi="Leelawadee" w:cs="Leelawadee"/>
          <w:sz w:val="24"/>
          <w:szCs w:val="24"/>
        </w:rPr>
      </w:pPr>
    </w:p>
    <w:p w:rsidR="009D7877" w:rsidRDefault="009D7877" w:rsidP="00901F1B">
      <w:pPr>
        <w:rPr>
          <w:rFonts w:ascii="Helvetica" w:hAnsi="Helvetica" w:cs="Helvetica"/>
          <w:sz w:val="48"/>
          <w:szCs w:val="48"/>
        </w:rPr>
      </w:pPr>
    </w:p>
    <w:p w:rsidR="009D7877" w:rsidRDefault="009D7877" w:rsidP="00901F1B">
      <w:pPr>
        <w:rPr>
          <w:rFonts w:ascii="Helvetica" w:hAnsi="Helvetica" w:cs="Helvetica"/>
          <w:sz w:val="48"/>
          <w:szCs w:val="48"/>
        </w:rPr>
      </w:pPr>
    </w:p>
    <w:p w:rsidR="00A532D0" w:rsidRDefault="00A532D0" w:rsidP="00901F1B">
      <w:pPr>
        <w:rPr>
          <w:rFonts w:ascii="Helvetica" w:hAnsi="Helvetica" w:cs="Helvetica"/>
          <w:sz w:val="48"/>
          <w:szCs w:val="48"/>
        </w:rPr>
      </w:pPr>
    </w:p>
    <w:p w:rsidR="00901F1B" w:rsidRDefault="00901F1B" w:rsidP="00901F1B">
      <w:pPr>
        <w:rPr>
          <w:rFonts w:ascii="Helvetica" w:hAnsi="Helvetica" w:cs="Helvetica"/>
          <w:sz w:val="48"/>
          <w:szCs w:val="48"/>
        </w:rPr>
      </w:pPr>
      <w:r>
        <w:rPr>
          <w:rFonts w:ascii="Helvetica" w:hAnsi="Helvetica" w:cs="Helvetica"/>
          <w:sz w:val="48"/>
          <w:szCs w:val="48"/>
        </w:rPr>
        <w:lastRenderedPageBreak/>
        <w:t>Part C</w:t>
      </w:r>
    </w:p>
    <w:p w:rsidR="00901F1B" w:rsidRDefault="00901F1B" w:rsidP="00901F1B"/>
    <w:p w:rsidR="00901F1B" w:rsidRPr="00901F1B" w:rsidRDefault="00901F1B" w:rsidP="00C945D3">
      <w:pPr>
        <w:spacing w:line="360" w:lineRule="auto"/>
        <w:rPr>
          <w:rFonts w:ascii="Leelawadee" w:hAnsi="Leelawadee" w:cs="Leelawadee"/>
        </w:rPr>
      </w:pPr>
      <w:r w:rsidRPr="00901F1B">
        <w:rPr>
          <w:rFonts w:ascii="Leelawadee" w:hAnsi="Leelawadee" w:cs="Leelawadee"/>
        </w:rPr>
        <w:t>This section of the report presents the findings, and investigative procedure, of genotypic association analyses for four sets of data. The results of these analyses are summarized using Manhattan plots, and quantile-quantile(QQ) plots (</w:t>
      </w:r>
      <w:r w:rsidR="00A532D0" w:rsidRPr="00A532D0">
        <w:rPr>
          <w:rFonts w:ascii="Leelawadee" w:hAnsi="Leelawadee" w:cs="Leelawadee"/>
        </w:rPr>
        <w:t>Figure 1, 2, 3, and 4</w:t>
      </w:r>
      <w:r w:rsidRPr="00901F1B">
        <w:rPr>
          <w:rFonts w:ascii="Leelawadee" w:hAnsi="Leelawadee" w:cs="Leelawadee"/>
        </w:rPr>
        <w:t xml:space="preserve">).  Each set of data contains the genotype of several single-nucleotide polymorphisms (SNPs) for an independent chromosome. The SNPs on two of these chromosomes are analysed for association to a quantitative trait, while those on the other two are analysed for association to a dichotomous trait. </w:t>
      </w:r>
    </w:p>
    <w:p w:rsidR="00901F1B" w:rsidRPr="00901F1B" w:rsidRDefault="00901F1B" w:rsidP="00C945D3">
      <w:pPr>
        <w:spacing w:line="360" w:lineRule="auto"/>
        <w:rPr>
          <w:rFonts w:ascii="Leelawadee" w:hAnsi="Leelawadee" w:cs="Leelawadee"/>
          <w:sz w:val="24"/>
          <w:szCs w:val="24"/>
        </w:rPr>
      </w:pPr>
    </w:p>
    <w:p w:rsidR="00901F1B" w:rsidRPr="00901F1B" w:rsidRDefault="00901F1B" w:rsidP="00C945D3">
      <w:pPr>
        <w:spacing w:line="360" w:lineRule="auto"/>
        <w:rPr>
          <w:rFonts w:ascii="Leelawadee" w:hAnsi="Leelawadee" w:cs="Leelawadee"/>
          <w:b/>
          <w:bCs/>
          <w:sz w:val="32"/>
          <w:szCs w:val="32"/>
        </w:rPr>
      </w:pPr>
      <w:r w:rsidRPr="00901F1B">
        <w:rPr>
          <w:rFonts w:ascii="Leelawadee" w:hAnsi="Leelawadee" w:cs="Leelawadee"/>
          <w:b/>
          <w:bCs/>
          <w:sz w:val="32"/>
          <w:szCs w:val="32"/>
        </w:rPr>
        <w:t xml:space="preserve">Association analyses  </w:t>
      </w:r>
    </w:p>
    <w:p w:rsidR="00901F1B" w:rsidRPr="00901F1B" w:rsidRDefault="00901F1B" w:rsidP="00C945D3">
      <w:pPr>
        <w:spacing w:line="360" w:lineRule="auto"/>
        <w:rPr>
          <w:rFonts w:ascii="Leelawadee" w:hAnsi="Leelawadee" w:cs="Leelawadee"/>
          <w:color w:val="FF0000"/>
        </w:rPr>
      </w:pPr>
      <w:r w:rsidRPr="00901F1B">
        <w:rPr>
          <w:rFonts w:ascii="Leelawadee" w:hAnsi="Leelawadee" w:cs="Leelawadee"/>
        </w:rPr>
        <w:t>The association analysis was run using the PLINK (</w:t>
      </w:r>
      <w:r w:rsidRPr="007B58CA">
        <w:rPr>
          <w:rFonts w:ascii="Leelawadee" w:hAnsi="Leelawadee" w:cs="Leelawadee"/>
          <w:u w:val="single"/>
        </w:rPr>
        <w:t>http://pngu.mgh.harvard.edu/purcell/plink/</w:t>
      </w:r>
      <w:r w:rsidRPr="00901F1B">
        <w:rPr>
          <w:rFonts w:ascii="Leelawadee" w:hAnsi="Leelawadee" w:cs="Leelawadee"/>
        </w:rPr>
        <w:t>) software on a UNIX operating system. Various quality control (QC) filters were included as part of the analyses in an attempt to reduce bias introduced by poor quality DNA, and genotyping errors. SNPs with a minor allele frequency (MAF) &lt; 0.01, a Hardy-Weinberg equilibrium p-value &lt; 10</w:t>
      </w:r>
      <w:r w:rsidRPr="00901F1B">
        <w:rPr>
          <w:rFonts w:ascii="Leelawadee" w:hAnsi="Leelawadee" w:cs="Leelawadee"/>
          <w:vertAlign w:val="superscript"/>
        </w:rPr>
        <w:t>-6</w:t>
      </w:r>
      <w:r w:rsidRPr="00901F1B">
        <w:rPr>
          <w:rFonts w:ascii="Leelawadee" w:hAnsi="Leelawadee" w:cs="Leelawadee"/>
        </w:rPr>
        <w:t xml:space="preserve">, and a missing genotype rate &gt; 0.1, were filtered from the analyses. Individuals with missing genotype rates &gt; 0.05 were also filtered from the analyses. The statistical threshold for this study was set to the </w:t>
      </w:r>
      <w:proofErr w:type="spellStart"/>
      <w:r w:rsidRPr="00901F1B">
        <w:rPr>
          <w:rFonts w:ascii="Leelawadee" w:hAnsi="Leelawadee" w:cs="Leelawadee"/>
        </w:rPr>
        <w:t>Bonferroni</w:t>
      </w:r>
      <w:proofErr w:type="spellEnd"/>
      <w:r w:rsidRPr="00901F1B">
        <w:rPr>
          <w:rFonts w:ascii="Leelawadee" w:hAnsi="Leelawadee" w:cs="Leelawadee"/>
        </w:rPr>
        <w:t>-corrected type on error rate (5 x 10</w:t>
      </w:r>
      <w:r w:rsidRPr="00901F1B">
        <w:rPr>
          <w:rFonts w:ascii="Leelawadee" w:hAnsi="Leelawadee" w:cs="Leelawadee"/>
          <w:vertAlign w:val="superscript"/>
        </w:rPr>
        <w:t>-8</w:t>
      </w:r>
      <w:r w:rsidRPr="00901F1B">
        <w:rPr>
          <w:rFonts w:ascii="Leelawadee" w:hAnsi="Leelawadee" w:cs="Leelawadee"/>
        </w:rPr>
        <w:t>).</w:t>
      </w:r>
    </w:p>
    <w:p w:rsidR="00901F1B" w:rsidRPr="007B58CA" w:rsidRDefault="00901F1B" w:rsidP="00C945D3">
      <w:pPr>
        <w:spacing w:line="360" w:lineRule="auto"/>
        <w:rPr>
          <w:rFonts w:ascii="Leelawadee" w:hAnsi="Leelawadee" w:cs="Leelawadee"/>
        </w:rPr>
      </w:pPr>
    </w:p>
    <w:p w:rsidR="00901F1B" w:rsidRPr="00901F1B" w:rsidRDefault="00901F1B" w:rsidP="00C945D3">
      <w:pPr>
        <w:spacing w:line="360" w:lineRule="auto"/>
        <w:rPr>
          <w:rFonts w:ascii="Leelawadee" w:hAnsi="Leelawadee" w:cs="Leelawadee"/>
        </w:rPr>
      </w:pPr>
      <w:r w:rsidRPr="007B58CA">
        <w:rPr>
          <w:rFonts w:ascii="Leelawadee" w:hAnsi="Leelawadee" w:cs="Leelawadee"/>
        </w:rPr>
        <w:t>Quantitative trait analyses</w:t>
      </w:r>
    </w:p>
    <w:p w:rsidR="00901F1B" w:rsidRPr="00901F1B" w:rsidRDefault="00901F1B" w:rsidP="00C945D3">
      <w:pPr>
        <w:spacing w:line="360" w:lineRule="auto"/>
        <w:rPr>
          <w:rFonts w:ascii="Leelawadee" w:hAnsi="Leelawadee" w:cs="Leelawadee"/>
        </w:rPr>
      </w:pPr>
      <w:r w:rsidRPr="00901F1B">
        <w:rPr>
          <w:rFonts w:ascii="Leelawadee" w:hAnsi="Leelawadee" w:cs="Leelawadee"/>
        </w:rPr>
        <w:t>The quantitative trait was analysed using a linear regression under a model of additive allelic effect. A total of 22030 (10487 males, and 11543 females) individuals were used in this study, all of which passed the filters. 13430 SNP variants were analysed for chromosome 1, of which 13195 passed the filters (235 removed due to MAF threshold). 1626 SNP variants were analysed for chromosome 2, of which 1595 passed the filters (31 removed due to MAF threshold). After the running the analyses, PLINK provides a file with the results. This file was exported to the R- statistical software, and used to design a Manhattan plot (</w:t>
      </w:r>
      <w:r w:rsidR="00281488" w:rsidRPr="007B58CA">
        <w:rPr>
          <w:rFonts w:ascii="Leelawadee" w:hAnsi="Leelawadee" w:cs="Leelawadee"/>
        </w:rPr>
        <w:t>Figure 1</w:t>
      </w:r>
      <w:r w:rsidR="00B40AC3" w:rsidRPr="007B58CA">
        <w:rPr>
          <w:rFonts w:ascii="Leelawadee" w:hAnsi="Leelawadee" w:cs="Leelawadee"/>
        </w:rPr>
        <w:t>a</w:t>
      </w:r>
      <w:r w:rsidRPr="00901F1B">
        <w:rPr>
          <w:rFonts w:ascii="Leelawadee" w:hAnsi="Leelawadee" w:cs="Leelawadee"/>
        </w:rPr>
        <w:t>). This plot is the representation of the association analyses result. The R-software was also used to construct a QQ plot from the data</w:t>
      </w:r>
      <w:r w:rsidR="00B40AC3" w:rsidRPr="007B58CA">
        <w:rPr>
          <w:rFonts w:ascii="Leelawadee" w:hAnsi="Leelawadee" w:cs="Leelawadee"/>
        </w:rPr>
        <w:t xml:space="preserve"> (Figure 1b)</w:t>
      </w:r>
      <w:r w:rsidRPr="00901F1B">
        <w:rPr>
          <w:rFonts w:ascii="Leelawadee" w:hAnsi="Leelawadee" w:cs="Leelawadee"/>
        </w:rPr>
        <w:t xml:space="preserve">. This plot allows us to examine our association study results for systematic errors. </w:t>
      </w:r>
    </w:p>
    <w:p w:rsidR="00901F1B" w:rsidRPr="007B58CA" w:rsidRDefault="00901F1B" w:rsidP="00681DCE">
      <w:pPr>
        <w:spacing w:line="360" w:lineRule="auto"/>
        <w:rPr>
          <w:rFonts w:ascii="Leelawadee" w:hAnsi="Leelawadee" w:cs="Leelawadee"/>
        </w:rPr>
      </w:pPr>
      <w:r w:rsidRPr="00901F1B">
        <w:rPr>
          <w:rFonts w:ascii="Leelawadee" w:hAnsi="Leelawadee" w:cs="Leelawadee"/>
        </w:rPr>
        <w:lastRenderedPageBreak/>
        <w:t>Five loci on chromosome 1 were observed to have significant associations with the quantitative trait (</w:t>
      </w:r>
      <w:r w:rsidR="00281488" w:rsidRPr="007B58CA">
        <w:rPr>
          <w:rFonts w:ascii="Leelawadee" w:hAnsi="Leelawadee" w:cs="Leelawadee"/>
        </w:rPr>
        <w:t>Figure 1</w:t>
      </w:r>
      <w:r w:rsidRPr="00901F1B">
        <w:rPr>
          <w:rFonts w:ascii="Leelawadee" w:hAnsi="Leelawadee" w:cs="Leelawadee"/>
        </w:rPr>
        <w:t>). No statistically significant loci were observed on chromosome 2</w:t>
      </w:r>
      <w:r w:rsidR="00B40AC3" w:rsidRPr="007B58CA">
        <w:rPr>
          <w:rFonts w:ascii="Leelawadee" w:hAnsi="Leelawadee" w:cs="Leelawadee"/>
        </w:rPr>
        <w:t xml:space="preserve"> (Figure 2</w:t>
      </w:r>
      <w:r w:rsidR="00C945D3" w:rsidRPr="007B58CA">
        <w:rPr>
          <w:rFonts w:ascii="Leelawadee" w:hAnsi="Leelawadee" w:cs="Leelawadee"/>
        </w:rPr>
        <w:t>a and b</w:t>
      </w:r>
      <w:r w:rsidR="00B40AC3" w:rsidRPr="007B58CA">
        <w:rPr>
          <w:rFonts w:ascii="Leelawadee" w:hAnsi="Leelawadee" w:cs="Leelawadee"/>
        </w:rPr>
        <w:t>)</w:t>
      </w:r>
      <w:r w:rsidRPr="00901F1B">
        <w:rPr>
          <w:rFonts w:ascii="Leelawadee" w:hAnsi="Leelawadee" w:cs="Leelawadee"/>
        </w:rPr>
        <w:t>. There was a total of 130 statistically significant SNPs (hits) across chromosome 1 (</w:t>
      </w:r>
      <w:r w:rsidR="00A532D0">
        <w:rPr>
          <w:rFonts w:ascii="Leelawadee" w:hAnsi="Leelawadee" w:cs="Leelawadee"/>
        </w:rPr>
        <w:t xml:space="preserve">table </w:t>
      </w:r>
      <w:r w:rsidR="00681DCE">
        <w:rPr>
          <w:rFonts w:ascii="Leelawadee" w:hAnsi="Leelawadee" w:cs="Leelawadee"/>
        </w:rPr>
        <w:t>too large to be shown</w:t>
      </w:r>
      <w:bookmarkStart w:id="0" w:name="_GoBack"/>
      <w:bookmarkEnd w:id="0"/>
      <w:r w:rsidRPr="00901F1B">
        <w:rPr>
          <w:rFonts w:ascii="Leelawadee" w:hAnsi="Leelawadee" w:cs="Leelawadee"/>
        </w:rPr>
        <w:t xml:space="preserve">). The hits in </w:t>
      </w:r>
      <w:r w:rsidR="00B40AC3" w:rsidRPr="007B58CA">
        <w:rPr>
          <w:rFonts w:ascii="Leelawadee" w:hAnsi="Leelawadee" w:cs="Leelawadee"/>
        </w:rPr>
        <w:t xml:space="preserve">the third and fifth </w:t>
      </w:r>
      <w:r w:rsidR="00681DCE" w:rsidRPr="007B58CA">
        <w:rPr>
          <w:rFonts w:ascii="Leelawadee" w:hAnsi="Leelawadee" w:cs="Leelawadee"/>
        </w:rPr>
        <w:t>locus and</w:t>
      </w:r>
      <w:r w:rsidR="00B40AC3" w:rsidRPr="007B58CA">
        <w:rPr>
          <w:rFonts w:ascii="Leelawadee" w:hAnsi="Leelawadee" w:cs="Leelawadee"/>
        </w:rPr>
        <w:t xml:space="preserve"> </w:t>
      </w:r>
      <w:r w:rsidRPr="00901F1B">
        <w:rPr>
          <w:rFonts w:ascii="Leelawadee" w:hAnsi="Leelawadee" w:cs="Leelawadee"/>
        </w:rPr>
        <w:t>are amongst those with the lowest p-value and the highest effect size.</w:t>
      </w:r>
      <w:r w:rsidR="00B40AC3" w:rsidRPr="007B58CA">
        <w:rPr>
          <w:rFonts w:ascii="Leelawadee" w:hAnsi="Leelawadee" w:cs="Leelawadee"/>
        </w:rPr>
        <w:t xml:space="preserve"> The top hit in fifth </w:t>
      </w:r>
      <w:r w:rsidR="00681DCE" w:rsidRPr="007B58CA">
        <w:rPr>
          <w:rFonts w:ascii="Leelawadee" w:hAnsi="Leelawadee" w:cs="Leelawadee"/>
        </w:rPr>
        <w:t xml:space="preserve">locus </w:t>
      </w:r>
      <w:r w:rsidR="00681DCE" w:rsidRPr="00901F1B">
        <w:rPr>
          <w:rFonts w:ascii="Leelawadee" w:hAnsi="Leelawadee" w:cs="Leelawadee"/>
        </w:rPr>
        <w:t>(</w:t>
      </w:r>
      <w:r w:rsidRPr="00901F1B">
        <w:rPr>
          <w:rFonts w:ascii="Leelawadee" w:hAnsi="Leelawadee" w:cs="Leelawadee"/>
        </w:rPr>
        <w:t xml:space="preserve">rs7278711) is also the top hit across the whole chromosome, with an effect size that falls within the confidence interval of the SNP with the highest effect size (rs7288230). </w:t>
      </w:r>
    </w:p>
    <w:p w:rsidR="00281488" w:rsidRDefault="00B40AC3" w:rsidP="00901F1B">
      <w:pPr>
        <w:rPr>
          <w:sz w:val="28"/>
          <w:szCs w:val="28"/>
        </w:rPr>
      </w:pPr>
      <w:r>
        <w:rPr>
          <w:noProof/>
        </w:rPr>
        <w:drawing>
          <wp:inline distT="0" distB="0" distL="0" distR="0" wp14:anchorId="25F6A3AF" wp14:editId="01F24134">
            <wp:extent cx="5731510" cy="4405801"/>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4405801"/>
                    </a:xfrm>
                    <a:prstGeom prst="rect">
                      <a:avLst/>
                    </a:prstGeom>
                  </pic:spPr>
                </pic:pic>
              </a:graphicData>
            </a:graphic>
          </wp:inline>
        </w:drawing>
      </w:r>
    </w:p>
    <w:p w:rsidR="00281488" w:rsidRPr="00281488" w:rsidRDefault="00281488" w:rsidP="00281488">
      <w:pPr>
        <w:rPr>
          <w:rFonts w:asciiTheme="majorBidi" w:hAnsiTheme="majorBidi" w:cstheme="majorBidi"/>
        </w:rPr>
      </w:pPr>
      <w:r>
        <w:rPr>
          <w:rFonts w:asciiTheme="majorBidi" w:hAnsiTheme="majorBidi" w:cstheme="majorBidi"/>
        </w:rPr>
        <w:t>Figure 1</w:t>
      </w:r>
      <w:r w:rsidR="00B40AC3">
        <w:rPr>
          <w:rFonts w:asciiTheme="majorBidi" w:hAnsiTheme="majorBidi" w:cstheme="majorBidi"/>
        </w:rPr>
        <w:t>a</w:t>
      </w:r>
      <w:r>
        <w:rPr>
          <w:rFonts w:asciiTheme="majorBidi" w:hAnsiTheme="majorBidi" w:cstheme="majorBidi"/>
        </w:rPr>
        <w:t>: Manhattan Plot of chromosome</w:t>
      </w:r>
      <w:r w:rsidR="00B40AC3">
        <w:rPr>
          <w:rFonts w:asciiTheme="majorBidi" w:hAnsiTheme="majorBidi" w:cstheme="majorBidi"/>
        </w:rPr>
        <w:t xml:space="preserve"> 1</w:t>
      </w:r>
      <w:r>
        <w:rPr>
          <w:rFonts w:asciiTheme="majorBidi" w:hAnsiTheme="majorBidi" w:cstheme="majorBidi"/>
        </w:rPr>
        <w:t xml:space="preserve"> for the quantitative trait analysis. The dots highlighted in green are those with p-values ≤ 5 x 10</w:t>
      </w:r>
      <w:r>
        <w:rPr>
          <w:rFonts w:asciiTheme="majorBidi" w:hAnsiTheme="majorBidi" w:cstheme="majorBidi"/>
          <w:vertAlign w:val="superscript"/>
        </w:rPr>
        <w:t>-8</w:t>
      </w:r>
      <w:r>
        <w:rPr>
          <w:rFonts w:asciiTheme="majorBidi" w:hAnsiTheme="majorBidi" w:cstheme="majorBidi"/>
        </w:rPr>
        <w:t xml:space="preserve"> (red </w:t>
      </w:r>
      <w:r w:rsidR="00B40AC3">
        <w:rPr>
          <w:rFonts w:asciiTheme="majorBidi" w:hAnsiTheme="majorBidi" w:cstheme="majorBidi"/>
        </w:rPr>
        <w:t>line). The blue</w:t>
      </w:r>
      <w:r>
        <w:rPr>
          <w:rFonts w:asciiTheme="majorBidi" w:hAnsiTheme="majorBidi" w:cstheme="majorBidi"/>
        </w:rPr>
        <w:t xml:space="preserve"> line represents the cut-off for the typically agreed p-value &lt;0.0</w:t>
      </w:r>
      <w:r w:rsidR="00D5379A">
        <w:rPr>
          <w:rFonts w:asciiTheme="majorBidi" w:hAnsiTheme="majorBidi" w:cstheme="majorBidi"/>
        </w:rPr>
        <w:t>000</w:t>
      </w:r>
      <w:r>
        <w:rPr>
          <w:rFonts w:asciiTheme="majorBidi" w:hAnsiTheme="majorBidi" w:cstheme="majorBidi"/>
        </w:rPr>
        <w:t>5.</w:t>
      </w:r>
    </w:p>
    <w:p w:rsidR="00281488" w:rsidRDefault="00281488" w:rsidP="00901F1B">
      <w:pPr>
        <w:rPr>
          <w:sz w:val="28"/>
          <w:szCs w:val="28"/>
        </w:rPr>
      </w:pPr>
    </w:p>
    <w:p w:rsidR="00281488" w:rsidRDefault="00281488" w:rsidP="00901F1B">
      <w:pPr>
        <w:rPr>
          <w:sz w:val="28"/>
          <w:szCs w:val="28"/>
        </w:rPr>
      </w:pPr>
    </w:p>
    <w:p w:rsidR="00281488" w:rsidRDefault="00B40AC3" w:rsidP="00901F1B">
      <w:pPr>
        <w:rPr>
          <w:sz w:val="28"/>
          <w:szCs w:val="28"/>
        </w:rPr>
      </w:pPr>
      <w:r>
        <w:rPr>
          <w:noProof/>
        </w:rPr>
        <w:lastRenderedPageBreak/>
        <w:drawing>
          <wp:anchor distT="0" distB="0" distL="114300" distR="114300" simplePos="0" relativeHeight="251658240" behindDoc="1" locked="0" layoutInCell="1" allowOverlap="1">
            <wp:simplePos x="0" y="0"/>
            <wp:positionH relativeFrom="column">
              <wp:posOffset>0</wp:posOffset>
            </wp:positionH>
            <wp:positionV relativeFrom="paragraph">
              <wp:posOffset>-3810</wp:posOffset>
            </wp:positionV>
            <wp:extent cx="3928124" cy="3019425"/>
            <wp:effectExtent l="0" t="0" r="0" b="0"/>
            <wp:wrapTight wrapText="bothSides">
              <wp:wrapPolygon edited="0">
                <wp:start x="0" y="0"/>
                <wp:lineTo x="0" y="21396"/>
                <wp:lineTo x="21474" y="21396"/>
                <wp:lineTo x="2147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928124" cy="3019425"/>
                    </a:xfrm>
                    <a:prstGeom prst="rect">
                      <a:avLst/>
                    </a:prstGeom>
                  </pic:spPr>
                </pic:pic>
              </a:graphicData>
            </a:graphic>
            <wp14:sizeRelH relativeFrom="page">
              <wp14:pctWidth>0</wp14:pctWidth>
            </wp14:sizeRelH>
            <wp14:sizeRelV relativeFrom="page">
              <wp14:pctHeight>0</wp14:pctHeight>
            </wp14:sizeRelV>
          </wp:anchor>
        </w:drawing>
      </w:r>
    </w:p>
    <w:p w:rsidR="00281488" w:rsidRDefault="00281488" w:rsidP="00901F1B">
      <w:pPr>
        <w:rPr>
          <w:sz w:val="28"/>
          <w:szCs w:val="28"/>
        </w:rPr>
      </w:pPr>
    </w:p>
    <w:p w:rsidR="00281488" w:rsidRPr="00B40AC3" w:rsidRDefault="00B40AC3" w:rsidP="00901F1B">
      <w:pPr>
        <w:rPr>
          <w:rFonts w:asciiTheme="majorBidi" w:hAnsiTheme="majorBidi" w:cstheme="majorBidi"/>
        </w:rPr>
      </w:pPr>
      <w:r w:rsidRPr="00B40AC3">
        <w:rPr>
          <w:rFonts w:asciiTheme="majorBidi" w:hAnsiTheme="majorBidi" w:cstheme="majorBidi"/>
        </w:rPr>
        <w:t>Figure 1b: a quantile-quantile plot of the p-values for the quantitative trait analyses (chromosome 1)</w:t>
      </w:r>
    </w:p>
    <w:p w:rsidR="00281488" w:rsidRDefault="00281488" w:rsidP="00901F1B">
      <w:pPr>
        <w:rPr>
          <w:sz w:val="28"/>
          <w:szCs w:val="28"/>
        </w:rPr>
      </w:pPr>
    </w:p>
    <w:p w:rsidR="00281488" w:rsidRDefault="00281488" w:rsidP="00901F1B">
      <w:pPr>
        <w:rPr>
          <w:sz w:val="28"/>
          <w:szCs w:val="28"/>
        </w:rPr>
      </w:pPr>
    </w:p>
    <w:p w:rsidR="00281488" w:rsidRDefault="00281488" w:rsidP="00901F1B">
      <w:pPr>
        <w:rPr>
          <w:sz w:val="28"/>
          <w:szCs w:val="28"/>
        </w:rPr>
      </w:pPr>
    </w:p>
    <w:p w:rsidR="00281488" w:rsidRDefault="00281488" w:rsidP="00901F1B">
      <w:pPr>
        <w:rPr>
          <w:sz w:val="28"/>
          <w:szCs w:val="28"/>
        </w:rPr>
      </w:pPr>
    </w:p>
    <w:p w:rsidR="00281488" w:rsidRDefault="00281488" w:rsidP="00901F1B">
      <w:pPr>
        <w:rPr>
          <w:sz w:val="28"/>
          <w:szCs w:val="28"/>
        </w:rPr>
      </w:pPr>
    </w:p>
    <w:p w:rsidR="00B40AC3" w:rsidRDefault="00B40AC3" w:rsidP="00901F1B">
      <w:pPr>
        <w:rPr>
          <w:sz w:val="28"/>
          <w:szCs w:val="28"/>
        </w:rPr>
      </w:pPr>
      <w:r w:rsidRPr="00B40AC3">
        <w:rPr>
          <w:rFonts w:ascii="Calibri" w:eastAsia="Calibri" w:hAnsi="Calibri" w:cs="Arial"/>
          <w:noProof/>
        </w:rPr>
        <w:drawing>
          <wp:inline distT="0" distB="0" distL="0" distR="0" wp14:anchorId="6371DAFE" wp14:editId="21EB3BE2">
            <wp:extent cx="4686300" cy="3602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2167" cy="3606720"/>
                    </a:xfrm>
                    <a:prstGeom prst="rect">
                      <a:avLst/>
                    </a:prstGeom>
                  </pic:spPr>
                </pic:pic>
              </a:graphicData>
            </a:graphic>
          </wp:inline>
        </w:drawing>
      </w:r>
    </w:p>
    <w:p w:rsidR="00B40AC3" w:rsidRPr="00B40AC3" w:rsidRDefault="00B40AC3" w:rsidP="00B40AC3">
      <w:pPr>
        <w:rPr>
          <w:rFonts w:asciiTheme="majorBidi" w:hAnsiTheme="majorBidi" w:cstheme="majorBidi"/>
        </w:rPr>
      </w:pPr>
      <w:r>
        <w:rPr>
          <w:rFonts w:asciiTheme="majorBidi" w:hAnsiTheme="majorBidi" w:cstheme="majorBidi"/>
        </w:rPr>
        <w:t>Figure 2</w:t>
      </w:r>
      <w:r w:rsidRPr="00B40AC3">
        <w:rPr>
          <w:rFonts w:asciiTheme="majorBidi" w:hAnsiTheme="majorBidi" w:cstheme="majorBidi"/>
        </w:rPr>
        <w:t>a: Manhattan Plot of chromosome</w:t>
      </w:r>
      <w:r>
        <w:rPr>
          <w:rFonts w:asciiTheme="majorBidi" w:hAnsiTheme="majorBidi" w:cstheme="majorBidi"/>
        </w:rPr>
        <w:t xml:space="preserve"> 2</w:t>
      </w:r>
      <w:r w:rsidRPr="00B40AC3">
        <w:rPr>
          <w:rFonts w:asciiTheme="majorBidi" w:hAnsiTheme="majorBidi" w:cstheme="majorBidi"/>
        </w:rPr>
        <w:t xml:space="preserve"> for the quantitative trait analysis. </w:t>
      </w:r>
      <w:r>
        <w:rPr>
          <w:rFonts w:asciiTheme="majorBidi" w:hAnsiTheme="majorBidi" w:cstheme="majorBidi"/>
        </w:rPr>
        <w:t>The red line represents the cut-off</w:t>
      </w:r>
      <w:r w:rsidRPr="00B40AC3">
        <w:rPr>
          <w:rFonts w:asciiTheme="majorBidi" w:hAnsiTheme="majorBidi" w:cstheme="majorBidi"/>
        </w:rPr>
        <w:t xml:space="preserve"> with p-values ≤ 5 x 10</w:t>
      </w:r>
      <w:r w:rsidRPr="00B40AC3">
        <w:rPr>
          <w:rFonts w:asciiTheme="majorBidi" w:hAnsiTheme="majorBidi" w:cstheme="majorBidi"/>
          <w:vertAlign w:val="superscript"/>
        </w:rPr>
        <w:t>-8</w:t>
      </w:r>
      <w:r w:rsidRPr="00B40AC3">
        <w:rPr>
          <w:rFonts w:asciiTheme="majorBidi" w:hAnsiTheme="majorBidi" w:cstheme="majorBidi"/>
        </w:rPr>
        <w:t>. The black line represents the cut-off for the typically agreed p-value &lt;0.0</w:t>
      </w:r>
      <w:r w:rsidR="00D5379A">
        <w:rPr>
          <w:rFonts w:asciiTheme="majorBidi" w:hAnsiTheme="majorBidi" w:cstheme="majorBidi"/>
        </w:rPr>
        <w:t>00</w:t>
      </w:r>
      <w:r w:rsidRPr="00B40AC3">
        <w:rPr>
          <w:rFonts w:asciiTheme="majorBidi" w:hAnsiTheme="majorBidi" w:cstheme="majorBidi"/>
        </w:rPr>
        <w:t>5.</w:t>
      </w:r>
    </w:p>
    <w:p w:rsidR="00B40AC3" w:rsidRDefault="00B40AC3" w:rsidP="00901F1B">
      <w:pPr>
        <w:rPr>
          <w:sz w:val="28"/>
          <w:szCs w:val="28"/>
        </w:rPr>
      </w:pPr>
    </w:p>
    <w:p w:rsidR="00B40AC3" w:rsidRDefault="00B40AC3" w:rsidP="00901F1B">
      <w:pPr>
        <w:rPr>
          <w:sz w:val="28"/>
          <w:szCs w:val="28"/>
        </w:rPr>
      </w:pPr>
      <w:r w:rsidRPr="00B40AC3">
        <w:rPr>
          <w:rFonts w:ascii="Calibri" w:eastAsia="Calibri" w:hAnsi="Calibri" w:cs="Arial"/>
          <w:noProof/>
        </w:rPr>
        <w:lastRenderedPageBreak/>
        <w:drawing>
          <wp:inline distT="0" distB="0" distL="0" distR="0" wp14:anchorId="21B6C015" wp14:editId="7AF3A8C3">
            <wp:extent cx="4027257" cy="3095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56164" cy="3117845"/>
                    </a:xfrm>
                    <a:prstGeom prst="rect">
                      <a:avLst/>
                    </a:prstGeom>
                  </pic:spPr>
                </pic:pic>
              </a:graphicData>
            </a:graphic>
          </wp:inline>
        </w:drawing>
      </w:r>
    </w:p>
    <w:p w:rsidR="00B40AC3" w:rsidRPr="00B40AC3" w:rsidRDefault="00B40AC3" w:rsidP="00B40AC3">
      <w:pPr>
        <w:rPr>
          <w:rFonts w:asciiTheme="majorBidi" w:hAnsiTheme="majorBidi" w:cstheme="majorBidi"/>
        </w:rPr>
      </w:pPr>
      <w:r>
        <w:rPr>
          <w:rFonts w:asciiTheme="majorBidi" w:hAnsiTheme="majorBidi" w:cstheme="majorBidi"/>
        </w:rPr>
        <w:t>Figure 2</w:t>
      </w:r>
      <w:r w:rsidRPr="00B40AC3">
        <w:rPr>
          <w:rFonts w:asciiTheme="majorBidi" w:hAnsiTheme="majorBidi" w:cstheme="majorBidi"/>
        </w:rPr>
        <w:t>b: a quantile-quantile plot of the p-values for the quantitat</w:t>
      </w:r>
      <w:r w:rsidR="00C945D3">
        <w:rPr>
          <w:rFonts w:asciiTheme="majorBidi" w:hAnsiTheme="majorBidi" w:cstheme="majorBidi"/>
        </w:rPr>
        <w:t>ive trait analyses (chromosome 2</w:t>
      </w:r>
      <w:r w:rsidRPr="00B40AC3">
        <w:rPr>
          <w:rFonts w:asciiTheme="majorBidi" w:hAnsiTheme="majorBidi" w:cstheme="majorBidi"/>
        </w:rPr>
        <w:t>)</w:t>
      </w:r>
    </w:p>
    <w:p w:rsidR="00B40AC3" w:rsidRDefault="00B40AC3" w:rsidP="00901F1B">
      <w:pPr>
        <w:rPr>
          <w:sz w:val="28"/>
          <w:szCs w:val="28"/>
        </w:rPr>
      </w:pPr>
    </w:p>
    <w:p w:rsidR="00B40AC3" w:rsidRDefault="00B40AC3" w:rsidP="00901F1B">
      <w:pPr>
        <w:rPr>
          <w:sz w:val="28"/>
          <w:szCs w:val="28"/>
        </w:rPr>
      </w:pPr>
    </w:p>
    <w:p w:rsidR="00901F1B" w:rsidRPr="007B58CA" w:rsidRDefault="00901F1B" w:rsidP="00FB23D5">
      <w:pPr>
        <w:spacing w:line="360" w:lineRule="auto"/>
        <w:rPr>
          <w:rFonts w:ascii="Leelawadee" w:hAnsi="Leelawadee" w:cs="Leelawadee"/>
        </w:rPr>
      </w:pPr>
      <w:r w:rsidRPr="007B58CA">
        <w:rPr>
          <w:rFonts w:ascii="Leelawadee" w:hAnsi="Leelawadee" w:cs="Leelawadee"/>
        </w:rPr>
        <w:t>Dichotomous trait analyses</w:t>
      </w:r>
    </w:p>
    <w:p w:rsidR="00901F1B" w:rsidRPr="00901F1B" w:rsidRDefault="00901F1B" w:rsidP="00FB23D5">
      <w:pPr>
        <w:spacing w:line="360" w:lineRule="auto"/>
        <w:rPr>
          <w:rFonts w:ascii="Leelawadee" w:hAnsi="Leelawadee" w:cs="Leelawadee"/>
        </w:rPr>
      </w:pPr>
      <w:r w:rsidRPr="00901F1B">
        <w:rPr>
          <w:rFonts w:ascii="Leelawadee" w:hAnsi="Leelawadee" w:cs="Leelawadee"/>
        </w:rPr>
        <w:t>The dichotomous trait was analysed using a logistic regression under a model of additive allelic effect. A total of 17105 (11516 males, and 5589 females) individuals were used in this study, all of which passed the filters. Among these phenotypes, 3003 were cases, and 14102 were controls. 15744 SNP variants were analysed for chromosome 1, of which 15449 passed the filters (295 removed due to MAF threshold). 19075 SNP variants were analysed for chromosome 2, of which 18696 passed the filters (379 removed due to MAF threshold). After the running the analyses, PLINK provides a file with the results. The summary plots (</w:t>
      </w:r>
      <w:r w:rsidR="00C945D3" w:rsidRPr="007B58CA">
        <w:rPr>
          <w:rFonts w:ascii="Leelawadee" w:hAnsi="Leelawadee" w:cs="Leelawadee"/>
        </w:rPr>
        <w:t>Figure 3 and Figure 4</w:t>
      </w:r>
      <w:r w:rsidRPr="00901F1B">
        <w:rPr>
          <w:rFonts w:ascii="Leelawadee" w:hAnsi="Leelawadee" w:cs="Leelawadee"/>
        </w:rPr>
        <w:t>) were generated in the same manner as for the quantitative trait study.</w:t>
      </w:r>
    </w:p>
    <w:p w:rsidR="00901F1B" w:rsidRPr="007B58CA" w:rsidRDefault="00901F1B" w:rsidP="00681DCE">
      <w:pPr>
        <w:spacing w:line="360" w:lineRule="auto"/>
        <w:rPr>
          <w:rFonts w:ascii="Leelawadee" w:hAnsi="Leelawadee" w:cs="Leelawadee"/>
        </w:rPr>
      </w:pPr>
      <w:r w:rsidRPr="00901F1B">
        <w:rPr>
          <w:rFonts w:ascii="Leelawadee" w:hAnsi="Leelawadee" w:cs="Leelawadee"/>
        </w:rPr>
        <w:t>Three loci on chromosome 1, and two loci on chromosome 2, were observed to have significant association with the dichotomous trait. There was a total of 87 hits across chromosome 1, and a total of 59 hits across chromosome 2. The minor alleles of all the hits across both chromosomes were shown to increase the risk of the trait (</w:t>
      </w:r>
      <w:r w:rsidR="00A532D0" w:rsidRPr="00A532D0">
        <w:rPr>
          <w:rFonts w:ascii="Leelawadee" w:hAnsi="Leelawadee" w:cs="Leelawadee"/>
        </w:rPr>
        <w:t xml:space="preserve">table </w:t>
      </w:r>
      <w:r w:rsidR="00681DCE">
        <w:rPr>
          <w:rFonts w:ascii="Leelawadee" w:hAnsi="Leelawadee" w:cs="Leelawadee"/>
        </w:rPr>
        <w:t>too large to be shown</w:t>
      </w:r>
      <w:r w:rsidRPr="00901F1B">
        <w:rPr>
          <w:rFonts w:ascii="Leelawadee" w:hAnsi="Leelawadee" w:cs="Leelawadee"/>
        </w:rPr>
        <w:t xml:space="preserve">). </w:t>
      </w:r>
    </w:p>
    <w:p w:rsidR="00C945D3" w:rsidRDefault="00C945D3" w:rsidP="00901F1B"/>
    <w:p w:rsidR="00C945D3" w:rsidRDefault="00C945D3" w:rsidP="00901F1B">
      <w:r w:rsidRPr="00C945D3">
        <w:rPr>
          <w:rFonts w:ascii="Calibri" w:eastAsia="Calibri" w:hAnsi="Calibri" w:cs="Arial"/>
          <w:noProof/>
        </w:rPr>
        <w:lastRenderedPageBreak/>
        <w:drawing>
          <wp:inline distT="0" distB="0" distL="0" distR="0" wp14:anchorId="1EE05AFE" wp14:editId="200F78D3">
            <wp:extent cx="5495925" cy="422454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506301" cy="4232519"/>
                    </a:xfrm>
                    <a:prstGeom prst="rect">
                      <a:avLst/>
                    </a:prstGeom>
                  </pic:spPr>
                </pic:pic>
              </a:graphicData>
            </a:graphic>
          </wp:inline>
        </w:drawing>
      </w:r>
    </w:p>
    <w:p w:rsidR="00C945D3" w:rsidRDefault="00C945D3" w:rsidP="00C945D3">
      <w:pPr>
        <w:rPr>
          <w:rFonts w:asciiTheme="majorBidi" w:hAnsiTheme="majorBidi" w:cstheme="majorBidi"/>
        </w:rPr>
      </w:pPr>
      <w:r>
        <w:rPr>
          <w:rFonts w:asciiTheme="majorBidi" w:hAnsiTheme="majorBidi" w:cstheme="majorBidi"/>
        </w:rPr>
        <w:t>Figure 3</w:t>
      </w:r>
      <w:r w:rsidRPr="00C945D3">
        <w:rPr>
          <w:rFonts w:asciiTheme="majorBidi" w:hAnsiTheme="majorBidi" w:cstheme="majorBidi"/>
        </w:rPr>
        <w:t xml:space="preserve">a: Manhattan Plot of chromosome 1 for the </w:t>
      </w:r>
      <w:r>
        <w:rPr>
          <w:rFonts w:asciiTheme="majorBidi" w:hAnsiTheme="majorBidi" w:cstheme="majorBidi"/>
        </w:rPr>
        <w:t>dichotomous</w:t>
      </w:r>
      <w:r w:rsidRPr="00C945D3">
        <w:rPr>
          <w:rFonts w:asciiTheme="majorBidi" w:hAnsiTheme="majorBidi" w:cstheme="majorBidi"/>
        </w:rPr>
        <w:t xml:space="preserve"> trait analysis. The dots highlighted in green are those with p-values ≤ 5 x 10</w:t>
      </w:r>
      <w:r w:rsidRPr="00C945D3">
        <w:rPr>
          <w:rFonts w:asciiTheme="majorBidi" w:hAnsiTheme="majorBidi" w:cstheme="majorBidi"/>
          <w:vertAlign w:val="superscript"/>
        </w:rPr>
        <w:t>-8</w:t>
      </w:r>
      <w:r w:rsidRPr="00C945D3">
        <w:rPr>
          <w:rFonts w:asciiTheme="majorBidi" w:hAnsiTheme="majorBidi" w:cstheme="majorBidi"/>
        </w:rPr>
        <w:t xml:space="preserve"> (red line). The blue line represents the cut-off for the typically agreed p-value &lt;0.0</w:t>
      </w:r>
      <w:r w:rsidR="00D5379A">
        <w:rPr>
          <w:rFonts w:asciiTheme="majorBidi" w:hAnsiTheme="majorBidi" w:cstheme="majorBidi"/>
        </w:rPr>
        <w:t>000</w:t>
      </w:r>
      <w:r w:rsidRPr="00C945D3">
        <w:rPr>
          <w:rFonts w:asciiTheme="majorBidi" w:hAnsiTheme="majorBidi" w:cstheme="majorBidi"/>
        </w:rPr>
        <w:t>5.</w:t>
      </w:r>
    </w:p>
    <w:p w:rsidR="00C945D3" w:rsidRPr="00C945D3" w:rsidRDefault="00C945D3" w:rsidP="00C945D3">
      <w:pPr>
        <w:rPr>
          <w:rFonts w:asciiTheme="majorBidi" w:hAnsiTheme="majorBidi" w:cstheme="majorBidi"/>
        </w:rPr>
      </w:pPr>
      <w:r w:rsidRPr="00C945D3">
        <w:rPr>
          <w:rFonts w:ascii="Calibri" w:eastAsia="Calibri" w:hAnsi="Calibri" w:cs="Arial"/>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-3175</wp:posOffset>
            </wp:positionV>
            <wp:extent cx="4027170" cy="30956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27170" cy="3095625"/>
                    </a:xfrm>
                    <a:prstGeom prst="rect">
                      <a:avLst/>
                    </a:prstGeom>
                  </pic:spPr>
                </pic:pic>
              </a:graphicData>
            </a:graphic>
            <wp14:sizeRelH relativeFrom="page">
              <wp14:pctWidth>0</wp14:pctWidth>
            </wp14:sizeRelH>
            <wp14:sizeRelV relativeFrom="page">
              <wp14:pctHeight>0</wp14:pctHeight>
            </wp14:sizeRelV>
          </wp:anchor>
        </w:drawing>
      </w:r>
    </w:p>
    <w:p w:rsidR="00C945D3" w:rsidRPr="00901F1B" w:rsidRDefault="00C945D3" w:rsidP="00901F1B"/>
    <w:p w:rsidR="00C945D3" w:rsidRPr="00B40AC3" w:rsidRDefault="00C945D3" w:rsidP="00C945D3">
      <w:pPr>
        <w:rPr>
          <w:rFonts w:asciiTheme="majorBidi" w:hAnsiTheme="majorBidi" w:cstheme="majorBidi"/>
        </w:rPr>
      </w:pPr>
      <w:r>
        <w:rPr>
          <w:rFonts w:asciiTheme="majorBidi" w:hAnsiTheme="majorBidi" w:cstheme="majorBidi"/>
        </w:rPr>
        <w:t>Figure 3</w:t>
      </w:r>
      <w:r w:rsidRPr="00B40AC3">
        <w:rPr>
          <w:rFonts w:asciiTheme="majorBidi" w:hAnsiTheme="majorBidi" w:cstheme="majorBidi"/>
        </w:rPr>
        <w:t xml:space="preserve">b: a quantile-quantile plot of the p-values for the </w:t>
      </w:r>
      <w:r>
        <w:rPr>
          <w:rFonts w:asciiTheme="majorBidi" w:hAnsiTheme="majorBidi" w:cstheme="majorBidi"/>
        </w:rPr>
        <w:t>dichotomous trait analyses (chromosome 1</w:t>
      </w:r>
      <w:r w:rsidRPr="00B40AC3">
        <w:rPr>
          <w:rFonts w:asciiTheme="majorBidi" w:hAnsiTheme="majorBidi" w:cstheme="majorBidi"/>
        </w:rPr>
        <w:t>)</w:t>
      </w:r>
    </w:p>
    <w:p w:rsidR="00C945D3" w:rsidRDefault="00C945D3" w:rsidP="00C945D3">
      <w:pPr>
        <w:rPr>
          <w:sz w:val="28"/>
          <w:szCs w:val="28"/>
        </w:rPr>
      </w:pPr>
    </w:p>
    <w:p w:rsidR="00C945D3" w:rsidRDefault="00C945D3" w:rsidP="00901F1B">
      <w:pPr>
        <w:rPr>
          <w:b/>
          <w:bCs/>
          <w:sz w:val="30"/>
          <w:szCs w:val="30"/>
        </w:rPr>
      </w:pPr>
    </w:p>
    <w:p w:rsidR="00C945D3" w:rsidRDefault="00C945D3" w:rsidP="00901F1B">
      <w:pPr>
        <w:rPr>
          <w:b/>
          <w:bCs/>
          <w:sz w:val="30"/>
          <w:szCs w:val="30"/>
        </w:rPr>
      </w:pPr>
    </w:p>
    <w:p w:rsidR="00C945D3" w:rsidRDefault="00C945D3" w:rsidP="00901F1B">
      <w:pPr>
        <w:rPr>
          <w:b/>
          <w:bCs/>
          <w:sz w:val="30"/>
          <w:szCs w:val="30"/>
        </w:rPr>
      </w:pPr>
    </w:p>
    <w:p w:rsidR="00C945D3" w:rsidRDefault="00C945D3" w:rsidP="00901F1B">
      <w:pPr>
        <w:rPr>
          <w:b/>
          <w:bCs/>
          <w:sz w:val="30"/>
          <w:szCs w:val="30"/>
        </w:rPr>
      </w:pPr>
    </w:p>
    <w:p w:rsidR="00C945D3" w:rsidRDefault="00C945D3" w:rsidP="00901F1B">
      <w:pPr>
        <w:rPr>
          <w:b/>
          <w:bCs/>
          <w:sz w:val="30"/>
          <w:szCs w:val="30"/>
        </w:rPr>
      </w:pPr>
    </w:p>
    <w:p w:rsidR="00C945D3" w:rsidRDefault="00C945D3" w:rsidP="00901F1B">
      <w:pPr>
        <w:rPr>
          <w:b/>
          <w:bCs/>
          <w:sz w:val="30"/>
          <w:szCs w:val="30"/>
        </w:rPr>
      </w:pPr>
    </w:p>
    <w:p w:rsidR="007359E8" w:rsidRDefault="007359E8" w:rsidP="00901F1B">
      <w:pPr>
        <w:rPr>
          <w:b/>
          <w:bCs/>
          <w:sz w:val="30"/>
          <w:szCs w:val="30"/>
        </w:rPr>
      </w:pPr>
      <w:r w:rsidRPr="007359E8">
        <w:rPr>
          <w:rFonts w:ascii="Calibri" w:eastAsia="Calibri" w:hAnsi="Calibri" w:cs="Arial"/>
          <w:noProof/>
        </w:rPr>
        <w:lastRenderedPageBreak/>
        <w:drawing>
          <wp:inline distT="0" distB="0" distL="0" distR="0" wp14:anchorId="052BA42D" wp14:editId="7646096B">
            <wp:extent cx="5731510" cy="44056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405630"/>
                    </a:xfrm>
                    <a:prstGeom prst="rect">
                      <a:avLst/>
                    </a:prstGeom>
                  </pic:spPr>
                </pic:pic>
              </a:graphicData>
            </a:graphic>
          </wp:inline>
        </w:drawing>
      </w:r>
    </w:p>
    <w:p w:rsidR="007359E8" w:rsidRDefault="007359E8" w:rsidP="007359E8">
      <w:pPr>
        <w:rPr>
          <w:rFonts w:asciiTheme="majorBidi" w:hAnsiTheme="majorBidi" w:cstheme="majorBidi"/>
        </w:rPr>
      </w:pPr>
      <w:r>
        <w:rPr>
          <w:rFonts w:asciiTheme="majorBidi" w:hAnsiTheme="majorBidi" w:cstheme="majorBidi"/>
        </w:rPr>
        <w:t>Figure 4</w:t>
      </w:r>
      <w:r w:rsidRPr="00C945D3">
        <w:rPr>
          <w:rFonts w:asciiTheme="majorBidi" w:hAnsiTheme="majorBidi" w:cstheme="majorBidi"/>
        </w:rPr>
        <w:t>a: Manhattan Plot of chromosome</w:t>
      </w:r>
      <w:r>
        <w:rPr>
          <w:rFonts w:asciiTheme="majorBidi" w:hAnsiTheme="majorBidi" w:cstheme="majorBidi"/>
        </w:rPr>
        <w:t xml:space="preserve"> 2</w:t>
      </w:r>
      <w:r w:rsidRPr="00C945D3">
        <w:rPr>
          <w:rFonts w:asciiTheme="majorBidi" w:hAnsiTheme="majorBidi" w:cstheme="majorBidi"/>
        </w:rPr>
        <w:t xml:space="preserve"> for the </w:t>
      </w:r>
      <w:r>
        <w:rPr>
          <w:rFonts w:asciiTheme="majorBidi" w:hAnsiTheme="majorBidi" w:cstheme="majorBidi"/>
        </w:rPr>
        <w:t>dichotomous</w:t>
      </w:r>
      <w:r w:rsidRPr="00C945D3">
        <w:rPr>
          <w:rFonts w:asciiTheme="majorBidi" w:hAnsiTheme="majorBidi" w:cstheme="majorBidi"/>
        </w:rPr>
        <w:t xml:space="preserve"> trait analysis. The dots highlighted in green are those with p-values ≤ 5 x 10</w:t>
      </w:r>
      <w:r w:rsidRPr="00C945D3">
        <w:rPr>
          <w:rFonts w:asciiTheme="majorBidi" w:hAnsiTheme="majorBidi" w:cstheme="majorBidi"/>
          <w:vertAlign w:val="superscript"/>
        </w:rPr>
        <w:t>-8</w:t>
      </w:r>
      <w:r w:rsidRPr="00C945D3">
        <w:rPr>
          <w:rFonts w:asciiTheme="majorBidi" w:hAnsiTheme="majorBidi" w:cstheme="majorBidi"/>
        </w:rPr>
        <w:t xml:space="preserve"> (red line). The blue line represents the cut-off for the typically agreed p-value &lt;0.0</w:t>
      </w:r>
      <w:r w:rsidR="00D5379A">
        <w:rPr>
          <w:rFonts w:asciiTheme="majorBidi" w:hAnsiTheme="majorBidi" w:cstheme="majorBidi"/>
        </w:rPr>
        <w:t>000</w:t>
      </w:r>
      <w:r w:rsidRPr="00C945D3">
        <w:rPr>
          <w:rFonts w:asciiTheme="majorBidi" w:hAnsiTheme="majorBidi" w:cstheme="majorBidi"/>
        </w:rPr>
        <w:t>5.</w:t>
      </w:r>
    </w:p>
    <w:p w:rsidR="007359E8" w:rsidRDefault="007359E8" w:rsidP="007359E8">
      <w:pPr>
        <w:rPr>
          <w:rFonts w:asciiTheme="majorBidi" w:hAnsiTheme="majorBidi" w:cstheme="majorBidi"/>
        </w:rPr>
      </w:pPr>
      <w:r w:rsidRPr="007359E8">
        <w:rPr>
          <w:rFonts w:ascii="Calibri" w:eastAsia="Calibri" w:hAnsi="Calibri" w:cs="Arial"/>
          <w:noProof/>
        </w:rPr>
        <w:drawing>
          <wp:inline distT="0" distB="0" distL="0" distR="0" wp14:anchorId="48544FB6" wp14:editId="6582C564">
            <wp:extent cx="3876675" cy="297987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96177" cy="2994867"/>
                    </a:xfrm>
                    <a:prstGeom prst="rect">
                      <a:avLst/>
                    </a:prstGeom>
                  </pic:spPr>
                </pic:pic>
              </a:graphicData>
            </a:graphic>
          </wp:inline>
        </w:drawing>
      </w:r>
    </w:p>
    <w:p w:rsidR="007359E8" w:rsidRPr="007359E8" w:rsidRDefault="00B45F70" w:rsidP="007359E8">
      <w:pPr>
        <w:rPr>
          <w:rFonts w:asciiTheme="majorBidi" w:hAnsiTheme="majorBidi" w:cstheme="majorBidi"/>
        </w:rPr>
      </w:pPr>
      <w:r>
        <w:rPr>
          <w:rFonts w:asciiTheme="majorBidi" w:hAnsiTheme="majorBidi" w:cstheme="majorBidi"/>
        </w:rPr>
        <w:t>Figure 4</w:t>
      </w:r>
      <w:r w:rsidR="007359E8" w:rsidRPr="007359E8">
        <w:rPr>
          <w:rFonts w:asciiTheme="majorBidi" w:hAnsiTheme="majorBidi" w:cstheme="majorBidi"/>
        </w:rPr>
        <w:t>b: a quantile-quantile plot of the p-values for the dichotom</w:t>
      </w:r>
      <w:r w:rsidR="007359E8">
        <w:rPr>
          <w:rFonts w:asciiTheme="majorBidi" w:hAnsiTheme="majorBidi" w:cstheme="majorBidi"/>
        </w:rPr>
        <w:t>ous trait analyses (chromosome 2</w:t>
      </w:r>
      <w:r w:rsidR="007359E8" w:rsidRPr="007359E8">
        <w:rPr>
          <w:rFonts w:asciiTheme="majorBidi" w:hAnsiTheme="majorBidi" w:cstheme="majorBidi"/>
        </w:rPr>
        <w:t>)</w:t>
      </w:r>
    </w:p>
    <w:p w:rsidR="007359E8" w:rsidRDefault="007359E8" w:rsidP="007359E8">
      <w:pPr>
        <w:rPr>
          <w:rFonts w:asciiTheme="majorBidi" w:hAnsiTheme="majorBidi" w:cstheme="majorBidi"/>
        </w:rPr>
      </w:pPr>
    </w:p>
    <w:p w:rsidR="00901F1B" w:rsidRPr="00901F1B" w:rsidRDefault="00901F1B" w:rsidP="00FB23D5">
      <w:pPr>
        <w:spacing w:line="360" w:lineRule="auto"/>
        <w:rPr>
          <w:rFonts w:ascii="Leelawadee" w:hAnsi="Leelawadee" w:cs="Leelawadee"/>
          <w:b/>
          <w:bCs/>
          <w:sz w:val="32"/>
          <w:szCs w:val="32"/>
        </w:rPr>
      </w:pPr>
      <w:r w:rsidRPr="00901F1B">
        <w:rPr>
          <w:rFonts w:ascii="Leelawadee" w:hAnsi="Leelawadee" w:cs="Leelawadee"/>
          <w:b/>
          <w:bCs/>
          <w:sz w:val="32"/>
          <w:szCs w:val="32"/>
        </w:rPr>
        <w:lastRenderedPageBreak/>
        <w:t>Single locus analysis</w:t>
      </w:r>
    </w:p>
    <w:p w:rsidR="00901F1B" w:rsidRPr="00901F1B" w:rsidRDefault="00901F1B" w:rsidP="00FB23D5">
      <w:pPr>
        <w:spacing w:line="360" w:lineRule="auto"/>
        <w:rPr>
          <w:rFonts w:ascii="Leelawadee" w:hAnsi="Leelawadee" w:cs="Leelawadee"/>
        </w:rPr>
      </w:pPr>
      <w:r w:rsidRPr="00901F1B">
        <w:rPr>
          <w:rFonts w:ascii="Leelawadee" w:hAnsi="Leelawadee" w:cs="Leelawadee"/>
        </w:rPr>
        <w:t xml:space="preserve">Further analysis on the loci of interest was hindered by the fact that the data sets used were simulated. If this was not the case, single SNPs could have been selected from each locus to establish patterns of linkage disequilibrium around its region. The selection of the SNP for regional LD analysis would have been based on a combination of its p-value and effect size. The pattern of LD can be observed with the use of a LD </w:t>
      </w:r>
      <w:proofErr w:type="spellStart"/>
      <w:r w:rsidRPr="00901F1B">
        <w:rPr>
          <w:rFonts w:ascii="Leelawadee" w:hAnsi="Leelawadee" w:cs="Leelawadee"/>
        </w:rPr>
        <w:t>heatmap</w:t>
      </w:r>
      <w:proofErr w:type="spellEnd"/>
      <w:r w:rsidRPr="00901F1B">
        <w:rPr>
          <w:rFonts w:ascii="Leelawadee" w:hAnsi="Leelawadee" w:cs="Leelawadee"/>
        </w:rPr>
        <w:t xml:space="preserve"> (</w:t>
      </w:r>
      <w:r w:rsidR="00EB1ABD" w:rsidRPr="007B58CA">
        <w:rPr>
          <w:rFonts w:ascii="Leelawadee" w:hAnsi="Leelawadee" w:cs="Leelawadee"/>
        </w:rPr>
        <w:t>Figure 5</w:t>
      </w:r>
      <w:r w:rsidRPr="00901F1B">
        <w:rPr>
          <w:rFonts w:ascii="Leelawadee" w:hAnsi="Leelawadee" w:cs="Leelawadee"/>
        </w:rPr>
        <w:t>). This diagram helps visualise</w:t>
      </w:r>
      <w:r w:rsidRPr="00901F1B">
        <w:rPr>
          <w:rFonts w:ascii="Leelawadee" w:hAnsi="Leelawadee" w:cs="Leelawadee"/>
          <w:color w:val="545454"/>
          <w:shd w:val="clear" w:color="auto" w:fill="FFFFFF"/>
        </w:rPr>
        <w:t xml:space="preserve"> </w:t>
      </w:r>
      <w:r w:rsidRPr="00901F1B">
        <w:rPr>
          <w:rFonts w:ascii="Leelawadee" w:hAnsi="Leelawadee" w:cs="Leelawadee"/>
          <w:shd w:val="clear" w:color="auto" w:fill="FFFFFF"/>
        </w:rPr>
        <w:t xml:space="preserve">the </w:t>
      </w:r>
      <w:r w:rsidRPr="00901F1B">
        <w:rPr>
          <w:rFonts w:ascii="Leelawadee" w:hAnsi="Leelawadee" w:cs="Leelawadee"/>
        </w:rPr>
        <w:t xml:space="preserve">pairwise LD measurements between SNPs in a specified genomic region. It allows for the observation of blocks of LD across a region. </w:t>
      </w:r>
      <w:proofErr w:type="spellStart"/>
      <w:r w:rsidRPr="00901F1B">
        <w:rPr>
          <w:rFonts w:ascii="Leelawadee" w:hAnsi="Leelawadee" w:cs="Leelawadee"/>
        </w:rPr>
        <w:t>Haploview</w:t>
      </w:r>
      <w:proofErr w:type="spellEnd"/>
      <w:r w:rsidRPr="00901F1B">
        <w:rPr>
          <w:rFonts w:ascii="Leelawadee" w:hAnsi="Leelawadee" w:cs="Leelawadee"/>
        </w:rPr>
        <w:t xml:space="preserve"> (</w:t>
      </w:r>
      <w:r w:rsidR="00B45F70" w:rsidRPr="007B58CA">
        <w:rPr>
          <w:rFonts w:ascii="Leelawadee" w:hAnsi="Leelawadee" w:cs="Leelawadee"/>
        </w:rPr>
        <w:t xml:space="preserve">Barret </w:t>
      </w:r>
      <w:r w:rsidR="00B45F70" w:rsidRPr="007B58CA">
        <w:rPr>
          <w:rFonts w:ascii="Leelawadee" w:hAnsi="Leelawadee" w:cs="Leelawadee"/>
          <w:i/>
          <w:iCs/>
        </w:rPr>
        <w:t>et al</w:t>
      </w:r>
      <w:r w:rsidR="00B45F70" w:rsidRPr="007B58CA">
        <w:rPr>
          <w:rFonts w:ascii="Leelawadee" w:hAnsi="Leelawadee" w:cs="Leelawadee"/>
        </w:rPr>
        <w:t>, 2005</w:t>
      </w:r>
      <w:r w:rsidRPr="00901F1B">
        <w:rPr>
          <w:rFonts w:ascii="Leelawadee" w:hAnsi="Leelawadee" w:cs="Leelawadee"/>
        </w:rPr>
        <w:t>) or the R-statistical software can be used to construct the heat map. To perform this in R, two files are needed. The first file is a matrix that contains the r</w:t>
      </w:r>
      <w:r w:rsidRPr="00901F1B">
        <w:rPr>
          <w:rFonts w:ascii="Leelawadee" w:hAnsi="Leelawadee" w:cs="Leelawadee"/>
          <w:vertAlign w:val="superscript"/>
        </w:rPr>
        <w:t>2</w:t>
      </w:r>
      <w:r w:rsidRPr="00901F1B">
        <w:rPr>
          <w:rFonts w:ascii="Leelawadee" w:hAnsi="Leelawadee" w:cs="Leelawadee"/>
        </w:rPr>
        <w:t xml:space="preserve"> values of the LD pairwise comparisons. The second file is one that contains the locations of the SNPs in the matrix. These can be used as paramete</w:t>
      </w:r>
      <w:r w:rsidR="007359E8" w:rsidRPr="007B58CA">
        <w:rPr>
          <w:rFonts w:ascii="Leelawadee" w:hAnsi="Leelawadee" w:cs="Leelawadee"/>
        </w:rPr>
        <w:t xml:space="preserve">rs in the </w:t>
      </w:r>
      <w:proofErr w:type="spellStart"/>
      <w:proofErr w:type="gramStart"/>
      <w:r w:rsidR="007359E8" w:rsidRPr="007B58CA">
        <w:rPr>
          <w:rFonts w:ascii="Leelawadee" w:hAnsi="Leelawadee" w:cs="Leelawadee"/>
        </w:rPr>
        <w:t>LDheatmap</w:t>
      </w:r>
      <w:proofErr w:type="spellEnd"/>
      <w:r w:rsidR="007359E8" w:rsidRPr="007B58CA">
        <w:rPr>
          <w:rFonts w:ascii="Leelawadee" w:hAnsi="Leelawadee" w:cs="Leelawadee"/>
        </w:rPr>
        <w:t>(</w:t>
      </w:r>
      <w:proofErr w:type="gramEnd"/>
      <w:r w:rsidR="007359E8" w:rsidRPr="007B58CA">
        <w:rPr>
          <w:rFonts w:ascii="Leelawadee" w:hAnsi="Leelawadee" w:cs="Leelawadee"/>
        </w:rPr>
        <w:t>) function</w:t>
      </w:r>
      <w:r w:rsidRPr="00901F1B">
        <w:rPr>
          <w:rFonts w:ascii="Leelawadee" w:hAnsi="Leelawadee" w:cs="Leelawadee"/>
        </w:rPr>
        <w:t>.</w:t>
      </w:r>
    </w:p>
    <w:p w:rsidR="00901F1B" w:rsidRPr="007B58CA" w:rsidRDefault="00901F1B" w:rsidP="00FB23D5">
      <w:pPr>
        <w:spacing w:line="360" w:lineRule="auto"/>
        <w:rPr>
          <w:rFonts w:ascii="Leelawadee" w:hAnsi="Leelawadee" w:cs="Leelawadee"/>
        </w:rPr>
      </w:pPr>
      <w:r w:rsidRPr="00901F1B">
        <w:rPr>
          <w:rFonts w:ascii="Leelawadee" w:hAnsi="Leelawadee" w:cs="Leelawadee"/>
        </w:rPr>
        <w:t>Assuming a reasonable heat map could be generated with our data, I would select (“tag”) SNPs in the region that have a strong LD (r</w:t>
      </w:r>
      <w:r w:rsidRPr="00901F1B">
        <w:rPr>
          <w:rFonts w:ascii="Leelawadee" w:hAnsi="Leelawadee" w:cs="Leelawadee"/>
          <w:vertAlign w:val="superscript"/>
        </w:rPr>
        <w:t>2</w:t>
      </w:r>
      <w:r w:rsidRPr="00901F1B">
        <w:rPr>
          <w:rFonts w:ascii="Leelawadee" w:hAnsi="Leelawadee" w:cs="Leelawadee"/>
        </w:rPr>
        <w:t xml:space="preserve"> ≥ 0.5), and for a set of tagged SNPs. I would also make use an online tool, called locus zoom (</w:t>
      </w:r>
      <w:r w:rsidR="00EB1ABD" w:rsidRPr="007B58CA">
        <w:rPr>
          <w:rFonts w:ascii="Leelawadee" w:hAnsi="Leelawadee" w:cs="Leelawadee"/>
        </w:rPr>
        <w:t>See figure 5</w:t>
      </w:r>
      <w:r w:rsidRPr="00901F1B">
        <w:rPr>
          <w:rFonts w:ascii="Leelawadee" w:hAnsi="Leelawadee" w:cs="Leelawadee"/>
        </w:rPr>
        <w:t>), to create plots of the region. These plots help define the region of the tagged SNPs. These regions can be examined for functionality. Further analysis to help identify causal may also include calculating LD between the tagged SNPs and rare variants.</w:t>
      </w:r>
    </w:p>
    <w:p w:rsidR="00B45F70" w:rsidRDefault="00B45F70" w:rsidP="00901F1B">
      <w:r>
        <w:rPr>
          <w:noProof/>
        </w:rPr>
        <mc:AlternateContent>
          <mc:Choice Requires="wps">
            <w:drawing>
              <wp:inline distT="0" distB="0" distL="0" distR="0">
                <wp:extent cx="304800" cy="304800"/>
                <wp:effectExtent l="0" t="0" r="0" b="0"/>
                <wp:docPr id="10" name="Rectangle 10" descr="Linkage disequilibrium heat map near SNP rs2377339 on chromosom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6374C" id="Rectangle 10" o:spid="_x0000_s1026" alt="Linkage disequilibrium heat map near SNP rs2377339 on chromosome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ZXcpOukCAAAFBgAADgAAAAAAAAAA&#10;AAAAAAAuAgAAZHJzL2Uyb0RvYy54bWxQSwECLQAUAAYACAAAACEATKDpLNgAAAADAQAADwAAAAAA&#10;AAAAAAAAAABDBQAAZHJzL2Rvd25yZXYueG1sUEsFBgAAAAAEAAQA8wAAAEgGAAAAAA==&#10;" filled="f" stroked="f">
                <o:lock v:ext="edit" aspectratio="t"/>
                <w10:anchorlock/>
              </v:rect>
            </w:pict>
          </mc:Fallback>
        </mc:AlternateContent>
      </w:r>
      <w:r>
        <w:rPr>
          <w:noProof/>
        </w:rPr>
        <w:drawing>
          <wp:inline distT="0" distB="0" distL="0" distR="0">
            <wp:extent cx="2876550" cy="222453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3026" cy="2237274"/>
                    </a:xfrm>
                    <a:prstGeom prst="rect">
                      <a:avLst/>
                    </a:prstGeom>
                    <a:noFill/>
                    <a:ln>
                      <a:noFill/>
                    </a:ln>
                  </pic:spPr>
                </pic:pic>
              </a:graphicData>
            </a:graphic>
          </wp:inline>
        </w:drawing>
      </w:r>
      <w:r>
        <w:rPr>
          <w:noProof/>
        </w:rPr>
        <w:drawing>
          <wp:inline distT="0" distB="0" distL="0" distR="0">
            <wp:extent cx="2495550" cy="2266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95550" cy="2266950"/>
                    </a:xfrm>
                    <a:prstGeom prst="rect">
                      <a:avLst/>
                    </a:prstGeom>
                    <a:noFill/>
                    <a:ln>
                      <a:noFill/>
                    </a:ln>
                  </pic:spPr>
                </pic:pic>
              </a:graphicData>
            </a:graphic>
          </wp:inline>
        </w:drawing>
      </w:r>
    </w:p>
    <w:p w:rsidR="00B45F70" w:rsidRPr="00901F1B" w:rsidRDefault="00B45F70" w:rsidP="00901F1B">
      <w:pPr>
        <w:rPr>
          <w:rFonts w:asciiTheme="majorBidi" w:hAnsiTheme="majorBidi" w:cstheme="majorBidi"/>
        </w:rPr>
      </w:pPr>
      <w:r w:rsidRPr="00FB23D5">
        <w:rPr>
          <w:rFonts w:asciiTheme="majorBidi" w:hAnsiTheme="majorBidi" w:cstheme="majorBidi"/>
        </w:rPr>
        <w:t xml:space="preserve">Figure 5: Example an LD </w:t>
      </w:r>
      <w:proofErr w:type="spellStart"/>
      <w:r w:rsidRPr="00FB23D5">
        <w:rPr>
          <w:rFonts w:asciiTheme="majorBidi" w:hAnsiTheme="majorBidi" w:cstheme="majorBidi"/>
        </w:rPr>
        <w:t>heatmap</w:t>
      </w:r>
      <w:proofErr w:type="spellEnd"/>
      <w:r w:rsidRPr="00FB23D5">
        <w:rPr>
          <w:rFonts w:asciiTheme="majorBidi" w:hAnsiTheme="majorBidi" w:cstheme="majorBidi"/>
        </w:rPr>
        <w:t xml:space="preserve"> (left) [adapted from Liu </w:t>
      </w:r>
      <w:r w:rsidRPr="00FB23D5">
        <w:rPr>
          <w:rFonts w:asciiTheme="majorBidi" w:hAnsiTheme="majorBidi" w:cstheme="majorBidi"/>
          <w:i/>
          <w:iCs/>
        </w:rPr>
        <w:t>et al</w:t>
      </w:r>
      <w:r w:rsidRPr="00FB23D5">
        <w:rPr>
          <w:rFonts w:asciiTheme="majorBidi" w:hAnsiTheme="majorBidi" w:cstheme="majorBidi"/>
        </w:rPr>
        <w:t xml:space="preserve">, 2013] and a locus zoom plot(right) [adapted from Imamura </w:t>
      </w:r>
      <w:r w:rsidRPr="00FB23D5">
        <w:rPr>
          <w:rFonts w:asciiTheme="majorBidi" w:hAnsiTheme="majorBidi" w:cstheme="majorBidi"/>
          <w:i/>
          <w:iCs/>
        </w:rPr>
        <w:t>et al</w:t>
      </w:r>
      <w:r w:rsidRPr="00FB23D5">
        <w:rPr>
          <w:rFonts w:asciiTheme="majorBidi" w:hAnsiTheme="majorBidi" w:cstheme="majorBidi"/>
        </w:rPr>
        <w:t>, 2016].</w:t>
      </w:r>
    </w:p>
    <w:p w:rsidR="00901F1B" w:rsidRPr="00901F1B" w:rsidRDefault="00901F1B" w:rsidP="00901F1B"/>
    <w:p w:rsidR="007B58CA" w:rsidRDefault="007B58CA" w:rsidP="00FB23D5">
      <w:pPr>
        <w:spacing w:line="360" w:lineRule="auto"/>
        <w:rPr>
          <w:rFonts w:ascii="Leelawadee" w:hAnsi="Leelawadee" w:cs="Leelawadee"/>
          <w:b/>
          <w:bCs/>
          <w:sz w:val="28"/>
          <w:szCs w:val="28"/>
        </w:rPr>
      </w:pPr>
    </w:p>
    <w:p w:rsidR="007B58CA" w:rsidRDefault="007B58CA" w:rsidP="00FB23D5">
      <w:pPr>
        <w:spacing w:line="360" w:lineRule="auto"/>
        <w:rPr>
          <w:rFonts w:ascii="Leelawadee" w:hAnsi="Leelawadee" w:cs="Leelawadee"/>
          <w:b/>
          <w:bCs/>
          <w:sz w:val="28"/>
          <w:szCs w:val="28"/>
        </w:rPr>
      </w:pPr>
    </w:p>
    <w:p w:rsidR="00901F1B" w:rsidRPr="00901F1B" w:rsidRDefault="00901F1B" w:rsidP="00FB23D5">
      <w:pPr>
        <w:spacing w:line="360" w:lineRule="auto"/>
        <w:rPr>
          <w:rFonts w:ascii="Leelawadee" w:hAnsi="Leelawadee" w:cs="Leelawadee"/>
          <w:b/>
          <w:bCs/>
          <w:sz w:val="28"/>
          <w:szCs w:val="28"/>
        </w:rPr>
      </w:pPr>
      <w:r w:rsidRPr="00901F1B">
        <w:rPr>
          <w:rFonts w:ascii="Leelawadee" w:hAnsi="Leelawadee" w:cs="Leelawadee"/>
          <w:b/>
          <w:bCs/>
          <w:sz w:val="28"/>
          <w:szCs w:val="28"/>
        </w:rPr>
        <w:lastRenderedPageBreak/>
        <w:t>Validity of Results</w:t>
      </w:r>
    </w:p>
    <w:p w:rsidR="00901F1B" w:rsidRPr="00901F1B" w:rsidRDefault="00901F1B" w:rsidP="00FB23D5">
      <w:pPr>
        <w:spacing w:line="360" w:lineRule="auto"/>
        <w:rPr>
          <w:rFonts w:ascii="Leelawadee" w:hAnsi="Leelawadee" w:cs="Leelawadee"/>
        </w:rPr>
      </w:pPr>
      <w:r w:rsidRPr="00901F1B">
        <w:rPr>
          <w:rFonts w:ascii="Leelawadee" w:hAnsi="Leelawadee" w:cs="Leelawadee"/>
        </w:rPr>
        <w:t xml:space="preserve">Additional statistical tests were conducted to ensure that the results of the association analyses were valid. The main factor being curbed is the event of a spurious association. These types of association are more often than not the result of systematic errors. As mentioned earlier, quality control filters were utilised to minimize genotyping errors., while QQ plots were used to explore other sources of systematic error. The QQ plots for both analyses appear to be in agreement with their corresponding Manhattan plots. The nature of the deviation from the identity line, observed in </w:t>
      </w:r>
      <w:r w:rsidR="00EB1ABD" w:rsidRPr="007B58CA">
        <w:rPr>
          <w:rFonts w:ascii="Leelawadee" w:hAnsi="Leelawadee" w:cs="Leelawadee"/>
        </w:rPr>
        <w:t>figure 1, 2, 3, and 4</w:t>
      </w:r>
      <w:r w:rsidRPr="00901F1B">
        <w:rPr>
          <w:rFonts w:ascii="Leelawadee" w:hAnsi="Leelawadee" w:cs="Leelawadee"/>
        </w:rPr>
        <w:t>, suggest that only a subset of the SNPs analysed contribute to the statistical significance. In figure</w:t>
      </w:r>
      <w:r w:rsidR="00EB1ABD" w:rsidRPr="007B58CA">
        <w:rPr>
          <w:rFonts w:ascii="Leelawadee" w:hAnsi="Leelawadee" w:cs="Leelawadee"/>
        </w:rPr>
        <w:t xml:space="preserve"> 2a</w:t>
      </w:r>
      <w:r w:rsidRPr="00901F1B">
        <w:rPr>
          <w:rFonts w:ascii="Leelawadee" w:hAnsi="Leelawadee" w:cs="Leelawadee"/>
        </w:rPr>
        <w:t>, where no hits occurred, very minute deviation from the identity line is observed. This signifies that no association was more statistically significant than we would expect.</w:t>
      </w:r>
    </w:p>
    <w:p w:rsidR="00901F1B" w:rsidRPr="00901F1B" w:rsidRDefault="00901F1B" w:rsidP="00FB23D5">
      <w:pPr>
        <w:spacing w:line="360" w:lineRule="auto"/>
        <w:rPr>
          <w:rFonts w:ascii="Leelawadee" w:hAnsi="Leelawadee" w:cs="Leelawadee"/>
        </w:rPr>
      </w:pPr>
      <w:r w:rsidRPr="00901F1B">
        <w:rPr>
          <w:rFonts w:ascii="Leelawadee" w:hAnsi="Leelawadee" w:cs="Leelawadee"/>
        </w:rPr>
        <w:t>There are however some limitations to the analyses. The population which was sampled for this study is unknown. If the sample was from a sub-population in an area where population stratification is at play, some of the hits in this analyses may not be consistent with other populations. The age of the individuals in this study is also unknown.  If they were, we could observe if there is stratification according to median age. It may also have been useful to observe stratification according to sex.</w:t>
      </w:r>
    </w:p>
    <w:p w:rsidR="00CF45E6" w:rsidRPr="008575FB" w:rsidRDefault="00CF45E6">
      <w:pPr>
        <w:rPr>
          <w:rFonts w:ascii="Leelawadee" w:hAnsi="Leelawadee" w:cs="Leelawadee"/>
          <w:sz w:val="24"/>
          <w:szCs w:val="24"/>
        </w:rPr>
      </w:pPr>
    </w:p>
    <w:p w:rsidR="00A532D0" w:rsidRDefault="00A532D0" w:rsidP="00EB1ABD">
      <w:pPr>
        <w:rPr>
          <w:rFonts w:ascii="Helvetica" w:hAnsi="Helvetica" w:cs="Helvetica"/>
          <w:sz w:val="48"/>
          <w:szCs w:val="48"/>
        </w:rPr>
      </w:pPr>
    </w:p>
    <w:p w:rsidR="00A532D0" w:rsidRDefault="00A532D0" w:rsidP="00EB1ABD">
      <w:pPr>
        <w:rPr>
          <w:rFonts w:ascii="Helvetica" w:hAnsi="Helvetica" w:cs="Helvetica"/>
          <w:sz w:val="48"/>
          <w:szCs w:val="48"/>
        </w:rPr>
      </w:pPr>
    </w:p>
    <w:p w:rsidR="00A532D0" w:rsidRDefault="00A532D0" w:rsidP="00EB1ABD">
      <w:pPr>
        <w:rPr>
          <w:rFonts w:ascii="Helvetica" w:hAnsi="Helvetica" w:cs="Helvetica"/>
          <w:sz w:val="48"/>
          <w:szCs w:val="48"/>
        </w:rPr>
      </w:pPr>
    </w:p>
    <w:p w:rsidR="00A532D0" w:rsidRDefault="00A532D0" w:rsidP="00EB1ABD">
      <w:pPr>
        <w:rPr>
          <w:rFonts w:ascii="Helvetica" w:hAnsi="Helvetica" w:cs="Helvetica"/>
          <w:sz w:val="48"/>
          <w:szCs w:val="48"/>
        </w:rPr>
      </w:pPr>
    </w:p>
    <w:p w:rsidR="00A532D0" w:rsidRDefault="00A532D0" w:rsidP="00EB1ABD">
      <w:pPr>
        <w:rPr>
          <w:rFonts w:ascii="Helvetica" w:hAnsi="Helvetica" w:cs="Helvetica"/>
          <w:sz w:val="48"/>
          <w:szCs w:val="48"/>
        </w:rPr>
      </w:pPr>
    </w:p>
    <w:p w:rsidR="00A532D0" w:rsidRDefault="00A532D0" w:rsidP="00EB1ABD">
      <w:pPr>
        <w:rPr>
          <w:rFonts w:ascii="Helvetica" w:hAnsi="Helvetica" w:cs="Helvetica"/>
          <w:sz w:val="48"/>
          <w:szCs w:val="48"/>
        </w:rPr>
      </w:pPr>
    </w:p>
    <w:p w:rsidR="00A532D0" w:rsidRDefault="00A532D0" w:rsidP="00EB1ABD">
      <w:pPr>
        <w:rPr>
          <w:rFonts w:ascii="Helvetica" w:hAnsi="Helvetica" w:cs="Helvetica"/>
          <w:sz w:val="48"/>
          <w:szCs w:val="48"/>
        </w:rPr>
      </w:pPr>
    </w:p>
    <w:p w:rsidR="00A532D0" w:rsidRDefault="00A532D0" w:rsidP="00EB1ABD">
      <w:pPr>
        <w:rPr>
          <w:rFonts w:ascii="Helvetica" w:hAnsi="Helvetica" w:cs="Helvetica"/>
          <w:sz w:val="48"/>
          <w:szCs w:val="48"/>
        </w:rPr>
      </w:pPr>
    </w:p>
    <w:p w:rsidR="00EB1ABD" w:rsidRDefault="00EB1ABD" w:rsidP="00EB1ABD">
      <w:pPr>
        <w:rPr>
          <w:rFonts w:ascii="Helvetica" w:hAnsi="Helvetica" w:cs="Helvetica"/>
          <w:sz w:val="48"/>
          <w:szCs w:val="48"/>
        </w:rPr>
      </w:pPr>
      <w:r>
        <w:rPr>
          <w:rFonts w:ascii="Helvetica" w:hAnsi="Helvetica" w:cs="Helvetica"/>
          <w:sz w:val="48"/>
          <w:szCs w:val="48"/>
        </w:rPr>
        <w:lastRenderedPageBreak/>
        <w:t>Part D</w:t>
      </w:r>
    </w:p>
    <w:p w:rsidR="00901F1B" w:rsidRDefault="00901F1B" w:rsidP="00681DCE">
      <w:pPr>
        <w:spacing w:line="360" w:lineRule="auto"/>
        <w:rPr>
          <w:rFonts w:ascii="Leelawadee" w:hAnsi="Leelawadee" w:cs="Leelawadee"/>
        </w:rPr>
      </w:pPr>
      <w:r w:rsidRPr="00901F1B">
        <w:rPr>
          <w:rFonts w:ascii="Leelawadee" w:hAnsi="Leelawadee" w:cs="Leelawadee"/>
        </w:rPr>
        <w:t>In this section, four variants present on the interleukin 23 receptor (IL23R) gene were examined for functionality. These variants were selected using the Exome Aggregation Consortium</w:t>
      </w:r>
      <w:r w:rsidR="00FB23D5" w:rsidRPr="007B58CA">
        <w:rPr>
          <w:rFonts w:ascii="Leelawadee" w:hAnsi="Leelawadee" w:cs="Leelawadee"/>
        </w:rPr>
        <w:t xml:space="preserve"> (</w:t>
      </w:r>
      <w:r w:rsidR="00FB23D5" w:rsidRPr="007B58CA">
        <w:rPr>
          <w:rFonts w:ascii="Leelawadee" w:hAnsi="Leelawadee" w:cs="Leelawadee"/>
          <w:u w:val="single"/>
        </w:rPr>
        <w:t>http://exac.broadinstitute.org</w:t>
      </w:r>
      <w:r w:rsidRPr="00901F1B">
        <w:rPr>
          <w:rFonts w:ascii="Leelawadee" w:hAnsi="Leelawadee" w:cs="Leelawadee"/>
        </w:rPr>
        <w:t xml:space="preserve">) browser. As indexed by ExAC, these variants are 1:67685387 T/C, 1:67633812 G/T, 1:67633862 G/A, and 1:67666586 G/T. In this report we refer to them as var1, var2, var3, and var4, respectively. These SNPs were examined primarily with the use of the </w:t>
      </w:r>
      <w:proofErr w:type="spellStart"/>
      <w:r w:rsidRPr="00901F1B">
        <w:rPr>
          <w:rFonts w:ascii="Leelawadee" w:hAnsi="Leelawadee" w:cs="Leelawadee"/>
        </w:rPr>
        <w:t>Ensembl</w:t>
      </w:r>
      <w:proofErr w:type="spellEnd"/>
      <w:r w:rsidRPr="00901F1B">
        <w:rPr>
          <w:rFonts w:ascii="Leelawadee" w:hAnsi="Leelawadee" w:cs="Leelawadee"/>
        </w:rPr>
        <w:t xml:space="preserve"> Variant Effect Predictor (VEP). This tool was used to predict the functional effects of these variants on transcripts, protein sequence, and regulatory regions at or near the IL23R gene. The results of this analyses are summarised in </w:t>
      </w:r>
      <w:r w:rsidR="00681DCE" w:rsidRPr="00681DCE">
        <w:rPr>
          <w:rFonts w:ascii="Leelawadee" w:hAnsi="Leelawadee" w:cs="Leelawadee"/>
        </w:rPr>
        <w:t>table 1</w:t>
      </w:r>
      <w:r w:rsidRPr="00901F1B">
        <w:rPr>
          <w:rFonts w:ascii="Leelawadee" w:hAnsi="Leelawadee" w:cs="Leelawadee"/>
        </w:rPr>
        <w:t>.</w:t>
      </w:r>
    </w:p>
    <w:p w:rsidR="00681DCE" w:rsidRPr="00901F1B" w:rsidRDefault="00681DCE" w:rsidP="00681DCE">
      <w:pPr>
        <w:spacing w:line="360" w:lineRule="auto"/>
        <w:rPr>
          <w:rFonts w:ascii="Leelawadee" w:hAnsi="Leelawadee" w:cs="Leelawadee"/>
          <w:color w:val="FF0000"/>
        </w:rPr>
      </w:pPr>
    </w:p>
    <w:tbl>
      <w:tblPr>
        <w:tblStyle w:val="TableGrid"/>
        <w:tblW w:w="0" w:type="auto"/>
        <w:tblLook w:val="04A0" w:firstRow="1" w:lastRow="0" w:firstColumn="1" w:lastColumn="0" w:noHBand="0" w:noVBand="1"/>
      </w:tblPr>
      <w:tblGrid>
        <w:gridCol w:w="960"/>
        <w:gridCol w:w="1870"/>
        <w:gridCol w:w="2552"/>
        <w:gridCol w:w="1148"/>
        <w:gridCol w:w="960"/>
        <w:gridCol w:w="1471"/>
      </w:tblGrid>
      <w:tr w:rsidR="00681DCE" w:rsidRPr="00681DCE" w:rsidTr="00681DCE">
        <w:trPr>
          <w:trHeight w:val="303"/>
        </w:trPr>
        <w:tc>
          <w:tcPr>
            <w:tcW w:w="96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SNP ID</w:t>
            </w:r>
          </w:p>
        </w:tc>
        <w:tc>
          <w:tcPr>
            <w:tcW w:w="187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SNP</w:t>
            </w:r>
          </w:p>
        </w:tc>
        <w:tc>
          <w:tcPr>
            <w:tcW w:w="2552"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Consequence</w:t>
            </w:r>
          </w:p>
        </w:tc>
        <w:tc>
          <w:tcPr>
            <w:tcW w:w="687"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Impact</w:t>
            </w:r>
          </w:p>
        </w:tc>
        <w:tc>
          <w:tcPr>
            <w:tcW w:w="96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SIFT</w:t>
            </w:r>
          </w:p>
        </w:tc>
        <w:tc>
          <w:tcPr>
            <w:tcW w:w="1471"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PolyPhen-2</w:t>
            </w:r>
          </w:p>
        </w:tc>
      </w:tr>
      <w:tr w:rsidR="00681DCE" w:rsidRPr="00681DCE" w:rsidTr="00681DCE">
        <w:trPr>
          <w:trHeight w:val="300"/>
        </w:trPr>
        <w:tc>
          <w:tcPr>
            <w:tcW w:w="960" w:type="dxa"/>
            <w:noWrap/>
            <w:hideMark/>
          </w:tcPr>
          <w:p w:rsidR="00681DCE" w:rsidRPr="00681DCE" w:rsidRDefault="00681DCE" w:rsidP="00681DCE">
            <w:pPr>
              <w:spacing w:line="360" w:lineRule="auto"/>
              <w:rPr>
                <w:rFonts w:ascii="Leelawadee" w:hAnsi="Leelawadee" w:cs="Leelawadee"/>
              </w:rPr>
            </w:pPr>
            <w:proofErr w:type="spellStart"/>
            <w:r w:rsidRPr="00681DCE">
              <w:rPr>
                <w:rFonts w:ascii="Leelawadee" w:hAnsi="Leelawadee" w:cs="Leelawadee"/>
              </w:rPr>
              <w:t>Var</w:t>
            </w:r>
            <w:proofErr w:type="spellEnd"/>
            <w:r w:rsidRPr="00681DCE">
              <w:rPr>
                <w:rFonts w:ascii="Leelawadee" w:hAnsi="Leelawadee" w:cs="Leelawadee"/>
              </w:rPr>
              <w:t xml:space="preserve"> 1</w:t>
            </w:r>
          </w:p>
        </w:tc>
        <w:tc>
          <w:tcPr>
            <w:tcW w:w="187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1:67685387 T/C</w:t>
            </w:r>
          </w:p>
        </w:tc>
        <w:tc>
          <w:tcPr>
            <w:tcW w:w="2552"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missense variant</w:t>
            </w:r>
          </w:p>
        </w:tc>
        <w:tc>
          <w:tcPr>
            <w:tcW w:w="687"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Moderate</w:t>
            </w:r>
          </w:p>
        </w:tc>
        <w:tc>
          <w:tcPr>
            <w:tcW w:w="96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1</w:t>
            </w:r>
          </w:p>
        </w:tc>
        <w:tc>
          <w:tcPr>
            <w:tcW w:w="1471"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0</w:t>
            </w:r>
          </w:p>
        </w:tc>
      </w:tr>
      <w:tr w:rsidR="00681DCE" w:rsidRPr="00681DCE" w:rsidTr="00681DCE">
        <w:trPr>
          <w:trHeight w:val="300"/>
        </w:trPr>
        <w:tc>
          <w:tcPr>
            <w:tcW w:w="960" w:type="dxa"/>
            <w:noWrap/>
            <w:hideMark/>
          </w:tcPr>
          <w:p w:rsidR="00681DCE" w:rsidRPr="00681DCE" w:rsidRDefault="00681DCE" w:rsidP="00681DCE">
            <w:pPr>
              <w:spacing w:line="360" w:lineRule="auto"/>
              <w:rPr>
                <w:rFonts w:ascii="Leelawadee" w:hAnsi="Leelawadee" w:cs="Leelawadee"/>
              </w:rPr>
            </w:pPr>
            <w:proofErr w:type="spellStart"/>
            <w:r w:rsidRPr="00681DCE">
              <w:rPr>
                <w:rFonts w:ascii="Leelawadee" w:hAnsi="Leelawadee" w:cs="Leelawadee"/>
              </w:rPr>
              <w:t>Var</w:t>
            </w:r>
            <w:proofErr w:type="spellEnd"/>
            <w:r w:rsidRPr="00681DCE">
              <w:rPr>
                <w:rFonts w:ascii="Leelawadee" w:hAnsi="Leelawadee" w:cs="Leelawadee"/>
              </w:rPr>
              <w:t xml:space="preserve"> 2</w:t>
            </w:r>
          </w:p>
        </w:tc>
        <w:tc>
          <w:tcPr>
            <w:tcW w:w="187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 xml:space="preserve">1:67633812 G/T </w:t>
            </w:r>
          </w:p>
        </w:tc>
        <w:tc>
          <w:tcPr>
            <w:tcW w:w="2552"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missense variant</w:t>
            </w:r>
          </w:p>
        </w:tc>
        <w:tc>
          <w:tcPr>
            <w:tcW w:w="687"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Moderate</w:t>
            </w:r>
          </w:p>
        </w:tc>
        <w:tc>
          <w:tcPr>
            <w:tcW w:w="96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0.19</w:t>
            </w:r>
          </w:p>
        </w:tc>
        <w:tc>
          <w:tcPr>
            <w:tcW w:w="1471"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0.005</w:t>
            </w:r>
          </w:p>
        </w:tc>
      </w:tr>
      <w:tr w:rsidR="00681DCE" w:rsidRPr="00681DCE" w:rsidTr="00681DCE">
        <w:trPr>
          <w:trHeight w:val="300"/>
        </w:trPr>
        <w:tc>
          <w:tcPr>
            <w:tcW w:w="96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Var3</w:t>
            </w:r>
          </w:p>
        </w:tc>
        <w:tc>
          <w:tcPr>
            <w:tcW w:w="187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 xml:space="preserve">1:67633862 G/A </w:t>
            </w:r>
          </w:p>
        </w:tc>
        <w:tc>
          <w:tcPr>
            <w:tcW w:w="2552"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stop-gained</w:t>
            </w:r>
          </w:p>
        </w:tc>
        <w:tc>
          <w:tcPr>
            <w:tcW w:w="687"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High</w:t>
            </w:r>
          </w:p>
        </w:tc>
        <w:tc>
          <w:tcPr>
            <w:tcW w:w="96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N/A</w:t>
            </w:r>
          </w:p>
        </w:tc>
        <w:tc>
          <w:tcPr>
            <w:tcW w:w="1471"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N/A</w:t>
            </w:r>
          </w:p>
        </w:tc>
      </w:tr>
      <w:tr w:rsidR="00681DCE" w:rsidRPr="00681DCE" w:rsidTr="00681DCE">
        <w:trPr>
          <w:trHeight w:val="300"/>
        </w:trPr>
        <w:tc>
          <w:tcPr>
            <w:tcW w:w="960" w:type="dxa"/>
            <w:noWrap/>
            <w:hideMark/>
          </w:tcPr>
          <w:p w:rsidR="00681DCE" w:rsidRPr="00681DCE" w:rsidRDefault="00681DCE" w:rsidP="00681DCE">
            <w:pPr>
              <w:spacing w:line="360" w:lineRule="auto"/>
              <w:rPr>
                <w:rFonts w:ascii="Leelawadee" w:hAnsi="Leelawadee" w:cs="Leelawadee"/>
              </w:rPr>
            </w:pPr>
            <w:proofErr w:type="spellStart"/>
            <w:r w:rsidRPr="00681DCE">
              <w:rPr>
                <w:rFonts w:ascii="Leelawadee" w:hAnsi="Leelawadee" w:cs="Leelawadee"/>
              </w:rPr>
              <w:t>Var</w:t>
            </w:r>
            <w:proofErr w:type="spellEnd"/>
            <w:r w:rsidRPr="00681DCE">
              <w:rPr>
                <w:rFonts w:ascii="Leelawadee" w:hAnsi="Leelawadee" w:cs="Leelawadee"/>
              </w:rPr>
              <w:t xml:space="preserve"> 4</w:t>
            </w:r>
          </w:p>
        </w:tc>
        <w:tc>
          <w:tcPr>
            <w:tcW w:w="187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 xml:space="preserve">1:67666586 G/T </w:t>
            </w:r>
          </w:p>
        </w:tc>
        <w:tc>
          <w:tcPr>
            <w:tcW w:w="2552"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splice region/intron variant</w:t>
            </w:r>
          </w:p>
        </w:tc>
        <w:tc>
          <w:tcPr>
            <w:tcW w:w="687"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Low</w:t>
            </w:r>
          </w:p>
        </w:tc>
        <w:tc>
          <w:tcPr>
            <w:tcW w:w="960"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N/A</w:t>
            </w:r>
          </w:p>
        </w:tc>
        <w:tc>
          <w:tcPr>
            <w:tcW w:w="1471" w:type="dxa"/>
            <w:noWrap/>
            <w:hideMark/>
          </w:tcPr>
          <w:p w:rsidR="00681DCE" w:rsidRPr="00681DCE" w:rsidRDefault="00681DCE" w:rsidP="00681DCE">
            <w:pPr>
              <w:spacing w:line="360" w:lineRule="auto"/>
              <w:rPr>
                <w:rFonts w:ascii="Leelawadee" w:hAnsi="Leelawadee" w:cs="Leelawadee"/>
              </w:rPr>
            </w:pPr>
            <w:r w:rsidRPr="00681DCE">
              <w:rPr>
                <w:rFonts w:ascii="Leelawadee" w:hAnsi="Leelawadee" w:cs="Leelawadee"/>
              </w:rPr>
              <w:t>N/A</w:t>
            </w:r>
          </w:p>
        </w:tc>
      </w:tr>
    </w:tbl>
    <w:p w:rsidR="00901F1B" w:rsidRDefault="00901F1B" w:rsidP="007B58CA">
      <w:pPr>
        <w:spacing w:line="360" w:lineRule="auto"/>
        <w:rPr>
          <w:rFonts w:ascii="Leelawadee" w:hAnsi="Leelawadee" w:cs="Leelawadee"/>
          <w:color w:val="FF0000"/>
        </w:rPr>
      </w:pPr>
    </w:p>
    <w:p w:rsidR="00681DCE" w:rsidRPr="00901F1B" w:rsidRDefault="00681DCE" w:rsidP="007B58CA">
      <w:pPr>
        <w:spacing w:line="360" w:lineRule="auto"/>
        <w:rPr>
          <w:rFonts w:asciiTheme="majorBidi" w:hAnsiTheme="majorBidi" w:cstheme="majorBidi"/>
        </w:rPr>
      </w:pPr>
      <w:r w:rsidRPr="00681DCE">
        <w:rPr>
          <w:rFonts w:asciiTheme="majorBidi" w:hAnsiTheme="majorBidi" w:cstheme="majorBidi"/>
        </w:rPr>
        <w:t>Table 1: Summary of VEP analyses.</w:t>
      </w:r>
    </w:p>
    <w:p w:rsidR="00681DCE" w:rsidRDefault="00681DCE" w:rsidP="007B58CA">
      <w:pPr>
        <w:spacing w:line="360" w:lineRule="auto"/>
        <w:rPr>
          <w:rFonts w:ascii="Leelawadee" w:hAnsi="Leelawadee" w:cs="Leelawadee"/>
          <w:b/>
          <w:bCs/>
          <w:sz w:val="24"/>
          <w:szCs w:val="24"/>
        </w:rPr>
      </w:pPr>
    </w:p>
    <w:p w:rsidR="00681DCE" w:rsidRDefault="00681DCE" w:rsidP="007B58CA">
      <w:pPr>
        <w:spacing w:line="360" w:lineRule="auto"/>
        <w:rPr>
          <w:rFonts w:ascii="Leelawadee" w:hAnsi="Leelawadee" w:cs="Leelawadee"/>
          <w:b/>
          <w:bCs/>
          <w:sz w:val="24"/>
          <w:szCs w:val="24"/>
        </w:rPr>
      </w:pPr>
    </w:p>
    <w:p w:rsidR="00901F1B" w:rsidRPr="00901F1B" w:rsidRDefault="00901F1B" w:rsidP="007B58CA">
      <w:pPr>
        <w:spacing w:line="360" w:lineRule="auto"/>
        <w:rPr>
          <w:rFonts w:ascii="Leelawadee" w:hAnsi="Leelawadee" w:cs="Leelawadee"/>
          <w:b/>
          <w:bCs/>
          <w:sz w:val="24"/>
          <w:szCs w:val="24"/>
        </w:rPr>
      </w:pPr>
      <w:r w:rsidRPr="00901F1B">
        <w:rPr>
          <w:rFonts w:ascii="Leelawadee" w:hAnsi="Leelawadee" w:cs="Leelawadee"/>
          <w:b/>
          <w:bCs/>
          <w:sz w:val="24"/>
          <w:szCs w:val="24"/>
        </w:rPr>
        <w:t>Results of VEP and other secondary analyses</w:t>
      </w:r>
    </w:p>
    <w:p w:rsidR="00901F1B" w:rsidRDefault="00901F1B" w:rsidP="00383D35">
      <w:pPr>
        <w:spacing w:line="360" w:lineRule="auto"/>
        <w:rPr>
          <w:rFonts w:ascii="Leelawadee" w:hAnsi="Leelawadee" w:cs="Leelawadee"/>
          <w:shd w:val="clear" w:color="auto" w:fill="FFFFFF"/>
        </w:rPr>
      </w:pPr>
      <w:r w:rsidRPr="00901F1B">
        <w:rPr>
          <w:rFonts w:ascii="Leelawadee" w:hAnsi="Leelawadee" w:cs="Leelawadee"/>
        </w:rPr>
        <w:t>Var1 and var2 are variants common in most of the world’s populations. Var1 was found to present on seven transcripts in two genes, IL23R and c1orf141. The consequence of this variant on the IL23R protein coding region is a missense mutation.</w:t>
      </w:r>
      <w:r w:rsidRPr="00901F1B">
        <w:rPr>
          <w:rFonts w:ascii="Leelawadee" w:hAnsi="Leelawadee" w:cs="Leelawadee"/>
          <w:color w:val="555555"/>
          <w:shd w:val="clear" w:color="auto" w:fill="FFFFFF"/>
        </w:rPr>
        <w:t xml:space="preserve"> </w:t>
      </w:r>
      <w:r w:rsidRPr="00901F1B">
        <w:rPr>
          <w:rFonts w:ascii="Leelawadee" w:hAnsi="Leelawadee" w:cs="Leelawadee"/>
          <w:shd w:val="clear" w:color="auto" w:fill="FFFFFF"/>
        </w:rPr>
        <w:t xml:space="preserve">VEP classified the severity of this missense variation as moderate. Var1 also appeared to be a non-coding transcript exon variant on an IL23R processed transcript; the severity of which was classified as a modifier. The missense variant causes a leucine to </w:t>
      </w:r>
      <w:proofErr w:type="spellStart"/>
      <w:r w:rsidRPr="00901F1B">
        <w:rPr>
          <w:rFonts w:ascii="Leelawadee" w:hAnsi="Leelawadee" w:cs="Leelawadee"/>
          <w:shd w:val="clear" w:color="auto" w:fill="FFFFFF"/>
        </w:rPr>
        <w:t>proline</w:t>
      </w:r>
      <w:proofErr w:type="spellEnd"/>
      <w:r w:rsidRPr="00901F1B">
        <w:rPr>
          <w:rFonts w:ascii="Leelawadee" w:hAnsi="Leelawadee" w:cs="Leelawadee"/>
          <w:shd w:val="clear" w:color="auto" w:fill="FFFFFF"/>
        </w:rPr>
        <w:t xml:space="preserve"> change at position 310. The possible impact of this change on the structure and function of the protein was assessed using PolyPhen-2 online tool (</w:t>
      </w:r>
      <w:r w:rsidR="007B58CA" w:rsidRPr="007B58CA">
        <w:rPr>
          <w:rFonts w:ascii="Leelawadee" w:hAnsi="Leelawadee" w:cs="Leelawadee"/>
          <w:u w:val="single"/>
          <w:shd w:val="clear" w:color="auto" w:fill="FFFFFF"/>
        </w:rPr>
        <w:t>http://genetics.bwh.harvard.edu/pph2/</w:t>
      </w:r>
      <w:r w:rsidRPr="00901F1B">
        <w:rPr>
          <w:rFonts w:ascii="Leelawadee" w:hAnsi="Leelawadee" w:cs="Leelawadee"/>
          <w:shd w:val="clear" w:color="auto" w:fill="FFFFFF"/>
        </w:rPr>
        <w:t xml:space="preserve">). The mutation was predicted to be of benign effect, with a score of 0.000. The multiple sequence alignment (MSA), produced along with score, shows that </w:t>
      </w:r>
      <w:proofErr w:type="spellStart"/>
      <w:r w:rsidRPr="00901F1B">
        <w:rPr>
          <w:rFonts w:ascii="Leelawadee" w:hAnsi="Leelawadee" w:cs="Leelawadee"/>
          <w:shd w:val="clear" w:color="auto" w:fill="FFFFFF"/>
        </w:rPr>
        <w:t>proline</w:t>
      </w:r>
      <w:proofErr w:type="spellEnd"/>
      <w:r w:rsidRPr="00901F1B">
        <w:rPr>
          <w:rFonts w:ascii="Leelawadee" w:hAnsi="Leelawadee" w:cs="Leelawadee"/>
          <w:shd w:val="clear" w:color="auto" w:fill="FFFFFF"/>
        </w:rPr>
        <w:t xml:space="preserve"> at that position is well conserved </w:t>
      </w:r>
      <w:r w:rsidRPr="00901F1B">
        <w:rPr>
          <w:rFonts w:ascii="Leelawadee" w:hAnsi="Leelawadee" w:cs="Leelawadee"/>
          <w:shd w:val="clear" w:color="auto" w:fill="FFFFFF"/>
        </w:rPr>
        <w:lastRenderedPageBreak/>
        <w:t>across many species (</w:t>
      </w:r>
      <w:r w:rsidR="00383D35" w:rsidRPr="00383D35">
        <w:rPr>
          <w:rFonts w:ascii="Leelawadee" w:hAnsi="Leelawadee" w:cs="Leelawadee"/>
          <w:shd w:val="clear" w:color="auto" w:fill="FFFFFF"/>
        </w:rPr>
        <w:t>data not shown</w:t>
      </w:r>
      <w:r w:rsidRPr="00901F1B">
        <w:rPr>
          <w:rFonts w:ascii="Leelawadee" w:hAnsi="Leelawadee" w:cs="Leelawadee"/>
          <w:shd w:val="clear" w:color="auto" w:fill="FFFFFF"/>
        </w:rPr>
        <w:t>). Another online algorithm, called SIFT (</w:t>
      </w:r>
      <w:r w:rsidR="007B58CA" w:rsidRPr="007B58CA">
        <w:rPr>
          <w:rFonts w:ascii="Leelawadee" w:hAnsi="Leelawadee" w:cs="Leelawadee"/>
          <w:u w:val="single"/>
          <w:shd w:val="clear" w:color="auto" w:fill="FFFFFF"/>
        </w:rPr>
        <w:t>http://sift.jcvi.org/</w:t>
      </w:r>
      <w:r w:rsidRPr="00901F1B">
        <w:rPr>
          <w:rFonts w:ascii="Leelawadee" w:hAnsi="Leelawadee" w:cs="Leelawadee"/>
          <w:shd w:val="clear" w:color="auto" w:fill="FFFFFF"/>
        </w:rPr>
        <w:t>), validated the prediction by PolyPhen-2; predicting the mutation to be tolerable, with an equivalent maximum score of 1. Given that c1orf141 is an uncharacterized gene, no further analysis carried out beyond the VEP.</w:t>
      </w:r>
    </w:p>
    <w:p w:rsidR="007B58CA" w:rsidRPr="00901F1B" w:rsidRDefault="007B58CA" w:rsidP="007B58CA">
      <w:pPr>
        <w:spacing w:line="360" w:lineRule="auto"/>
        <w:rPr>
          <w:rFonts w:ascii="Leelawadee" w:hAnsi="Leelawadee" w:cs="Leelawadee"/>
          <w:shd w:val="clear" w:color="auto" w:fill="FFFFFF"/>
        </w:rPr>
      </w:pPr>
    </w:p>
    <w:p w:rsidR="00901F1B" w:rsidRPr="00901F1B" w:rsidRDefault="00901F1B" w:rsidP="007B58CA">
      <w:pPr>
        <w:spacing w:line="360" w:lineRule="auto"/>
        <w:rPr>
          <w:rFonts w:ascii="Leelawadee" w:hAnsi="Leelawadee" w:cs="Leelawadee"/>
          <w:shd w:val="clear" w:color="auto" w:fill="FFFFFF"/>
        </w:rPr>
      </w:pPr>
      <w:r w:rsidRPr="00901F1B">
        <w:rPr>
          <w:rFonts w:ascii="Leelawadee" w:hAnsi="Leelawadee" w:cs="Leelawadee"/>
          <w:shd w:val="clear" w:color="auto" w:fill="FFFFFF"/>
        </w:rPr>
        <w:t xml:space="preserve">Var2 was found to be present on four transcripts in the same two genes as var1. </w:t>
      </w:r>
      <w:r w:rsidRPr="00901F1B">
        <w:rPr>
          <w:rFonts w:ascii="Leelawadee" w:hAnsi="Leelawadee" w:cs="Leelawadee"/>
        </w:rPr>
        <w:t xml:space="preserve">The consequence of this variant on the IL23R protein coding region, as well as its severity, is the same as for var1. The missense variation of var2 </w:t>
      </w:r>
      <w:r w:rsidRPr="00901F1B">
        <w:rPr>
          <w:rFonts w:ascii="Leelawadee" w:hAnsi="Leelawadee" w:cs="Leelawadee"/>
          <w:shd w:val="clear" w:color="auto" w:fill="FFFFFF"/>
        </w:rPr>
        <w:t>causes a glutamine to Histidine change at position 3. Both PolyPhen-2 and SIFT predicted this change to be of little impact. The MSA presented by PolyPhen-2, however, appeared to be inconclusive (</w:t>
      </w:r>
      <w:r w:rsidR="001F0FE2" w:rsidRPr="001F0FE2">
        <w:rPr>
          <w:rFonts w:ascii="Leelawadee" w:hAnsi="Leelawadee" w:cs="Leelawadee"/>
          <w:shd w:val="clear" w:color="auto" w:fill="FFFFFF"/>
        </w:rPr>
        <w:t>data not shown</w:t>
      </w:r>
      <w:r w:rsidRPr="00901F1B">
        <w:rPr>
          <w:rFonts w:ascii="Leelawadee" w:hAnsi="Leelawadee" w:cs="Leelawadee"/>
          <w:shd w:val="clear" w:color="auto" w:fill="FFFFFF"/>
        </w:rPr>
        <w:t>).</w:t>
      </w:r>
    </w:p>
    <w:p w:rsidR="00901F1B" w:rsidRPr="00901F1B" w:rsidRDefault="00901F1B" w:rsidP="007B58CA">
      <w:pPr>
        <w:spacing w:line="360" w:lineRule="auto"/>
        <w:rPr>
          <w:rFonts w:ascii="Leelawadee" w:hAnsi="Leelawadee" w:cs="Leelawadee"/>
          <w:shd w:val="clear" w:color="auto" w:fill="FFFFFF"/>
        </w:rPr>
      </w:pPr>
      <w:r w:rsidRPr="00901F1B">
        <w:rPr>
          <w:rFonts w:ascii="Leelawadee" w:hAnsi="Leelawadee" w:cs="Leelawadee"/>
          <w:shd w:val="clear" w:color="auto" w:fill="FFFFFF"/>
        </w:rPr>
        <w:t>Var3 and var4 are quite rare variants. Var3 was to be present on four transcripts in the same genes as var1 and var2. The consequence of this variant on IL23R protein coding region is a nonsense mutation. The severity of this mutation was classified as high (very severe). This variant causes the change of a tryptophan codon to a stop codon at position 20. Var4 was present on four transcripts in three genes, IL23R, c1orf141, and RNU6-586P. The consequence on IL23R protein coding region is a splice region mutation located on an intron. The severity of this mutation was classified as low.</w:t>
      </w:r>
    </w:p>
    <w:p w:rsidR="00901F1B" w:rsidRPr="00901F1B" w:rsidRDefault="00901F1B" w:rsidP="007B58CA">
      <w:pPr>
        <w:spacing w:line="360" w:lineRule="auto"/>
        <w:rPr>
          <w:rFonts w:ascii="Leelawadee" w:hAnsi="Leelawadee" w:cs="Leelawadee"/>
        </w:rPr>
      </w:pPr>
    </w:p>
    <w:p w:rsidR="00901F1B" w:rsidRPr="00901F1B" w:rsidRDefault="00901F1B" w:rsidP="007B58CA">
      <w:pPr>
        <w:spacing w:line="360" w:lineRule="auto"/>
        <w:rPr>
          <w:rFonts w:ascii="Leelawadee" w:hAnsi="Leelawadee" w:cs="Leelawadee"/>
          <w:b/>
          <w:bCs/>
          <w:sz w:val="24"/>
          <w:szCs w:val="24"/>
        </w:rPr>
      </w:pPr>
      <w:r w:rsidRPr="00901F1B">
        <w:rPr>
          <w:rFonts w:ascii="Leelawadee" w:hAnsi="Leelawadee" w:cs="Leelawadee"/>
          <w:b/>
          <w:bCs/>
          <w:sz w:val="24"/>
          <w:szCs w:val="24"/>
        </w:rPr>
        <w:t>Concluding Remarks</w:t>
      </w:r>
    </w:p>
    <w:p w:rsidR="00901F1B" w:rsidRPr="00901F1B" w:rsidRDefault="00901F1B" w:rsidP="007B58CA">
      <w:pPr>
        <w:spacing w:line="360" w:lineRule="auto"/>
        <w:rPr>
          <w:rFonts w:ascii="Leelawadee" w:hAnsi="Leelawadee" w:cs="Leelawadee"/>
        </w:rPr>
      </w:pPr>
      <w:r w:rsidRPr="00901F1B">
        <w:rPr>
          <w:rFonts w:ascii="Leelawadee" w:hAnsi="Leelawadee" w:cs="Leelawadee"/>
        </w:rPr>
        <w:t xml:space="preserve">Several genome-wide analysis studies (GWAS’s) have revealed an association between the IL23R gene and Inflammatory Bowel disease (IBD) (Yu </w:t>
      </w:r>
      <w:r w:rsidRPr="00901F1B">
        <w:rPr>
          <w:rFonts w:ascii="Leelawadee" w:hAnsi="Leelawadee" w:cs="Leelawadee"/>
          <w:i/>
          <w:iCs/>
        </w:rPr>
        <w:t>et al</w:t>
      </w:r>
      <w:r w:rsidRPr="00901F1B">
        <w:rPr>
          <w:rFonts w:ascii="Leelawadee" w:hAnsi="Leelawadee" w:cs="Leelawadee"/>
        </w:rPr>
        <w:t xml:space="preserve">, 2012; Fischer </w:t>
      </w:r>
      <w:r w:rsidRPr="00901F1B">
        <w:rPr>
          <w:rFonts w:ascii="Leelawadee" w:hAnsi="Leelawadee" w:cs="Leelawadee"/>
          <w:i/>
          <w:iCs/>
        </w:rPr>
        <w:t>et al</w:t>
      </w:r>
      <w:r w:rsidRPr="00901F1B">
        <w:rPr>
          <w:rFonts w:ascii="Leelawadee" w:hAnsi="Leelawadee" w:cs="Leelawadee"/>
        </w:rPr>
        <w:t xml:space="preserve">, 2017). The analyses that I have conducted has revealed predictions of the functional effects of four variants within this gene. Observing whether any of the variants could potentially explain the association of IL23R with IBD was in my prospective. </w:t>
      </w:r>
    </w:p>
    <w:p w:rsidR="00901F1B" w:rsidRPr="00901F1B" w:rsidRDefault="00901F1B" w:rsidP="009D7877">
      <w:pPr>
        <w:spacing w:line="360" w:lineRule="auto"/>
        <w:rPr>
          <w:rFonts w:ascii="Leelawadee" w:hAnsi="Leelawadee" w:cs="Leelawadee"/>
        </w:rPr>
      </w:pPr>
      <w:r w:rsidRPr="00901F1B">
        <w:rPr>
          <w:rFonts w:ascii="Leelawadee" w:hAnsi="Leelawadee" w:cs="Leelawadee"/>
        </w:rPr>
        <w:t>Var1 and var2 were predicted to have little to no effect on the function of IL23R. Association studies between these variants and IBD have actually been conducted by others (</w:t>
      </w:r>
      <w:r w:rsidR="009D7877" w:rsidRPr="007B58CA">
        <w:rPr>
          <w:rFonts w:ascii="Leelawadee" w:hAnsi="Leelawadee" w:cs="Leelawadee"/>
        </w:rPr>
        <w:t xml:space="preserve">Yu </w:t>
      </w:r>
      <w:r w:rsidR="009D7877" w:rsidRPr="007B58CA">
        <w:rPr>
          <w:rFonts w:ascii="Leelawadee" w:hAnsi="Leelawadee" w:cs="Leelawadee"/>
          <w:i/>
          <w:iCs/>
        </w:rPr>
        <w:t>et al</w:t>
      </w:r>
      <w:r w:rsidR="009D7877" w:rsidRPr="007B58CA">
        <w:rPr>
          <w:rFonts w:ascii="Leelawadee" w:hAnsi="Leelawadee" w:cs="Leelawadee"/>
        </w:rPr>
        <w:t>, 2012</w:t>
      </w:r>
      <w:r w:rsidR="009D7877">
        <w:rPr>
          <w:rFonts w:ascii="Leelawadee" w:hAnsi="Leelawadee" w:cs="Leelawadee"/>
        </w:rPr>
        <w:t xml:space="preserve">; </w:t>
      </w:r>
      <w:r w:rsidR="009D7877" w:rsidRPr="009D7877">
        <w:rPr>
          <w:rFonts w:ascii="Leelawadee" w:hAnsi="Leelawadee" w:cs="Leelawadee"/>
        </w:rPr>
        <w:t xml:space="preserve">Fischer </w:t>
      </w:r>
      <w:r w:rsidR="009D7877" w:rsidRPr="009D7877">
        <w:rPr>
          <w:rFonts w:ascii="Leelawadee" w:hAnsi="Leelawadee" w:cs="Leelawadee"/>
          <w:i/>
          <w:iCs/>
        </w:rPr>
        <w:t>et al</w:t>
      </w:r>
      <w:r w:rsidR="009D7877" w:rsidRPr="009D7877">
        <w:rPr>
          <w:rFonts w:ascii="Leelawadee" w:hAnsi="Leelawadee" w:cs="Leelawadee"/>
        </w:rPr>
        <w:t>, 2017</w:t>
      </w:r>
      <w:r w:rsidRPr="00901F1B">
        <w:rPr>
          <w:rFonts w:ascii="Leelawadee" w:hAnsi="Leelawadee" w:cs="Leelawadee"/>
        </w:rPr>
        <w:t xml:space="preserve">). These variants have been found to be associated with Ulcerative colitis (one of the two most common IBDs). However, only var1 shows any association with a </w:t>
      </w:r>
      <w:proofErr w:type="spellStart"/>
      <w:r w:rsidRPr="00901F1B">
        <w:rPr>
          <w:rFonts w:ascii="Leelawadee" w:hAnsi="Leelawadee" w:cs="Leelawadee"/>
        </w:rPr>
        <w:t>Bonferroni</w:t>
      </w:r>
      <w:proofErr w:type="spellEnd"/>
      <w:r w:rsidRPr="00901F1B">
        <w:rPr>
          <w:rFonts w:ascii="Leelawadee" w:hAnsi="Leelawadee" w:cs="Leelawadee"/>
        </w:rPr>
        <w:t xml:space="preserve"> corrected p-value (</w:t>
      </w:r>
      <w:r w:rsidR="007B58CA" w:rsidRPr="007B58CA">
        <w:rPr>
          <w:rFonts w:ascii="Leelawadee" w:hAnsi="Leelawadee" w:cs="Leelawadee"/>
        </w:rPr>
        <w:t xml:space="preserve">Yu </w:t>
      </w:r>
      <w:r w:rsidR="007B58CA" w:rsidRPr="007B58CA">
        <w:rPr>
          <w:rFonts w:ascii="Leelawadee" w:hAnsi="Leelawadee" w:cs="Leelawadee"/>
          <w:i/>
          <w:iCs/>
        </w:rPr>
        <w:t>et al</w:t>
      </w:r>
      <w:r w:rsidR="007B58CA" w:rsidRPr="007B58CA">
        <w:rPr>
          <w:rFonts w:ascii="Leelawadee" w:hAnsi="Leelawadee" w:cs="Leelawadee"/>
        </w:rPr>
        <w:t>, 2012</w:t>
      </w:r>
      <w:r w:rsidRPr="00901F1B">
        <w:rPr>
          <w:rFonts w:ascii="Leelawadee" w:hAnsi="Leelawadee" w:cs="Leelawadee"/>
        </w:rPr>
        <w:t>). Even if the correction is overlooked, the associations show population stratification (</w:t>
      </w:r>
      <w:r w:rsidR="009D7877" w:rsidRPr="007B58CA">
        <w:rPr>
          <w:rFonts w:ascii="Leelawadee" w:hAnsi="Leelawadee" w:cs="Leelawadee"/>
        </w:rPr>
        <w:t xml:space="preserve">Yu </w:t>
      </w:r>
      <w:r w:rsidR="009D7877" w:rsidRPr="007B58CA">
        <w:rPr>
          <w:rFonts w:ascii="Leelawadee" w:hAnsi="Leelawadee" w:cs="Leelawadee"/>
          <w:i/>
          <w:iCs/>
        </w:rPr>
        <w:t>et al</w:t>
      </w:r>
      <w:r w:rsidR="009D7877" w:rsidRPr="007B58CA">
        <w:rPr>
          <w:rFonts w:ascii="Leelawadee" w:hAnsi="Leelawadee" w:cs="Leelawadee"/>
        </w:rPr>
        <w:t>, 2012</w:t>
      </w:r>
      <w:r w:rsidR="009D7877">
        <w:rPr>
          <w:rFonts w:ascii="Leelawadee" w:hAnsi="Leelawadee" w:cs="Leelawadee"/>
        </w:rPr>
        <w:t xml:space="preserve">; </w:t>
      </w:r>
      <w:r w:rsidR="009D7877" w:rsidRPr="009D7877">
        <w:rPr>
          <w:rFonts w:ascii="Leelawadee" w:hAnsi="Leelawadee" w:cs="Leelawadee"/>
        </w:rPr>
        <w:t xml:space="preserve">Fischer </w:t>
      </w:r>
      <w:r w:rsidR="009D7877" w:rsidRPr="009D7877">
        <w:rPr>
          <w:rFonts w:ascii="Leelawadee" w:hAnsi="Leelawadee" w:cs="Leelawadee"/>
          <w:i/>
          <w:iCs/>
        </w:rPr>
        <w:t>et al</w:t>
      </w:r>
      <w:r w:rsidR="009D7877" w:rsidRPr="009D7877">
        <w:rPr>
          <w:rFonts w:ascii="Leelawadee" w:hAnsi="Leelawadee" w:cs="Leelawadee"/>
        </w:rPr>
        <w:t>, 2017)</w:t>
      </w:r>
      <w:r w:rsidR="009D7877">
        <w:rPr>
          <w:rFonts w:ascii="Leelawadee" w:hAnsi="Leelawadee" w:cs="Leelawadee"/>
        </w:rPr>
        <w:t>.</w:t>
      </w:r>
      <w:r w:rsidRPr="00901F1B">
        <w:rPr>
          <w:rFonts w:ascii="Leelawadee" w:hAnsi="Leelawadee" w:cs="Leelawadee"/>
        </w:rPr>
        <w:t xml:space="preserve"> Thus, in combination with findings of these other studies, the results of my analyses suggest that </w:t>
      </w:r>
      <w:r w:rsidRPr="00901F1B">
        <w:rPr>
          <w:rFonts w:ascii="Leelawadee" w:hAnsi="Leelawadee" w:cs="Leelawadee"/>
        </w:rPr>
        <w:lastRenderedPageBreak/>
        <w:t>var1 and var2 might play a redundant role in the association of IL32 to IBD. The same suggestion can be made about var4, as its effect on IL23R’s function is predicted to be low.</w:t>
      </w:r>
    </w:p>
    <w:p w:rsidR="00901F1B" w:rsidRPr="00901F1B" w:rsidRDefault="00901F1B" w:rsidP="007B58CA">
      <w:pPr>
        <w:spacing w:line="360" w:lineRule="auto"/>
        <w:rPr>
          <w:rFonts w:ascii="Leelawadee" w:hAnsi="Leelawadee" w:cs="Leelawadee"/>
        </w:rPr>
      </w:pPr>
      <w:r w:rsidRPr="00901F1B">
        <w:rPr>
          <w:rFonts w:ascii="Leelawadee" w:hAnsi="Leelawadee" w:cs="Leelawadee"/>
        </w:rPr>
        <w:t>Var3 was predicted to have a big effect on the function of IL23R. This is no surprise, as stop codons within open-reading-frames (ORFs) tend to cause truncated proteins or no protein at all (as a result of nonsense-mediated decay). According to the information available on ExAC, var3 has only been recorded in populations of African descent, at very low frequencies. Given this, var3 is probably a lethal variant.</w:t>
      </w:r>
    </w:p>
    <w:p w:rsidR="00901F1B" w:rsidRDefault="00901F1B">
      <w:pPr>
        <w:rPr>
          <w:rFonts w:ascii="Helvetica" w:hAnsi="Helvetica" w:cs="Helvetica"/>
          <w:sz w:val="48"/>
          <w:szCs w:val="48"/>
        </w:rPr>
      </w:pPr>
    </w:p>
    <w:p w:rsidR="00681DCE" w:rsidRDefault="00681DCE">
      <w:pPr>
        <w:rPr>
          <w:rFonts w:ascii="Helvetica" w:hAnsi="Helvetica" w:cs="Helvetica"/>
          <w:sz w:val="48"/>
          <w:szCs w:val="48"/>
        </w:rPr>
      </w:pPr>
    </w:p>
    <w:p w:rsidR="00681DCE" w:rsidRDefault="00681DCE">
      <w:pPr>
        <w:rPr>
          <w:rFonts w:ascii="Helvetica" w:hAnsi="Helvetica" w:cs="Helvetica"/>
          <w:sz w:val="48"/>
          <w:szCs w:val="48"/>
        </w:rPr>
      </w:pPr>
    </w:p>
    <w:p w:rsidR="00681DCE" w:rsidRDefault="00681DCE">
      <w:pPr>
        <w:rPr>
          <w:rFonts w:ascii="Helvetica" w:hAnsi="Helvetica" w:cs="Helvetica"/>
          <w:sz w:val="48"/>
          <w:szCs w:val="48"/>
        </w:rPr>
      </w:pPr>
    </w:p>
    <w:p w:rsidR="00681DCE" w:rsidRDefault="00681DCE">
      <w:pPr>
        <w:rPr>
          <w:rFonts w:ascii="Leelawadee" w:hAnsi="Leelawadee" w:cs="Leelawadee"/>
          <w:sz w:val="40"/>
          <w:szCs w:val="40"/>
        </w:rPr>
      </w:pPr>
    </w:p>
    <w:p w:rsidR="00681DCE" w:rsidRDefault="00681DCE">
      <w:pPr>
        <w:rPr>
          <w:rFonts w:ascii="Leelawadee" w:hAnsi="Leelawadee" w:cs="Leelawadee"/>
          <w:sz w:val="40"/>
          <w:szCs w:val="40"/>
        </w:rPr>
      </w:pPr>
    </w:p>
    <w:p w:rsidR="00681DCE" w:rsidRPr="00681DCE" w:rsidRDefault="00681DCE">
      <w:pPr>
        <w:rPr>
          <w:rFonts w:ascii="Leelawadee" w:hAnsi="Leelawadee" w:cs="Leelawadee"/>
          <w:sz w:val="40"/>
          <w:szCs w:val="40"/>
        </w:rPr>
      </w:pPr>
      <w:r w:rsidRPr="00681DCE">
        <w:rPr>
          <w:rFonts w:ascii="Leelawadee" w:hAnsi="Leelawadee" w:cs="Leelawadee"/>
          <w:sz w:val="40"/>
          <w:szCs w:val="40"/>
        </w:rPr>
        <w:t>References</w:t>
      </w:r>
    </w:p>
    <w:p w:rsidR="00681DCE" w:rsidRPr="00681DCE" w:rsidRDefault="00681DCE" w:rsidP="00681DCE">
      <w:pPr>
        <w:rPr>
          <w:rFonts w:ascii="Leelawadee" w:hAnsi="Leelawadee" w:cs="Leelawadee"/>
        </w:rPr>
      </w:pPr>
      <w:r w:rsidRPr="00681DCE">
        <w:rPr>
          <w:rFonts w:ascii="Leelawadee" w:hAnsi="Leelawadee" w:cs="Leelawadee"/>
        </w:rPr>
        <w:t xml:space="preserve">Ali O. (2013). Genetics of type 2 diabetes. </w:t>
      </w:r>
      <w:r w:rsidRPr="00681DCE">
        <w:rPr>
          <w:rFonts w:ascii="Leelawadee" w:hAnsi="Leelawadee" w:cs="Leelawadee"/>
          <w:i/>
        </w:rPr>
        <w:t>World Journal of Diabetes</w:t>
      </w:r>
      <w:r w:rsidRPr="00681DCE">
        <w:rPr>
          <w:rFonts w:ascii="Leelawadee" w:hAnsi="Leelawadee" w:cs="Leelawadee"/>
        </w:rPr>
        <w:t>, 4(4), 114—123.</w:t>
      </w:r>
    </w:p>
    <w:p w:rsidR="00681DCE" w:rsidRPr="00681DCE" w:rsidRDefault="00681DCE" w:rsidP="00681DCE">
      <w:pPr>
        <w:rPr>
          <w:rFonts w:ascii="Leelawadee" w:hAnsi="Leelawadee" w:cs="Leelawadee"/>
        </w:rPr>
      </w:pPr>
      <w:r w:rsidRPr="00681DCE">
        <w:rPr>
          <w:rFonts w:ascii="Leelawadee" w:hAnsi="Leelawadee" w:cs="Leelawadee"/>
        </w:rPr>
        <w:t xml:space="preserve">American Diabetes Association. (2010). Diagnosis and Classification of Diabetes Mellitus. </w:t>
      </w:r>
      <w:r w:rsidRPr="00681DCE">
        <w:rPr>
          <w:rFonts w:ascii="Leelawadee" w:hAnsi="Leelawadee" w:cs="Leelawadee"/>
          <w:i/>
        </w:rPr>
        <w:t>Diabetes Care</w:t>
      </w:r>
      <w:r w:rsidRPr="00681DCE">
        <w:rPr>
          <w:rFonts w:ascii="Leelawadee" w:hAnsi="Leelawadee" w:cs="Leelawadee"/>
        </w:rPr>
        <w:t>, 33(</w:t>
      </w:r>
      <w:proofErr w:type="spellStart"/>
      <w:r w:rsidRPr="00681DCE">
        <w:rPr>
          <w:rFonts w:ascii="Leelawadee" w:hAnsi="Leelawadee" w:cs="Leelawadee"/>
        </w:rPr>
        <w:t>Suppl</w:t>
      </w:r>
      <w:proofErr w:type="spellEnd"/>
      <w:r w:rsidRPr="00681DCE">
        <w:rPr>
          <w:rFonts w:ascii="Leelawadee" w:hAnsi="Leelawadee" w:cs="Leelawadee"/>
        </w:rPr>
        <w:t xml:space="preserve"> 1), S62—S9.</w:t>
      </w:r>
    </w:p>
    <w:p w:rsidR="00681DCE" w:rsidRPr="00681DCE" w:rsidRDefault="00681DCE" w:rsidP="00681DCE">
      <w:pPr>
        <w:rPr>
          <w:rFonts w:ascii="Leelawadee" w:hAnsi="Leelawadee" w:cs="Leelawadee"/>
        </w:rPr>
      </w:pPr>
      <w:r w:rsidRPr="00681DCE">
        <w:rPr>
          <w:rFonts w:ascii="Leelawadee" w:hAnsi="Leelawadee" w:cs="Leelawadee"/>
        </w:rPr>
        <w:t xml:space="preserve">Barrett JC, Fry B, </w:t>
      </w:r>
      <w:proofErr w:type="spellStart"/>
      <w:r w:rsidRPr="00681DCE">
        <w:rPr>
          <w:rFonts w:ascii="Leelawadee" w:hAnsi="Leelawadee" w:cs="Leelawadee"/>
        </w:rPr>
        <w:t>Maller</w:t>
      </w:r>
      <w:proofErr w:type="spellEnd"/>
      <w:r w:rsidRPr="00681DCE">
        <w:rPr>
          <w:rFonts w:ascii="Leelawadee" w:hAnsi="Leelawadee" w:cs="Leelawadee"/>
        </w:rPr>
        <w:t xml:space="preserve"> J, and Daly MJ. (2005). </w:t>
      </w:r>
      <w:proofErr w:type="spellStart"/>
      <w:r w:rsidRPr="00681DCE">
        <w:rPr>
          <w:rFonts w:ascii="Leelawadee" w:hAnsi="Leelawadee" w:cs="Leelawadee"/>
        </w:rPr>
        <w:t>Haploview</w:t>
      </w:r>
      <w:proofErr w:type="spellEnd"/>
      <w:r w:rsidRPr="00681DCE">
        <w:rPr>
          <w:rFonts w:ascii="Leelawadee" w:hAnsi="Leelawadee" w:cs="Leelawadee"/>
        </w:rPr>
        <w:t xml:space="preserve">: analysis and visualization of LD and haplotype maps. </w:t>
      </w:r>
      <w:r w:rsidRPr="00681DCE">
        <w:rPr>
          <w:rFonts w:ascii="Leelawadee" w:hAnsi="Leelawadee" w:cs="Leelawadee"/>
          <w:i/>
          <w:iCs/>
        </w:rPr>
        <w:t>Bioinformatics</w:t>
      </w:r>
      <w:r w:rsidRPr="00681DCE">
        <w:rPr>
          <w:rFonts w:ascii="Leelawadee" w:hAnsi="Leelawadee" w:cs="Leelawadee"/>
        </w:rPr>
        <w:t>. [PubMed ID: 15297300]</w:t>
      </w:r>
    </w:p>
    <w:p w:rsidR="00681DCE" w:rsidRPr="00681DCE" w:rsidRDefault="00681DCE" w:rsidP="00681DCE">
      <w:pPr>
        <w:rPr>
          <w:rFonts w:ascii="Leelawadee" w:hAnsi="Leelawadee" w:cs="Leelawadee"/>
        </w:rPr>
      </w:pPr>
      <w:r w:rsidRPr="00681DCE">
        <w:rPr>
          <w:rFonts w:ascii="Leelawadee" w:hAnsi="Leelawadee" w:cs="Leelawadee"/>
        </w:rPr>
        <w:t xml:space="preserve">Fischer S, </w:t>
      </w:r>
      <w:proofErr w:type="spellStart"/>
      <w:r w:rsidRPr="00681DCE">
        <w:rPr>
          <w:rFonts w:ascii="Leelawadee" w:hAnsi="Leelawadee" w:cs="Leelawadee"/>
        </w:rPr>
        <w:t>Kövesdi</w:t>
      </w:r>
      <w:proofErr w:type="spellEnd"/>
      <w:r w:rsidRPr="00681DCE">
        <w:rPr>
          <w:rFonts w:ascii="Leelawadee" w:hAnsi="Leelawadee" w:cs="Leelawadee"/>
        </w:rPr>
        <w:t xml:space="preserve"> E, </w:t>
      </w:r>
      <w:proofErr w:type="spellStart"/>
      <w:r w:rsidRPr="00681DCE">
        <w:rPr>
          <w:rFonts w:ascii="Leelawadee" w:hAnsi="Leelawadee" w:cs="Leelawadee"/>
        </w:rPr>
        <w:t>Magyari</w:t>
      </w:r>
      <w:proofErr w:type="spellEnd"/>
      <w:r w:rsidRPr="00681DCE">
        <w:rPr>
          <w:rFonts w:ascii="Leelawadee" w:hAnsi="Leelawadee" w:cs="Leelawadee"/>
        </w:rPr>
        <w:t xml:space="preserve"> L, </w:t>
      </w:r>
      <w:proofErr w:type="spellStart"/>
      <w:r w:rsidRPr="00681DCE">
        <w:rPr>
          <w:rFonts w:ascii="Leelawadee" w:hAnsi="Leelawadee" w:cs="Leelawadee"/>
        </w:rPr>
        <w:t>Csöngei</w:t>
      </w:r>
      <w:proofErr w:type="spellEnd"/>
      <w:r w:rsidRPr="00681DCE">
        <w:rPr>
          <w:rFonts w:ascii="Leelawadee" w:hAnsi="Leelawadee" w:cs="Leelawadee"/>
        </w:rPr>
        <w:t xml:space="preserve"> V, </w:t>
      </w:r>
      <w:proofErr w:type="spellStart"/>
      <w:r w:rsidRPr="00681DCE">
        <w:rPr>
          <w:rFonts w:ascii="Leelawadee" w:hAnsi="Leelawadee" w:cs="Leelawadee"/>
        </w:rPr>
        <w:t>Hadzsiev</w:t>
      </w:r>
      <w:proofErr w:type="spellEnd"/>
      <w:r w:rsidRPr="00681DCE">
        <w:rPr>
          <w:rFonts w:ascii="Leelawadee" w:hAnsi="Leelawadee" w:cs="Leelawadee"/>
        </w:rPr>
        <w:t xml:space="preserve"> K, </w:t>
      </w:r>
      <w:proofErr w:type="spellStart"/>
      <w:r w:rsidRPr="00681DCE">
        <w:rPr>
          <w:rFonts w:ascii="Leelawadee" w:hAnsi="Leelawadee" w:cs="Leelawadee"/>
        </w:rPr>
        <w:t>Melegh</w:t>
      </w:r>
      <w:proofErr w:type="spellEnd"/>
      <w:r w:rsidRPr="00681DCE">
        <w:rPr>
          <w:rFonts w:ascii="Leelawadee" w:hAnsi="Leelawadee" w:cs="Leelawadee"/>
        </w:rPr>
        <w:t xml:space="preserve"> B, </w:t>
      </w:r>
      <w:proofErr w:type="spellStart"/>
      <w:r w:rsidRPr="00681DCE">
        <w:rPr>
          <w:rFonts w:ascii="Leelawadee" w:hAnsi="Leelawadee" w:cs="Leelawadee"/>
        </w:rPr>
        <w:t>Hegyi</w:t>
      </w:r>
      <w:proofErr w:type="spellEnd"/>
      <w:r w:rsidRPr="00681DCE">
        <w:rPr>
          <w:rFonts w:ascii="Leelawadee" w:hAnsi="Leelawadee" w:cs="Leelawadee"/>
        </w:rPr>
        <w:t xml:space="preserve"> P, and </w:t>
      </w:r>
      <w:proofErr w:type="spellStart"/>
      <w:r w:rsidRPr="00681DCE">
        <w:rPr>
          <w:rFonts w:ascii="Leelawadee" w:hAnsi="Leelawadee" w:cs="Leelawadee"/>
        </w:rPr>
        <w:t>Sarlós</w:t>
      </w:r>
      <w:proofErr w:type="spellEnd"/>
      <w:r w:rsidRPr="00681DCE">
        <w:rPr>
          <w:rFonts w:ascii="Leelawadee" w:hAnsi="Leelawadee" w:cs="Leelawadee"/>
        </w:rPr>
        <w:t xml:space="preserve"> P. (2017). IL23R single nucleotide polymorphisms could be either beneficial or harmful in ulcerative colitis. </w:t>
      </w:r>
      <w:r w:rsidRPr="00681DCE">
        <w:rPr>
          <w:rFonts w:ascii="Leelawadee" w:hAnsi="Leelawadee" w:cs="Leelawadee"/>
          <w:i/>
        </w:rPr>
        <w:t>World Journal of Gastroenterology</w:t>
      </w:r>
      <w:r w:rsidRPr="00681DCE">
        <w:rPr>
          <w:rFonts w:ascii="Leelawadee" w:hAnsi="Leelawadee" w:cs="Leelawadee"/>
        </w:rPr>
        <w:t>, 23(3), 447—454.</w:t>
      </w:r>
    </w:p>
    <w:p w:rsidR="00681DCE" w:rsidRPr="00681DCE" w:rsidRDefault="00681DCE" w:rsidP="00681DCE">
      <w:pPr>
        <w:rPr>
          <w:rFonts w:ascii="Leelawadee" w:hAnsi="Leelawadee" w:cs="Leelawadee"/>
        </w:rPr>
      </w:pPr>
      <w:r w:rsidRPr="00681DCE">
        <w:rPr>
          <w:rFonts w:ascii="Leelawadee" w:hAnsi="Leelawadee" w:cs="Leelawadee"/>
        </w:rPr>
        <w:t xml:space="preserve">Imamura M, Takahashi A, Yamauchi T, Hara K, Yasuda K, </w:t>
      </w:r>
      <w:proofErr w:type="spellStart"/>
      <w:r w:rsidRPr="00681DCE">
        <w:rPr>
          <w:rFonts w:ascii="Leelawadee" w:hAnsi="Leelawadee" w:cs="Leelawadee"/>
        </w:rPr>
        <w:t>Grarup</w:t>
      </w:r>
      <w:proofErr w:type="spellEnd"/>
      <w:r w:rsidRPr="00681DCE">
        <w:rPr>
          <w:rFonts w:ascii="Leelawadee" w:hAnsi="Leelawadee" w:cs="Leelawadee"/>
        </w:rPr>
        <w:t xml:space="preserve"> N, Zhao W, Wang X, Huerta-</w:t>
      </w:r>
      <w:proofErr w:type="spellStart"/>
      <w:r w:rsidRPr="00681DCE">
        <w:rPr>
          <w:rFonts w:ascii="Leelawadee" w:hAnsi="Leelawadee" w:cs="Leelawadee"/>
        </w:rPr>
        <w:t>Chagoya</w:t>
      </w:r>
      <w:proofErr w:type="spellEnd"/>
      <w:r w:rsidRPr="00681DCE">
        <w:rPr>
          <w:rFonts w:ascii="Leelawadee" w:hAnsi="Leelawadee" w:cs="Leelawadee"/>
        </w:rPr>
        <w:t xml:space="preserve"> A, Hu C, Moon S, Long J, </w:t>
      </w:r>
      <w:proofErr w:type="spellStart"/>
      <w:r w:rsidRPr="00681DCE">
        <w:rPr>
          <w:rFonts w:ascii="Leelawadee" w:hAnsi="Leelawadee" w:cs="Leelawadee"/>
        </w:rPr>
        <w:t>Kwak</w:t>
      </w:r>
      <w:proofErr w:type="spellEnd"/>
      <w:r w:rsidRPr="00681DCE">
        <w:rPr>
          <w:rFonts w:ascii="Leelawadee" w:hAnsi="Leelawadee" w:cs="Leelawadee"/>
        </w:rPr>
        <w:t xml:space="preserve"> SH, Rasheed A, </w:t>
      </w:r>
      <w:proofErr w:type="spellStart"/>
      <w:r w:rsidRPr="00681DCE">
        <w:rPr>
          <w:rFonts w:ascii="Leelawadee" w:hAnsi="Leelawadee" w:cs="Leelawadee"/>
        </w:rPr>
        <w:t>Saxena</w:t>
      </w:r>
      <w:proofErr w:type="spellEnd"/>
      <w:r w:rsidRPr="00681DCE">
        <w:rPr>
          <w:rFonts w:ascii="Leelawadee" w:hAnsi="Leelawadee" w:cs="Leelawadee"/>
        </w:rPr>
        <w:t xml:space="preserve"> R, Ma RC, Okada Y, Iwata M, </w:t>
      </w:r>
      <w:proofErr w:type="spellStart"/>
      <w:r w:rsidRPr="00681DCE">
        <w:rPr>
          <w:rFonts w:ascii="Leelawadee" w:hAnsi="Leelawadee" w:cs="Leelawadee"/>
        </w:rPr>
        <w:t>Hosoe</w:t>
      </w:r>
      <w:proofErr w:type="spellEnd"/>
      <w:r w:rsidRPr="00681DCE">
        <w:rPr>
          <w:rFonts w:ascii="Leelawadee" w:hAnsi="Leelawadee" w:cs="Leelawadee"/>
        </w:rPr>
        <w:t xml:space="preserve"> J, </w:t>
      </w:r>
      <w:proofErr w:type="spellStart"/>
      <w:r w:rsidRPr="00681DCE">
        <w:rPr>
          <w:rFonts w:ascii="Leelawadee" w:hAnsi="Leelawadee" w:cs="Leelawadee"/>
        </w:rPr>
        <w:t>Shojima</w:t>
      </w:r>
      <w:proofErr w:type="spellEnd"/>
      <w:r w:rsidRPr="00681DCE">
        <w:rPr>
          <w:rFonts w:ascii="Leelawadee" w:hAnsi="Leelawadee" w:cs="Leelawadee"/>
        </w:rPr>
        <w:t xml:space="preserve"> N, Iwasaki M, Fujita H, Suzuki K, </w:t>
      </w:r>
      <w:proofErr w:type="spellStart"/>
      <w:r w:rsidRPr="00681DCE">
        <w:rPr>
          <w:rFonts w:ascii="Leelawadee" w:hAnsi="Leelawadee" w:cs="Leelawadee"/>
        </w:rPr>
        <w:t>Danesh</w:t>
      </w:r>
      <w:proofErr w:type="spellEnd"/>
      <w:r w:rsidRPr="00681DCE">
        <w:rPr>
          <w:rFonts w:ascii="Leelawadee" w:hAnsi="Leelawadee" w:cs="Leelawadee"/>
        </w:rPr>
        <w:t xml:space="preserve">, </w:t>
      </w:r>
      <w:proofErr w:type="spellStart"/>
      <w:r w:rsidRPr="00681DCE">
        <w:rPr>
          <w:rFonts w:ascii="Leelawadee" w:hAnsi="Leelawadee" w:cs="Leelawadee"/>
        </w:rPr>
        <w:t>Jørgensen</w:t>
      </w:r>
      <w:proofErr w:type="spellEnd"/>
      <w:r w:rsidRPr="00681DCE">
        <w:rPr>
          <w:rFonts w:ascii="Leelawadee" w:hAnsi="Leelawadee" w:cs="Leelawadee"/>
        </w:rPr>
        <w:t xml:space="preserve"> , </w:t>
      </w:r>
      <w:proofErr w:type="spellStart"/>
      <w:r w:rsidRPr="00681DCE">
        <w:rPr>
          <w:rFonts w:ascii="Leelawadee" w:hAnsi="Leelawadee" w:cs="Leelawadee"/>
        </w:rPr>
        <w:t>Jørgensen</w:t>
      </w:r>
      <w:proofErr w:type="spellEnd"/>
      <w:r w:rsidRPr="00681DCE">
        <w:rPr>
          <w:rFonts w:ascii="Leelawadee" w:hAnsi="Leelawadee" w:cs="Leelawadee"/>
        </w:rPr>
        <w:t xml:space="preserve"> ME, Witte DR, </w:t>
      </w:r>
      <w:proofErr w:type="spellStart"/>
      <w:r w:rsidRPr="00681DCE">
        <w:rPr>
          <w:rFonts w:ascii="Leelawadee" w:hAnsi="Leelawadee" w:cs="Leelawadee"/>
        </w:rPr>
        <w:t>Brandslund</w:t>
      </w:r>
      <w:proofErr w:type="spellEnd"/>
      <w:r w:rsidRPr="00681DCE">
        <w:rPr>
          <w:rFonts w:ascii="Leelawadee" w:hAnsi="Leelawadee" w:cs="Leelawadee"/>
        </w:rPr>
        <w:t xml:space="preserve"> I, Christensen C, Hansen T, </w:t>
      </w:r>
      <w:proofErr w:type="spellStart"/>
      <w:r w:rsidRPr="00681DCE">
        <w:rPr>
          <w:rFonts w:ascii="Leelawadee" w:hAnsi="Leelawadee" w:cs="Leelawadee"/>
        </w:rPr>
        <w:t>Mercader</w:t>
      </w:r>
      <w:proofErr w:type="spellEnd"/>
      <w:r w:rsidRPr="00681DCE">
        <w:rPr>
          <w:rFonts w:ascii="Leelawadee" w:hAnsi="Leelawadee" w:cs="Leelawadee"/>
        </w:rPr>
        <w:t xml:space="preserve"> JM, </w:t>
      </w:r>
      <w:proofErr w:type="spellStart"/>
      <w:r w:rsidRPr="00681DCE">
        <w:rPr>
          <w:rFonts w:ascii="Leelawadee" w:hAnsi="Leelawadee" w:cs="Leelawadee"/>
        </w:rPr>
        <w:t>Flannick</w:t>
      </w:r>
      <w:proofErr w:type="spellEnd"/>
      <w:r w:rsidRPr="00681DCE">
        <w:rPr>
          <w:rFonts w:ascii="Leelawadee" w:hAnsi="Leelawadee" w:cs="Leelawadee"/>
        </w:rPr>
        <w:t xml:space="preserve"> J, Moreno-</w:t>
      </w:r>
      <w:proofErr w:type="spellStart"/>
      <w:r w:rsidRPr="00681DCE">
        <w:rPr>
          <w:rFonts w:ascii="Leelawadee" w:hAnsi="Leelawadee" w:cs="Leelawadee"/>
        </w:rPr>
        <w:t>Macías</w:t>
      </w:r>
      <w:proofErr w:type="spellEnd"/>
      <w:r w:rsidRPr="00681DCE">
        <w:rPr>
          <w:rFonts w:ascii="Leelawadee" w:hAnsi="Leelawadee" w:cs="Leelawadee"/>
        </w:rPr>
        <w:t xml:space="preserve"> H, </w:t>
      </w:r>
      <w:proofErr w:type="spellStart"/>
      <w:r w:rsidRPr="00681DCE">
        <w:rPr>
          <w:rFonts w:ascii="Leelawadee" w:hAnsi="Leelawadee" w:cs="Leelawadee"/>
        </w:rPr>
        <w:t>Burtt</w:t>
      </w:r>
      <w:proofErr w:type="spellEnd"/>
      <w:r w:rsidRPr="00681DCE">
        <w:rPr>
          <w:rFonts w:ascii="Leelawadee" w:hAnsi="Leelawadee" w:cs="Leelawadee"/>
        </w:rPr>
        <w:t xml:space="preserve"> NP, Zhang R, Kim YJ, Zheng W, Singh JR, Tam CH, Hirose H, </w:t>
      </w:r>
      <w:proofErr w:type="spellStart"/>
      <w:r w:rsidRPr="00681DCE">
        <w:rPr>
          <w:rFonts w:ascii="Leelawadee" w:hAnsi="Leelawadee" w:cs="Leelawadee"/>
        </w:rPr>
        <w:t>Maegawa</w:t>
      </w:r>
      <w:proofErr w:type="spellEnd"/>
      <w:r w:rsidRPr="00681DCE">
        <w:rPr>
          <w:rFonts w:ascii="Leelawadee" w:hAnsi="Leelawadee" w:cs="Leelawadee"/>
        </w:rPr>
        <w:t xml:space="preserve"> H, Ito C, </w:t>
      </w:r>
      <w:proofErr w:type="spellStart"/>
      <w:r w:rsidRPr="00681DCE">
        <w:rPr>
          <w:rFonts w:ascii="Leelawadee" w:hAnsi="Leelawadee" w:cs="Leelawadee"/>
        </w:rPr>
        <w:t>Kaku</w:t>
      </w:r>
      <w:proofErr w:type="spellEnd"/>
      <w:r w:rsidRPr="00681DCE">
        <w:rPr>
          <w:rFonts w:ascii="Leelawadee" w:hAnsi="Leelawadee" w:cs="Leelawadee"/>
        </w:rPr>
        <w:t xml:space="preserve"> K, </w:t>
      </w:r>
      <w:proofErr w:type="spellStart"/>
      <w:r w:rsidRPr="00681DCE">
        <w:rPr>
          <w:rFonts w:ascii="Leelawadee" w:hAnsi="Leelawadee" w:cs="Leelawadee"/>
        </w:rPr>
        <w:t>Watada</w:t>
      </w:r>
      <w:proofErr w:type="spellEnd"/>
      <w:r w:rsidRPr="00681DCE">
        <w:rPr>
          <w:rFonts w:ascii="Leelawadee" w:hAnsi="Leelawadee" w:cs="Leelawadee"/>
        </w:rPr>
        <w:t xml:space="preserve"> H, Tanaka Y, Tobe K, </w:t>
      </w:r>
      <w:proofErr w:type="spellStart"/>
      <w:r w:rsidRPr="00681DCE">
        <w:rPr>
          <w:rFonts w:ascii="Leelawadee" w:hAnsi="Leelawadee" w:cs="Leelawadee"/>
        </w:rPr>
        <w:t>Kawamori</w:t>
      </w:r>
      <w:proofErr w:type="spellEnd"/>
      <w:r w:rsidRPr="00681DCE">
        <w:rPr>
          <w:rFonts w:ascii="Leelawadee" w:hAnsi="Leelawadee" w:cs="Leelawadee"/>
        </w:rPr>
        <w:t xml:space="preserve"> R, Kubo M, Cho YS, Chan JC, </w:t>
      </w:r>
      <w:proofErr w:type="spellStart"/>
      <w:r w:rsidRPr="00681DCE">
        <w:rPr>
          <w:rFonts w:ascii="Leelawadee" w:hAnsi="Leelawadee" w:cs="Leelawadee"/>
        </w:rPr>
        <w:t>Sanghera</w:t>
      </w:r>
      <w:proofErr w:type="spellEnd"/>
      <w:r w:rsidRPr="00681DCE">
        <w:rPr>
          <w:rFonts w:ascii="Leelawadee" w:hAnsi="Leelawadee" w:cs="Leelawadee"/>
        </w:rPr>
        <w:t xml:space="preserve"> D, </w:t>
      </w:r>
      <w:proofErr w:type="spellStart"/>
      <w:r w:rsidRPr="00681DCE">
        <w:rPr>
          <w:rFonts w:ascii="Leelawadee" w:hAnsi="Leelawadee" w:cs="Leelawadee"/>
        </w:rPr>
        <w:t>Frossard</w:t>
      </w:r>
      <w:proofErr w:type="spellEnd"/>
      <w:r w:rsidRPr="00681DCE">
        <w:rPr>
          <w:rFonts w:ascii="Leelawadee" w:hAnsi="Leelawadee" w:cs="Leelawadee"/>
        </w:rPr>
        <w:t xml:space="preserve"> P, Park KS, Shu XO, Kim BJ, </w:t>
      </w:r>
      <w:proofErr w:type="spellStart"/>
      <w:r w:rsidRPr="00681DCE">
        <w:rPr>
          <w:rFonts w:ascii="Leelawadee" w:hAnsi="Leelawadee" w:cs="Leelawadee"/>
        </w:rPr>
        <w:t>Florez</w:t>
      </w:r>
      <w:proofErr w:type="spellEnd"/>
      <w:r w:rsidRPr="00681DCE">
        <w:rPr>
          <w:rFonts w:ascii="Leelawadee" w:hAnsi="Leelawadee" w:cs="Leelawadee"/>
        </w:rPr>
        <w:t xml:space="preserve"> JC, </w:t>
      </w:r>
      <w:proofErr w:type="spellStart"/>
      <w:r w:rsidRPr="00681DCE">
        <w:rPr>
          <w:rFonts w:ascii="Leelawadee" w:hAnsi="Leelawadee" w:cs="Leelawadee"/>
        </w:rPr>
        <w:t>Tusié</w:t>
      </w:r>
      <w:proofErr w:type="spellEnd"/>
      <w:r w:rsidRPr="00681DCE">
        <w:rPr>
          <w:rFonts w:ascii="Leelawadee" w:hAnsi="Leelawadee" w:cs="Leelawadee"/>
        </w:rPr>
        <w:t xml:space="preserve">-Luna T, </w:t>
      </w:r>
      <w:proofErr w:type="spellStart"/>
      <w:r w:rsidRPr="00681DCE">
        <w:rPr>
          <w:rFonts w:ascii="Leelawadee" w:hAnsi="Leelawadee" w:cs="Leelawadee"/>
        </w:rPr>
        <w:t>Jia</w:t>
      </w:r>
      <w:proofErr w:type="spellEnd"/>
      <w:r w:rsidRPr="00681DCE">
        <w:rPr>
          <w:rFonts w:ascii="Leelawadee" w:hAnsi="Leelawadee" w:cs="Leelawadee"/>
        </w:rPr>
        <w:t xml:space="preserve"> W, Tai ES, Pedersen O, </w:t>
      </w:r>
      <w:proofErr w:type="spellStart"/>
      <w:r w:rsidRPr="00681DCE">
        <w:rPr>
          <w:rFonts w:ascii="Leelawadee" w:hAnsi="Leelawadee" w:cs="Leelawadee"/>
        </w:rPr>
        <w:t>Saleheen</w:t>
      </w:r>
      <w:proofErr w:type="spellEnd"/>
      <w:r w:rsidRPr="00681DCE">
        <w:rPr>
          <w:rFonts w:ascii="Leelawadee" w:hAnsi="Leelawadee" w:cs="Leelawadee"/>
        </w:rPr>
        <w:t xml:space="preserve"> D, Maeda S, </w:t>
      </w:r>
      <w:proofErr w:type="spellStart"/>
      <w:r w:rsidRPr="00681DCE">
        <w:rPr>
          <w:rFonts w:ascii="Leelawadee" w:hAnsi="Leelawadee" w:cs="Leelawadee"/>
        </w:rPr>
        <w:t>Kadowaki</w:t>
      </w:r>
      <w:proofErr w:type="spellEnd"/>
      <w:r w:rsidRPr="00681DCE">
        <w:rPr>
          <w:rFonts w:ascii="Leelawadee" w:hAnsi="Leelawadee" w:cs="Leelawadee"/>
        </w:rPr>
        <w:t xml:space="preserve"> T. (2016). Genome-wide association studies in the Japanese population identify seven novel loci for type 2 diabetes. </w:t>
      </w:r>
      <w:r w:rsidRPr="00681DCE">
        <w:rPr>
          <w:rFonts w:ascii="Leelawadee" w:hAnsi="Leelawadee" w:cs="Leelawadee"/>
          <w:i/>
        </w:rPr>
        <w:t xml:space="preserve">Nature </w:t>
      </w:r>
      <w:proofErr w:type="spellStart"/>
      <w:r w:rsidRPr="00681DCE">
        <w:rPr>
          <w:rFonts w:ascii="Leelawadee" w:hAnsi="Leelawadee" w:cs="Leelawadee"/>
          <w:i/>
        </w:rPr>
        <w:t>Comunications</w:t>
      </w:r>
      <w:proofErr w:type="spellEnd"/>
      <w:r w:rsidRPr="00681DCE">
        <w:rPr>
          <w:rFonts w:ascii="Leelawadee" w:hAnsi="Leelawadee" w:cs="Leelawadee"/>
        </w:rPr>
        <w:t xml:space="preserve">, 10531. </w:t>
      </w:r>
      <w:proofErr w:type="spellStart"/>
      <w:r w:rsidRPr="00681DCE">
        <w:rPr>
          <w:rFonts w:ascii="Leelawadee" w:hAnsi="Leelawadee" w:cs="Leelawadee"/>
        </w:rPr>
        <w:t>doi</w:t>
      </w:r>
      <w:proofErr w:type="spellEnd"/>
      <w:r w:rsidRPr="00681DCE">
        <w:rPr>
          <w:rFonts w:ascii="Leelawadee" w:hAnsi="Leelawadee" w:cs="Leelawadee"/>
        </w:rPr>
        <w:t>: 10.1038/ncomms10531.</w:t>
      </w:r>
    </w:p>
    <w:p w:rsidR="00681DCE" w:rsidRDefault="00681DCE" w:rsidP="00681DCE">
      <w:pPr>
        <w:rPr>
          <w:rFonts w:ascii="Leelawadee" w:hAnsi="Leelawadee" w:cs="Leelawadee"/>
        </w:rPr>
      </w:pPr>
    </w:p>
    <w:p w:rsidR="00681DCE" w:rsidRDefault="00681DCE" w:rsidP="00681DCE">
      <w:pPr>
        <w:rPr>
          <w:rFonts w:ascii="Leelawadee" w:hAnsi="Leelawadee" w:cs="Leelawadee"/>
        </w:rPr>
      </w:pPr>
    </w:p>
    <w:p w:rsidR="00681DCE" w:rsidRPr="00681DCE" w:rsidRDefault="00681DCE" w:rsidP="00681DCE">
      <w:pPr>
        <w:rPr>
          <w:rFonts w:ascii="Leelawadee" w:hAnsi="Leelawadee" w:cs="Leelawadee"/>
        </w:rPr>
      </w:pPr>
      <w:proofErr w:type="spellStart"/>
      <w:r w:rsidRPr="00681DCE">
        <w:rPr>
          <w:rFonts w:ascii="Leelawadee" w:hAnsi="Leelawadee" w:cs="Leelawadee"/>
        </w:rPr>
        <w:t>Kruglyak</w:t>
      </w:r>
      <w:proofErr w:type="spellEnd"/>
      <w:r w:rsidRPr="00681DCE">
        <w:rPr>
          <w:rFonts w:ascii="Leelawadee" w:hAnsi="Leelawadee" w:cs="Leelawadee"/>
        </w:rPr>
        <w:t xml:space="preserve"> L. (2008). The road to genome-wide association studies. </w:t>
      </w:r>
      <w:r w:rsidRPr="00681DCE">
        <w:rPr>
          <w:rFonts w:ascii="Leelawadee" w:hAnsi="Leelawadee" w:cs="Leelawadee"/>
          <w:i/>
        </w:rPr>
        <w:t>Nature Reviews Genetics</w:t>
      </w:r>
      <w:r w:rsidRPr="00681DCE">
        <w:rPr>
          <w:rFonts w:ascii="Leelawadee" w:hAnsi="Leelawadee" w:cs="Leelawadee"/>
        </w:rPr>
        <w:t>, 9(4), 314—318.</w:t>
      </w:r>
    </w:p>
    <w:p w:rsidR="00681DCE" w:rsidRPr="00681DCE" w:rsidRDefault="00681DCE" w:rsidP="00681DCE">
      <w:pPr>
        <w:rPr>
          <w:rFonts w:ascii="Leelawadee" w:hAnsi="Leelawadee" w:cs="Leelawadee"/>
        </w:rPr>
      </w:pPr>
      <w:r w:rsidRPr="00681DCE">
        <w:rPr>
          <w:rFonts w:ascii="Leelawadee" w:hAnsi="Leelawadee" w:cs="Leelawadee"/>
        </w:rPr>
        <w:t xml:space="preserve">Liu Z, </w:t>
      </w:r>
      <w:proofErr w:type="spellStart"/>
      <w:r w:rsidRPr="00681DCE">
        <w:rPr>
          <w:rFonts w:ascii="Leelawadee" w:hAnsi="Leelawadee" w:cs="Leelawadee"/>
        </w:rPr>
        <w:t>Guo</w:t>
      </w:r>
      <w:proofErr w:type="spellEnd"/>
      <w:r w:rsidRPr="00681DCE">
        <w:rPr>
          <w:rFonts w:ascii="Leelawadee" w:hAnsi="Leelawadee" w:cs="Leelawadee"/>
        </w:rPr>
        <w:t xml:space="preserve"> X, Jiang Y, and Zhang H. (2013). NCK2 Is Significantly Associated with Opiates Addiction </w:t>
      </w:r>
      <w:proofErr w:type="spellStart"/>
      <w:r w:rsidRPr="00681DCE">
        <w:rPr>
          <w:rFonts w:ascii="Leelawadee" w:hAnsi="Leelawadee" w:cs="Leelawadee"/>
        </w:rPr>
        <w:t>inAfrican</w:t>
      </w:r>
      <w:proofErr w:type="spellEnd"/>
      <w:r w:rsidRPr="00681DCE">
        <w:rPr>
          <w:rFonts w:ascii="Leelawadee" w:hAnsi="Leelawadee" w:cs="Leelawadee"/>
        </w:rPr>
        <w:t xml:space="preserve">-Origin Men. </w:t>
      </w:r>
      <w:r w:rsidRPr="00681DCE">
        <w:rPr>
          <w:rFonts w:ascii="Leelawadee" w:hAnsi="Leelawadee" w:cs="Leelawadee"/>
          <w:i/>
        </w:rPr>
        <w:t>The Scientific World Journal</w:t>
      </w:r>
      <w:r w:rsidRPr="00681DCE">
        <w:rPr>
          <w:rFonts w:ascii="Leelawadee" w:hAnsi="Leelawadee" w:cs="Leelawadee"/>
        </w:rPr>
        <w:t>, (4): 748979.</w:t>
      </w:r>
    </w:p>
    <w:p w:rsidR="00681DCE" w:rsidRPr="00681DCE" w:rsidRDefault="00681DCE" w:rsidP="00681DCE">
      <w:pPr>
        <w:rPr>
          <w:rFonts w:ascii="Leelawadee" w:hAnsi="Leelawadee" w:cs="Leelawadee"/>
        </w:rPr>
      </w:pPr>
      <w:r w:rsidRPr="00681DCE">
        <w:rPr>
          <w:rFonts w:ascii="Leelawadee" w:hAnsi="Leelawadee" w:cs="Leelawadee"/>
        </w:rPr>
        <w:t xml:space="preserve">Wheeler E, and Barroso I. (2011). Genome-wide association studies and type 2 diabetes. </w:t>
      </w:r>
      <w:proofErr w:type="spellStart"/>
      <w:r w:rsidRPr="00681DCE">
        <w:rPr>
          <w:rFonts w:ascii="Leelawadee" w:hAnsi="Leelawadee" w:cs="Leelawadee"/>
          <w:i/>
        </w:rPr>
        <w:t>Briefiengs</w:t>
      </w:r>
      <w:proofErr w:type="spellEnd"/>
      <w:r w:rsidRPr="00681DCE">
        <w:rPr>
          <w:rFonts w:ascii="Leelawadee" w:hAnsi="Leelawadee" w:cs="Leelawadee"/>
          <w:i/>
        </w:rPr>
        <w:t xml:space="preserve"> in Functional Genomics</w:t>
      </w:r>
      <w:r w:rsidRPr="00681DCE">
        <w:rPr>
          <w:rFonts w:ascii="Leelawadee" w:hAnsi="Leelawadee" w:cs="Leelawadee"/>
        </w:rPr>
        <w:t>, 10(2), 52—60.</w:t>
      </w:r>
    </w:p>
    <w:p w:rsidR="00681DCE" w:rsidRPr="00681DCE" w:rsidRDefault="00681DCE" w:rsidP="00681DCE">
      <w:pPr>
        <w:rPr>
          <w:rFonts w:ascii="Leelawadee" w:hAnsi="Leelawadee" w:cs="Leelawadee"/>
        </w:rPr>
      </w:pPr>
      <w:r w:rsidRPr="00681DCE">
        <w:rPr>
          <w:rFonts w:ascii="Leelawadee" w:hAnsi="Leelawadee" w:cs="Leelawadee"/>
        </w:rPr>
        <w:t xml:space="preserve">Yu P, Shen F, Zhang X, Cao R, Zhao X, Liu P, </w:t>
      </w:r>
      <w:proofErr w:type="spellStart"/>
      <w:r w:rsidRPr="00681DCE">
        <w:rPr>
          <w:rFonts w:ascii="Leelawadee" w:hAnsi="Leelawadee" w:cs="Leelawadee"/>
        </w:rPr>
        <w:t>Tu</w:t>
      </w:r>
      <w:proofErr w:type="spellEnd"/>
      <w:r w:rsidRPr="00681DCE">
        <w:rPr>
          <w:rFonts w:ascii="Leelawadee" w:hAnsi="Leelawadee" w:cs="Leelawadee"/>
        </w:rPr>
        <w:t xml:space="preserve"> H, Yang X, Shi R, and Zhang H. (2012). Association of single nucleotide polymorphisms of IL23R and IL17 with ulcerative colitis risk in a Chinese Han population. </w:t>
      </w:r>
      <w:proofErr w:type="spellStart"/>
      <w:r w:rsidRPr="00681DCE">
        <w:rPr>
          <w:rFonts w:ascii="Leelawadee" w:hAnsi="Leelawadee" w:cs="Leelawadee"/>
          <w:i/>
        </w:rPr>
        <w:t>PLoS</w:t>
      </w:r>
      <w:proofErr w:type="spellEnd"/>
      <w:r w:rsidRPr="00681DCE">
        <w:rPr>
          <w:rFonts w:ascii="Leelawadee" w:hAnsi="Leelawadee" w:cs="Leelawadee"/>
          <w:i/>
        </w:rPr>
        <w:t xml:space="preserve"> One</w:t>
      </w:r>
      <w:r w:rsidRPr="00681DCE">
        <w:rPr>
          <w:rFonts w:ascii="Leelawadee" w:hAnsi="Leelawadee" w:cs="Leelawadee"/>
        </w:rPr>
        <w:t>, 7(9).</w:t>
      </w:r>
    </w:p>
    <w:p w:rsidR="00681DCE" w:rsidRDefault="00681DCE">
      <w:pPr>
        <w:rPr>
          <w:rFonts w:ascii="Leelawadee" w:hAnsi="Leelawadee" w:cs="Leelawadee"/>
        </w:rPr>
      </w:pPr>
    </w:p>
    <w:p w:rsidR="00681DCE" w:rsidRDefault="00681DCE">
      <w:pPr>
        <w:rPr>
          <w:rFonts w:ascii="Leelawadee" w:hAnsi="Leelawadee" w:cs="Leelawadee"/>
        </w:rPr>
      </w:pPr>
    </w:p>
    <w:p w:rsidR="00681DCE" w:rsidRDefault="00681DCE">
      <w:pPr>
        <w:rPr>
          <w:rFonts w:ascii="Leelawadee" w:hAnsi="Leelawadee" w:cs="Leelawadee"/>
        </w:rPr>
      </w:pPr>
    </w:p>
    <w:p w:rsidR="00681DCE" w:rsidRDefault="00681DCE">
      <w:pPr>
        <w:rPr>
          <w:rFonts w:ascii="Leelawadee" w:hAnsi="Leelawadee" w:cs="Leelawadee"/>
        </w:rPr>
      </w:pPr>
    </w:p>
    <w:p w:rsidR="00681DCE" w:rsidRPr="00681DCE" w:rsidRDefault="00681DCE">
      <w:pPr>
        <w:rPr>
          <w:rFonts w:ascii="Leelawadee" w:hAnsi="Leelawadee" w:cs="Leelawadee"/>
        </w:rPr>
      </w:pPr>
    </w:p>
    <w:sectPr w:rsidR="00681DCE" w:rsidRPr="00681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0"/>
    <w:family w:val="roman"/>
    <w:notTrueType/>
    <w:pitch w:val="default"/>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eelawadee">
    <w:panose1 w:val="020B0502040204020203"/>
    <w:charset w:val="00"/>
    <w:family w:val="swiss"/>
    <w:pitch w:val="variable"/>
    <w:sig w:usb0="01000003" w:usb1="00000000" w:usb2="00000000" w:usb3="00000000" w:csb0="0001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SimSun"/>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E98"/>
    <w:rsid w:val="00007ABE"/>
    <w:rsid w:val="000154B8"/>
    <w:rsid w:val="00097C2A"/>
    <w:rsid w:val="000A009D"/>
    <w:rsid w:val="000C01C6"/>
    <w:rsid w:val="001F0FE2"/>
    <w:rsid w:val="001F2402"/>
    <w:rsid w:val="00281488"/>
    <w:rsid w:val="0037281D"/>
    <w:rsid w:val="00383D35"/>
    <w:rsid w:val="003B73CB"/>
    <w:rsid w:val="00502892"/>
    <w:rsid w:val="00511A67"/>
    <w:rsid w:val="005129A5"/>
    <w:rsid w:val="00681DCE"/>
    <w:rsid w:val="00705105"/>
    <w:rsid w:val="007359E8"/>
    <w:rsid w:val="007B58CA"/>
    <w:rsid w:val="0085708F"/>
    <w:rsid w:val="008575FB"/>
    <w:rsid w:val="00901F1B"/>
    <w:rsid w:val="00937E98"/>
    <w:rsid w:val="00964394"/>
    <w:rsid w:val="009D7877"/>
    <w:rsid w:val="00A532D0"/>
    <w:rsid w:val="00B34A2C"/>
    <w:rsid w:val="00B40AC3"/>
    <w:rsid w:val="00B45F70"/>
    <w:rsid w:val="00C945D3"/>
    <w:rsid w:val="00CF45E6"/>
    <w:rsid w:val="00D5379A"/>
    <w:rsid w:val="00E41FD9"/>
    <w:rsid w:val="00EB1ABD"/>
    <w:rsid w:val="00FB23D5"/>
    <w:rsid w:val="00FC755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9A30"/>
  <w15:chartTrackingRefBased/>
  <w15:docId w15:val="{FB76902C-3FA1-4A3F-8D51-C2244C9BD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01F1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1F1B"/>
    <w:rPr>
      <w:rFonts w:ascii="Consolas" w:hAnsi="Consolas"/>
      <w:sz w:val="20"/>
      <w:szCs w:val="20"/>
    </w:rPr>
  </w:style>
  <w:style w:type="paragraph" w:styleId="ListParagraph">
    <w:name w:val="List Paragraph"/>
    <w:basedOn w:val="Normal"/>
    <w:uiPriority w:val="34"/>
    <w:qFormat/>
    <w:rsid w:val="009D7877"/>
    <w:pPr>
      <w:ind w:left="720"/>
      <w:contextualSpacing/>
    </w:pPr>
  </w:style>
  <w:style w:type="character" w:styleId="Hyperlink">
    <w:name w:val="Hyperlink"/>
    <w:basedOn w:val="DefaultParagraphFont"/>
    <w:uiPriority w:val="99"/>
    <w:unhideWhenUsed/>
    <w:rsid w:val="009D78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960451">
      <w:bodyDiv w:val="1"/>
      <w:marLeft w:val="0"/>
      <w:marRight w:val="0"/>
      <w:marTop w:val="0"/>
      <w:marBottom w:val="0"/>
      <w:divBdr>
        <w:top w:val="none" w:sz="0" w:space="0" w:color="auto"/>
        <w:left w:val="none" w:sz="0" w:space="0" w:color="auto"/>
        <w:bottom w:val="none" w:sz="0" w:space="0" w:color="auto"/>
        <w:right w:val="none" w:sz="0" w:space="0" w:color="auto"/>
      </w:divBdr>
    </w:div>
    <w:div w:id="1093892242">
      <w:bodyDiv w:val="1"/>
      <w:marLeft w:val="0"/>
      <w:marRight w:val="0"/>
      <w:marTop w:val="0"/>
      <w:marBottom w:val="0"/>
      <w:divBdr>
        <w:top w:val="none" w:sz="0" w:space="0" w:color="auto"/>
        <w:left w:val="none" w:sz="0" w:space="0" w:color="auto"/>
        <w:bottom w:val="none" w:sz="0" w:space="0" w:color="auto"/>
        <w:right w:val="none" w:sz="0" w:space="0" w:color="auto"/>
      </w:divBdr>
    </w:div>
    <w:div w:id="137234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865</TotalTime>
  <Pages>20</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Ikemefuna Ezechukwu</dc:creator>
  <cp:keywords/>
  <dc:description/>
  <cp:lastModifiedBy>Ikemefuna Ezechukwu</cp:lastModifiedBy>
  <cp:revision>10</cp:revision>
  <dcterms:created xsi:type="dcterms:W3CDTF">2018-01-31T07:37:00Z</dcterms:created>
  <dcterms:modified xsi:type="dcterms:W3CDTF">2018-02-01T00:51:00Z</dcterms:modified>
</cp:coreProperties>
</file>