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DB5B0" w14:textId="6EC03DD6" w:rsidR="000E0D23" w:rsidRPr="002B118C" w:rsidRDefault="2B0B946D" w:rsidP="00104E35">
      <w:pPr>
        <w:pStyle w:val="Title"/>
      </w:pPr>
      <w:r>
        <w:t>Drosophila yakuba – Tsc1</w:t>
      </w:r>
    </w:p>
    <w:p w14:paraId="287C7E66" w14:textId="13000E7A" w:rsidR="2B0B946D" w:rsidRDefault="2B0B946D" w:rsidP="2B0B946D">
      <w:pPr>
        <w:pStyle w:val="Body"/>
        <w:rPr>
          <w:i w:val="0"/>
          <w:iCs w:val="0"/>
          <w:vertAlign w:val="superscript"/>
        </w:rPr>
      </w:pPr>
      <w:r w:rsidRPr="2B0B946D">
        <w:rPr>
          <w:i w:val="0"/>
          <w:iCs w:val="0"/>
        </w:rPr>
        <w:t>Bailey Lose</w:t>
      </w:r>
      <w:r w:rsidRPr="2B0B946D">
        <w:rPr>
          <w:i w:val="0"/>
          <w:iCs w:val="0"/>
          <w:vertAlign w:val="superscript"/>
        </w:rPr>
        <w:t>1Ω</w:t>
      </w:r>
      <w:r w:rsidRPr="2B0B946D">
        <w:rPr>
          <w:i w:val="0"/>
          <w:iCs w:val="0"/>
        </w:rPr>
        <w:t>, Abigail Myers</w:t>
      </w:r>
      <w:r w:rsidRPr="2B0B946D">
        <w:rPr>
          <w:i w:val="0"/>
          <w:iCs w:val="0"/>
          <w:vertAlign w:val="superscript"/>
        </w:rPr>
        <w:t>1Ω</w:t>
      </w:r>
      <w:r w:rsidRPr="2B0B946D">
        <w:rPr>
          <w:i w:val="0"/>
          <w:iCs w:val="0"/>
        </w:rPr>
        <w:t>, Ian Alberts</w:t>
      </w:r>
      <w:r w:rsidRPr="2B0B946D">
        <w:rPr>
          <w:i w:val="0"/>
          <w:iCs w:val="0"/>
          <w:vertAlign w:val="superscript"/>
        </w:rPr>
        <w:t>2</w:t>
      </w:r>
      <w:r w:rsidRPr="2B0B946D">
        <w:rPr>
          <w:i w:val="0"/>
          <w:iCs w:val="0"/>
        </w:rPr>
        <w:t>, Savanah Fondse</w:t>
      </w:r>
      <w:r w:rsidRPr="2B0B946D">
        <w:rPr>
          <w:i w:val="0"/>
          <w:iCs w:val="0"/>
          <w:vertAlign w:val="superscript"/>
        </w:rPr>
        <w:t>3</w:t>
      </w:r>
      <w:r w:rsidRPr="2B0B946D">
        <w:rPr>
          <w:i w:val="0"/>
          <w:iCs w:val="0"/>
        </w:rPr>
        <w:t>, Joyce Stamm</w:t>
      </w:r>
      <w:r w:rsidRPr="2B0B946D">
        <w:rPr>
          <w:i w:val="0"/>
          <w:iCs w:val="0"/>
          <w:vertAlign w:val="superscript"/>
        </w:rPr>
        <w:t>2</w:t>
      </w:r>
      <w:r w:rsidRPr="2B0B946D">
        <w:rPr>
          <w:i w:val="0"/>
          <w:iCs w:val="0"/>
        </w:rPr>
        <w:t>, James Youngblom</w:t>
      </w:r>
      <w:r w:rsidRPr="2B0B946D">
        <w:rPr>
          <w:i w:val="0"/>
          <w:iCs w:val="0"/>
          <w:vertAlign w:val="superscript"/>
        </w:rPr>
        <w:t>3</w:t>
      </w:r>
      <w:r w:rsidRPr="2B0B946D">
        <w:rPr>
          <w:i w:val="0"/>
          <w:iCs w:val="0"/>
        </w:rPr>
        <w:t xml:space="preserve">, Chinmay </w:t>
      </w:r>
      <w:r w:rsidR="00876920">
        <w:rPr>
          <w:i w:val="0"/>
          <w:iCs w:val="0"/>
        </w:rPr>
        <w:t xml:space="preserve">P. </w:t>
      </w:r>
      <w:r w:rsidRPr="2B0B946D">
        <w:rPr>
          <w:i w:val="0"/>
          <w:iCs w:val="0"/>
        </w:rPr>
        <w:t>Rele</w:t>
      </w:r>
      <w:r w:rsidRPr="2B0B946D">
        <w:rPr>
          <w:i w:val="0"/>
          <w:iCs w:val="0"/>
          <w:vertAlign w:val="superscript"/>
        </w:rPr>
        <w:t>1Ω</w:t>
      </w:r>
    </w:p>
    <w:p w14:paraId="2D0251B6" w14:textId="57403028" w:rsidR="007A19F8" w:rsidRPr="00C507F9" w:rsidRDefault="2B0B946D" w:rsidP="2B0B946D">
      <w:pPr>
        <w:pStyle w:val="ListParagraph"/>
        <w:numPr>
          <w:ilvl w:val="0"/>
          <w:numId w:val="3"/>
        </w:numPr>
        <w:rPr>
          <w:i w:val="0"/>
          <w:iCs w:val="0"/>
        </w:rPr>
      </w:pPr>
      <w:r w:rsidRPr="2B0B946D">
        <w:rPr>
          <w:i w:val="0"/>
          <w:iCs w:val="0"/>
        </w:rPr>
        <w:t>The University of Alabama, Tuscaloosa, AL 35487</w:t>
      </w:r>
    </w:p>
    <w:p w14:paraId="6F81AE99" w14:textId="53950741" w:rsidR="000E0D23" w:rsidRPr="00C507F9" w:rsidRDefault="2B0B946D" w:rsidP="2B0B946D">
      <w:pPr>
        <w:pStyle w:val="ListParagraph"/>
        <w:numPr>
          <w:ilvl w:val="0"/>
          <w:numId w:val="3"/>
        </w:numPr>
        <w:rPr>
          <w:i w:val="0"/>
          <w:iCs w:val="0"/>
        </w:rPr>
      </w:pPr>
      <w:r w:rsidRPr="2B0B946D">
        <w:rPr>
          <w:i w:val="0"/>
          <w:iCs w:val="0"/>
        </w:rPr>
        <w:t>University of Evansville, Evansville, IN 47722</w:t>
      </w:r>
    </w:p>
    <w:p w14:paraId="5D140BE1" w14:textId="5AEAE9A1" w:rsidR="000E0D23" w:rsidRPr="00C507F9" w:rsidRDefault="2B0B946D" w:rsidP="2B0B946D">
      <w:pPr>
        <w:pStyle w:val="ListParagraph"/>
        <w:numPr>
          <w:ilvl w:val="0"/>
          <w:numId w:val="3"/>
        </w:numPr>
        <w:rPr>
          <w:i w:val="0"/>
          <w:iCs w:val="0"/>
        </w:rPr>
      </w:pPr>
      <w:r w:rsidRPr="2B0B946D">
        <w:rPr>
          <w:i w:val="0"/>
          <w:iCs w:val="0"/>
        </w:rPr>
        <w:t>California State University Stanislaus, Turlock, CA 95382</w:t>
      </w:r>
    </w:p>
    <w:p w14:paraId="5EA38767" w14:textId="3B235D86" w:rsidR="00057CC7" w:rsidRPr="00C507F9" w:rsidRDefault="00057CC7" w:rsidP="2B0B946D">
      <w:pPr>
        <w:ind w:left="360"/>
        <w:rPr>
          <w:sz w:val="20"/>
          <w:szCs w:val="20"/>
        </w:rPr>
      </w:pPr>
      <w:r w:rsidRPr="2B0B946D">
        <w:rPr>
          <w:sz w:val="20"/>
          <w:szCs w:val="20"/>
          <w:vertAlign w:val="superscript"/>
        </w:rPr>
        <w:t xml:space="preserve">Ω       </w:t>
      </w:r>
      <w:r w:rsidRPr="00C507F9">
        <w:rPr>
          <w:sz w:val="20"/>
        </w:rPr>
        <w:tab/>
      </w:r>
      <w:r w:rsidRPr="2B0B946D">
        <w:rPr>
          <w:sz w:val="20"/>
          <w:szCs w:val="20"/>
        </w:rPr>
        <w:t>To whom correspondence should be addressed</w:t>
      </w:r>
    </w:p>
    <w:p w14:paraId="6518B0F2" w14:textId="1D66D8FC" w:rsidR="000E0D23" w:rsidRPr="002B118C" w:rsidRDefault="000E0D23" w:rsidP="00104E35">
      <w:pPr>
        <w:pStyle w:val="Body"/>
      </w:pPr>
    </w:p>
    <w:p w14:paraId="48AB5A43" w14:textId="5934CD6F" w:rsidR="00117127" w:rsidRPr="002B118C" w:rsidRDefault="001A0F3A" w:rsidP="6C21E625">
      <w:pPr>
        <w:jc w:val="center"/>
      </w:pPr>
      <w:r>
        <w:rPr>
          <w:noProof/>
        </w:rPr>
        <w:drawing>
          <wp:inline distT="0" distB="0" distL="0" distR="0" wp14:anchorId="539B52A6" wp14:editId="2065735C">
            <wp:extent cx="5442124" cy="5817141"/>
            <wp:effectExtent l="0" t="0" r="0" b="0"/>
            <wp:docPr id="18049177" name="Picture 18049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44651" cy="5819842"/>
                    </a:xfrm>
                    <a:prstGeom prst="rect">
                      <a:avLst/>
                    </a:prstGeom>
                  </pic:spPr>
                </pic:pic>
              </a:graphicData>
            </a:graphic>
          </wp:inline>
        </w:drawing>
      </w:r>
    </w:p>
    <w:p w14:paraId="0E0476B7" w14:textId="5C671671" w:rsidR="00117127" w:rsidRPr="00300811" w:rsidRDefault="00E71726" w:rsidP="00CD116F">
      <w:pPr>
        <w:rPr>
          <w:rFonts w:asciiTheme="majorHAnsi" w:eastAsiaTheme="majorEastAsia" w:hAnsiTheme="majorHAnsi" w:cstheme="majorBidi"/>
          <w:b/>
          <w:bCs/>
          <w:i/>
          <w:iCs/>
          <w:color w:val="000000"/>
          <w:sz w:val="20"/>
          <w:szCs w:val="20"/>
          <w:u w:color="000000"/>
          <w14:textOutline w14:w="0" w14:cap="flat" w14:cmpd="sng" w14:algn="ctr">
            <w14:noFill/>
            <w14:prstDash w14:val="solid"/>
            <w14:bevel/>
          </w14:textOutline>
        </w:rPr>
      </w:pPr>
      <w:r w:rsidRPr="00300811">
        <w:rPr>
          <w:rFonts w:asciiTheme="majorHAnsi" w:eastAsiaTheme="majorEastAsia" w:hAnsiTheme="majorHAnsi" w:cstheme="majorBidi"/>
          <w:sz w:val="20"/>
          <w:szCs w:val="20"/>
        </w:rPr>
        <w:br w:type="page"/>
      </w:r>
      <w:r w:rsidR="347AD1EC" w:rsidRPr="00300811">
        <w:rPr>
          <w:rFonts w:asciiTheme="majorHAnsi" w:eastAsiaTheme="majorEastAsia" w:hAnsiTheme="majorHAnsi" w:cstheme="majorBidi"/>
          <w:b/>
          <w:bCs/>
          <w:sz w:val="20"/>
          <w:szCs w:val="20"/>
          <w:u w:val="single"/>
        </w:rPr>
        <w:lastRenderedPageBreak/>
        <w:t>Figure 1:</w:t>
      </w:r>
      <w:r w:rsidR="347AD1EC" w:rsidRPr="00300811">
        <w:rPr>
          <w:rFonts w:asciiTheme="majorHAnsi" w:eastAsiaTheme="majorEastAsia" w:hAnsiTheme="majorHAnsi" w:cstheme="majorBidi"/>
          <w:sz w:val="20"/>
          <w:szCs w:val="20"/>
        </w:rPr>
        <w:t xml:space="preserve"> (A) Synteny of genomic neighborhood of </w:t>
      </w:r>
      <w:r w:rsidR="347AD1EC" w:rsidRPr="00300811">
        <w:rPr>
          <w:rFonts w:asciiTheme="majorHAnsi" w:eastAsiaTheme="majorEastAsia" w:hAnsiTheme="majorHAnsi" w:cstheme="majorBidi"/>
          <w:i/>
          <w:iCs/>
          <w:sz w:val="20"/>
          <w:szCs w:val="20"/>
        </w:rPr>
        <w:t xml:space="preserve">Tsc1 </w:t>
      </w:r>
      <w:r w:rsidR="347AD1EC" w:rsidRPr="00300811">
        <w:rPr>
          <w:rFonts w:asciiTheme="majorHAnsi" w:eastAsiaTheme="majorEastAsia" w:hAnsiTheme="majorHAnsi" w:cstheme="majorBidi"/>
          <w:sz w:val="20"/>
          <w:szCs w:val="20"/>
        </w:rPr>
        <w:t xml:space="preserve">in both D. melanogaster as well as D. yakuba.(B) Gene Model in Apollo: A screenshot of the Apollo instance housing the gene model, containing student annotations, D. mel Proteins, NCBI RefSeq Genes, TransDecoder Transcripts, RNA-Seq tracks and splice junctions; (C) Dot Plot of gene in D. melanogaster (x-axis) vs. the gene in </w:t>
      </w:r>
      <w:r w:rsidR="347AD1EC" w:rsidRPr="00300811">
        <w:rPr>
          <w:rFonts w:asciiTheme="majorHAnsi" w:eastAsiaTheme="majorEastAsia" w:hAnsiTheme="majorHAnsi" w:cstheme="majorBidi"/>
          <w:i/>
          <w:iCs/>
          <w:sz w:val="20"/>
          <w:szCs w:val="20"/>
        </w:rPr>
        <w:t xml:space="preserve">D. yakuba </w:t>
      </w:r>
      <w:r w:rsidR="347AD1EC" w:rsidRPr="00300811">
        <w:rPr>
          <w:rFonts w:asciiTheme="majorHAnsi" w:eastAsiaTheme="majorEastAsia" w:hAnsiTheme="majorHAnsi" w:cstheme="majorBidi"/>
          <w:sz w:val="20"/>
          <w:szCs w:val="20"/>
        </w:rPr>
        <w:t xml:space="preserve">(y-axis); (D) </w:t>
      </w:r>
      <w:r w:rsidR="347AD1EC" w:rsidRPr="00300811">
        <w:rPr>
          <w:rFonts w:asciiTheme="majorHAnsi" w:eastAsiaTheme="majorEastAsia" w:hAnsiTheme="majorHAnsi" w:cstheme="majorBidi"/>
          <w:i/>
          <w:iCs/>
          <w:sz w:val="20"/>
          <w:szCs w:val="20"/>
        </w:rPr>
        <w:t>Drosophila</w:t>
      </w:r>
      <w:r w:rsidR="347AD1EC" w:rsidRPr="00300811">
        <w:rPr>
          <w:rFonts w:asciiTheme="majorHAnsi" w:eastAsiaTheme="majorEastAsia" w:hAnsiTheme="majorHAnsi" w:cstheme="majorBidi"/>
          <w:sz w:val="20"/>
          <w:szCs w:val="20"/>
        </w:rPr>
        <w:t xml:space="preserve"> conservation across 28 species shows that the region, shown in the vertical red box, for exon 3 in </w:t>
      </w:r>
      <w:r w:rsidR="347AD1EC" w:rsidRPr="00300811">
        <w:rPr>
          <w:rFonts w:asciiTheme="majorHAnsi" w:eastAsiaTheme="majorEastAsia" w:hAnsiTheme="majorHAnsi" w:cstheme="majorBidi"/>
          <w:i/>
          <w:iCs/>
          <w:sz w:val="20"/>
          <w:szCs w:val="20"/>
        </w:rPr>
        <w:t>D. melanogaster</w:t>
      </w:r>
      <w:r w:rsidR="347AD1EC" w:rsidRPr="00300811">
        <w:rPr>
          <w:rFonts w:asciiTheme="majorHAnsi" w:eastAsiaTheme="majorEastAsia" w:hAnsiTheme="majorHAnsi" w:cstheme="majorBidi"/>
          <w:sz w:val="20"/>
          <w:szCs w:val="20"/>
        </w:rPr>
        <w:t xml:space="preserve"> contains a </w:t>
      </w:r>
      <w:r w:rsidR="00695EB6">
        <w:rPr>
          <w:rFonts w:asciiTheme="majorHAnsi" w:eastAsiaTheme="majorEastAsia" w:hAnsiTheme="majorHAnsi" w:cstheme="majorBidi"/>
          <w:sz w:val="20"/>
          <w:szCs w:val="20"/>
        </w:rPr>
        <w:t>lower</w:t>
      </w:r>
      <w:r w:rsidR="347AD1EC" w:rsidRPr="00300811">
        <w:rPr>
          <w:rFonts w:asciiTheme="majorHAnsi" w:eastAsiaTheme="majorEastAsia" w:hAnsiTheme="majorHAnsi" w:cstheme="majorBidi"/>
          <w:sz w:val="20"/>
          <w:szCs w:val="20"/>
        </w:rPr>
        <w:t xml:space="preserve"> level of sequence similarity in comparison to the majority of the other species, including </w:t>
      </w:r>
      <w:r w:rsidR="347AD1EC" w:rsidRPr="00300811">
        <w:rPr>
          <w:rFonts w:asciiTheme="majorHAnsi" w:eastAsiaTheme="majorEastAsia" w:hAnsiTheme="majorHAnsi" w:cstheme="majorBidi"/>
          <w:i/>
          <w:iCs/>
          <w:sz w:val="20"/>
          <w:szCs w:val="20"/>
        </w:rPr>
        <w:t xml:space="preserve">D. yakuba </w:t>
      </w:r>
      <w:r w:rsidR="347AD1EC" w:rsidRPr="00300811">
        <w:rPr>
          <w:rFonts w:asciiTheme="majorHAnsi" w:eastAsiaTheme="majorEastAsia" w:hAnsiTheme="majorHAnsi" w:cstheme="majorBidi"/>
          <w:sz w:val="20"/>
          <w:szCs w:val="20"/>
        </w:rPr>
        <w:t xml:space="preserve">(highlighted by the horizontal red box). </w:t>
      </w:r>
    </w:p>
    <w:p w14:paraId="419B5A40" w14:textId="7FE2336B" w:rsidR="00337E72" w:rsidRPr="002B118C" w:rsidRDefault="00337E72" w:rsidP="00337E72">
      <w:pPr>
        <w:pStyle w:val="Body"/>
      </w:pPr>
    </w:p>
    <w:p w14:paraId="23DB9ED6" w14:textId="77777777" w:rsidR="00337E72" w:rsidRPr="002B118C" w:rsidRDefault="00337E72" w:rsidP="00337E72">
      <w:pPr>
        <w:pStyle w:val="Body"/>
      </w:pPr>
    </w:p>
    <w:p w14:paraId="72B5CF7E" w14:textId="09B9F405" w:rsidR="000E0D23" w:rsidRDefault="00073380" w:rsidP="00104E35">
      <w:pPr>
        <w:pStyle w:val="Heading2"/>
        <w:rPr>
          <w:rFonts w:eastAsia="Arial Unicode MS" w:cs="Arial Unicode MS"/>
        </w:rPr>
      </w:pPr>
      <w:r w:rsidRPr="002B118C">
        <w:rPr>
          <w:rFonts w:eastAsia="Arial Unicode MS" w:cs="Arial Unicode MS"/>
        </w:rPr>
        <w:t>Introduction</w:t>
      </w:r>
    </w:p>
    <w:p w14:paraId="217DF158" w14:textId="5BA554DE" w:rsidR="00AE3DA2" w:rsidRDefault="023FAF49" w:rsidP="023FAF49">
      <w:pPr>
        <w:pStyle w:val="Body"/>
        <w:rPr>
          <w:i w:val="0"/>
          <w:iCs w:val="0"/>
        </w:rPr>
        <w:sectPr w:rsidR="00AE3DA2" w:rsidSect="00C268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67" w:footer="624" w:gutter="0"/>
          <w:pgNumType w:start="1"/>
          <w:cols w:space="720"/>
          <w:docGrid w:linePitch="326"/>
        </w:sectPr>
      </w:pPr>
      <w:r>
        <w:t xml:space="preserve">Tsc1 </w:t>
      </w:r>
      <w:r w:rsidRPr="023FAF49">
        <w:rPr>
          <w:i w:val="0"/>
          <w:iCs w:val="0"/>
        </w:rPr>
        <w:t xml:space="preserve">in </w:t>
      </w:r>
      <w:r>
        <w:t xml:space="preserve">D. yakuba </w:t>
      </w:r>
      <w:r w:rsidRPr="023FAF49">
        <w:rPr>
          <w:i w:val="0"/>
          <w:iCs w:val="0"/>
        </w:rPr>
        <w:t xml:space="preserve">is an ortholog to the </w:t>
      </w:r>
      <w:r>
        <w:t xml:space="preserve">Tsc1 </w:t>
      </w:r>
      <w:r w:rsidRPr="023FAF49">
        <w:rPr>
          <w:i w:val="0"/>
          <w:iCs w:val="0"/>
        </w:rPr>
        <w:t>gene (</w:t>
      </w:r>
      <w:r>
        <w:t>LOC6538776</w:t>
      </w:r>
      <w:r w:rsidRPr="023FAF49">
        <w:rPr>
          <w:i w:val="0"/>
          <w:iCs w:val="0"/>
        </w:rPr>
        <w:t xml:space="preserve">) in </w:t>
      </w:r>
      <w:r>
        <w:t>D. melanogaster</w:t>
      </w:r>
      <w:r w:rsidRPr="023FAF49">
        <w:rPr>
          <w:i w:val="0"/>
          <w:iCs w:val="0"/>
        </w:rPr>
        <w:t xml:space="preserve">. Mutations in either the </w:t>
      </w:r>
      <w:r>
        <w:t xml:space="preserve">Tsc1 </w:t>
      </w:r>
      <w:r w:rsidRPr="023FAF49">
        <w:rPr>
          <w:i w:val="0"/>
          <w:iCs w:val="0"/>
        </w:rPr>
        <w:t xml:space="preserve">or </w:t>
      </w:r>
      <w:r>
        <w:t xml:space="preserve">Tsc2 </w:t>
      </w:r>
      <w:r w:rsidRPr="023FAF49">
        <w:rPr>
          <w:i w:val="0"/>
          <w:iCs w:val="0"/>
        </w:rPr>
        <w:t xml:space="preserve">gene can cause the hamartoma syndrome </w:t>
      </w:r>
      <w:r w:rsidR="00695EB6">
        <w:rPr>
          <w:i w:val="0"/>
          <w:iCs w:val="0"/>
        </w:rPr>
        <w:t>t</w:t>
      </w:r>
      <w:r w:rsidRPr="023FAF49">
        <w:rPr>
          <w:i w:val="0"/>
          <w:iCs w:val="0"/>
        </w:rPr>
        <w:t xml:space="preserve">uberous sclerosis </w:t>
      </w:r>
      <w:r w:rsidR="00695EB6">
        <w:rPr>
          <w:i w:val="0"/>
          <w:iCs w:val="0"/>
        </w:rPr>
        <w:t xml:space="preserve">complex </w:t>
      </w:r>
      <w:r w:rsidRPr="023FAF49">
        <w:rPr>
          <w:i w:val="0"/>
          <w:iCs w:val="0"/>
        </w:rPr>
        <w:t>(TSC). (Dabora et. al, 2008) These two genes operate together in the insulin signaling pathway as tumor suppressor</w:t>
      </w:r>
      <w:r w:rsidR="00695EB6">
        <w:rPr>
          <w:i w:val="0"/>
          <w:iCs w:val="0"/>
        </w:rPr>
        <w:t>s</w:t>
      </w:r>
      <w:r w:rsidRPr="023FAF49">
        <w:rPr>
          <w:i w:val="0"/>
          <w:iCs w:val="0"/>
        </w:rPr>
        <w:t xml:space="preserve"> because of their ability to control cell growth. (Gao, 1970) A mutation in the </w:t>
      </w:r>
      <w:r>
        <w:t xml:space="preserve">Tsc1 </w:t>
      </w:r>
      <w:r w:rsidRPr="023FAF49">
        <w:rPr>
          <w:i w:val="0"/>
          <w:iCs w:val="0"/>
        </w:rPr>
        <w:t xml:space="preserve">gene can also cause benign tumors to form in multiple organs. (Potter, Huang, Xu, 2001) The Gnomon predicted model in </w:t>
      </w:r>
      <w:r>
        <w:t xml:space="preserve">D. yakuba, </w:t>
      </w:r>
      <w:r w:rsidRPr="023FAF49">
        <w:rPr>
          <w:i w:val="0"/>
          <w:iCs w:val="0"/>
        </w:rPr>
        <w:t xml:space="preserve">with a RefSeq accession number of </w:t>
      </w:r>
      <w:r>
        <w:t>XM</w:t>
      </w:r>
      <w:r w:rsidRPr="023FAF49">
        <w:rPr>
          <w:i w:val="0"/>
          <w:iCs w:val="0"/>
        </w:rPr>
        <w:t>_0020099254.2,</w:t>
      </w:r>
      <w:r>
        <w:t xml:space="preserve"> </w:t>
      </w:r>
      <w:r w:rsidRPr="023FAF49">
        <w:rPr>
          <w:i w:val="0"/>
          <w:iCs w:val="0"/>
        </w:rPr>
        <w:t xml:space="preserve">has the same number of exons as the </w:t>
      </w:r>
      <w:r>
        <w:t xml:space="preserve">Tsc1 </w:t>
      </w:r>
      <w:r w:rsidRPr="023FAF49">
        <w:rPr>
          <w:i w:val="0"/>
          <w:iCs w:val="0"/>
        </w:rPr>
        <w:t>gene (</w:t>
      </w:r>
      <w:r>
        <w:t>LOC6538776)</w:t>
      </w:r>
      <w:r w:rsidRPr="023FAF49">
        <w:rPr>
          <w:i w:val="0"/>
          <w:iCs w:val="0"/>
        </w:rPr>
        <w:t xml:space="preserve"> in </w:t>
      </w:r>
      <w:r>
        <w:t xml:space="preserve">D. melanogaster </w:t>
      </w:r>
      <w:r w:rsidRPr="023FAF49">
        <w:rPr>
          <w:i w:val="0"/>
          <w:iCs w:val="0"/>
        </w:rPr>
        <w:t>indicating they have an orthologous relationship.</w:t>
      </w:r>
    </w:p>
    <w:p w14:paraId="2A54075C" w14:textId="330943FB" w:rsidR="2B0B946D" w:rsidRDefault="2B0B946D">
      <w:pPr>
        <w:sectPr w:rsidR="2B0B946D" w:rsidSect="00AE3DA2">
          <w:type w:val="continuous"/>
          <w:pgSz w:w="12240" w:h="15840"/>
          <w:pgMar w:top="1440" w:right="1440" w:bottom="1440" w:left="1440" w:header="567" w:footer="624" w:gutter="0"/>
          <w:pgNumType w:start="1"/>
          <w:cols w:num="2" w:space="720"/>
          <w:docGrid w:linePitch="326"/>
        </w:sectPr>
      </w:pPr>
    </w:p>
    <w:p w14:paraId="010FD8A2" w14:textId="77A09455" w:rsidR="00A24D25" w:rsidRPr="002B118C" w:rsidRDefault="00A24D25" w:rsidP="00A24D25">
      <w:pPr>
        <w:pStyle w:val="Heading2"/>
      </w:pPr>
    </w:p>
    <w:p w14:paraId="0260D6C6" w14:textId="095BE3BF" w:rsidR="00A24D25" w:rsidRPr="00300811" w:rsidRDefault="00A24D25" w:rsidP="00A24D25">
      <w:pPr>
        <w:pStyle w:val="Heading2"/>
      </w:pPr>
      <w:r w:rsidRPr="00300811">
        <w:t>Synteny</w:t>
      </w:r>
    </w:p>
    <w:p w14:paraId="4C03E7CA" w14:textId="5C8CAC55" w:rsidR="2B0B946D" w:rsidRDefault="023FAF49" w:rsidP="023FAF49">
      <w:pPr>
        <w:pStyle w:val="Body"/>
        <w:rPr>
          <w:i w:val="0"/>
          <w:iCs w:val="0"/>
          <w:sz w:val="22"/>
          <w:szCs w:val="22"/>
        </w:rPr>
        <w:sectPr w:rsidR="2B0B946D" w:rsidSect="00AE3DA2">
          <w:type w:val="continuous"/>
          <w:pgSz w:w="12240" w:h="15840"/>
          <w:pgMar w:top="1440" w:right="1440" w:bottom="1440" w:left="1440" w:header="567" w:footer="624" w:gutter="0"/>
          <w:pgNumType w:start="1"/>
          <w:cols w:space="720"/>
          <w:docGrid w:linePitch="326"/>
        </w:sectPr>
      </w:pPr>
      <w:r w:rsidRPr="023FAF49">
        <w:rPr>
          <w:i w:val="0"/>
          <w:iCs w:val="0"/>
        </w:rPr>
        <w:t xml:space="preserve">The </w:t>
      </w:r>
      <w:r>
        <w:t>Tsc1</w:t>
      </w:r>
      <w:r w:rsidRPr="023FAF49">
        <w:rPr>
          <w:i w:val="0"/>
          <w:iCs w:val="0"/>
        </w:rPr>
        <w:t xml:space="preserve"> gene, located on chromosome 3R in </w:t>
      </w:r>
      <w:r>
        <w:t>D. melanogaster</w:t>
      </w:r>
      <w:r w:rsidRPr="023FAF49">
        <w:rPr>
          <w:i w:val="0"/>
          <w:iCs w:val="0"/>
        </w:rPr>
        <w:t xml:space="preserve">, is neighboring the genes </w:t>
      </w:r>
      <w:r>
        <w:t>Root</w:t>
      </w:r>
      <w:r w:rsidRPr="023FAF49">
        <w:rPr>
          <w:i w:val="0"/>
          <w:iCs w:val="0"/>
        </w:rPr>
        <w:t xml:space="preserve">, </w:t>
      </w:r>
      <w:r>
        <w:t>GatB</w:t>
      </w:r>
      <w:r w:rsidRPr="023FAF49">
        <w:rPr>
          <w:i w:val="0"/>
          <w:iCs w:val="0"/>
        </w:rPr>
        <w:t xml:space="preserve">, </w:t>
      </w:r>
      <w:r>
        <w:t>Sec10</w:t>
      </w:r>
      <w:r w:rsidRPr="023FAF49">
        <w:rPr>
          <w:i w:val="0"/>
          <w:iCs w:val="0"/>
        </w:rPr>
        <w:t xml:space="preserve">, and </w:t>
      </w:r>
      <w:r>
        <w:t xml:space="preserve">Ncp2f. </w:t>
      </w:r>
      <w:r w:rsidRPr="023FAF49">
        <w:rPr>
          <w:i w:val="0"/>
          <w:iCs w:val="0"/>
        </w:rPr>
        <w:t xml:space="preserve">The best candidate for the </w:t>
      </w:r>
      <w:r>
        <w:t xml:space="preserve">Tsc1 </w:t>
      </w:r>
      <w:r w:rsidRPr="023FAF49">
        <w:rPr>
          <w:i w:val="0"/>
          <w:iCs w:val="0"/>
        </w:rPr>
        <w:t xml:space="preserve">ortholog gene in </w:t>
      </w:r>
      <w:r>
        <w:t>D.</w:t>
      </w:r>
      <w:r w:rsidRPr="023FAF49">
        <w:rPr>
          <w:i w:val="0"/>
          <w:iCs w:val="0"/>
        </w:rPr>
        <w:t xml:space="preserve"> </w:t>
      </w:r>
      <w:r>
        <w:t xml:space="preserve">yakuba </w:t>
      </w:r>
      <w:r w:rsidRPr="023FAF49">
        <w:rPr>
          <w:i w:val="0"/>
          <w:iCs w:val="0"/>
        </w:rPr>
        <w:t xml:space="preserve">based on the  tblastn search is found on chromosome 3R. The candidate is also surrounded by the genes </w:t>
      </w:r>
      <w:r w:rsidRPr="023FAF49">
        <w:rPr>
          <w:rFonts w:eastAsia="Times New Roman" w:cs="Times New Roman"/>
          <w:color w:val="000000" w:themeColor="text1"/>
        </w:rPr>
        <w:t xml:space="preserve">LOC6538778, LOC6538777, LOC6538775, </w:t>
      </w:r>
      <w:r w:rsidRPr="023FAF49">
        <w:rPr>
          <w:rFonts w:eastAsia="Times New Roman" w:cs="Times New Roman"/>
          <w:i w:val="0"/>
          <w:iCs w:val="0"/>
          <w:color w:val="000000" w:themeColor="text1"/>
        </w:rPr>
        <w:t xml:space="preserve">and </w:t>
      </w:r>
      <w:r w:rsidRPr="023FAF49">
        <w:rPr>
          <w:rFonts w:eastAsia="Times New Roman" w:cs="Times New Roman"/>
          <w:color w:val="000000" w:themeColor="text1"/>
        </w:rPr>
        <w:t xml:space="preserve">LOC6538774 </w:t>
      </w:r>
      <w:r w:rsidRPr="023FAF49">
        <w:rPr>
          <w:rFonts w:eastAsia="Times New Roman" w:cs="Times New Roman"/>
          <w:i w:val="0"/>
          <w:iCs w:val="0"/>
          <w:color w:val="000000" w:themeColor="text1"/>
        </w:rPr>
        <w:t xml:space="preserve">(which are likely orthologous to </w:t>
      </w:r>
      <w:r>
        <w:t>Root</w:t>
      </w:r>
      <w:r w:rsidRPr="023FAF49">
        <w:rPr>
          <w:i w:val="0"/>
          <w:iCs w:val="0"/>
        </w:rPr>
        <w:t xml:space="preserve">, </w:t>
      </w:r>
      <w:r>
        <w:t>GatB</w:t>
      </w:r>
      <w:r w:rsidRPr="023FAF49">
        <w:rPr>
          <w:i w:val="0"/>
          <w:iCs w:val="0"/>
        </w:rPr>
        <w:t xml:space="preserve">, </w:t>
      </w:r>
      <w:r>
        <w:t>Sec10</w:t>
      </w:r>
      <w:r w:rsidRPr="023FAF49">
        <w:rPr>
          <w:i w:val="0"/>
          <w:iCs w:val="0"/>
        </w:rPr>
        <w:t xml:space="preserve">, and </w:t>
      </w:r>
      <w:r>
        <w:t xml:space="preserve">Ncp2f </w:t>
      </w:r>
      <w:r w:rsidRPr="023FAF49">
        <w:rPr>
          <w:i w:val="0"/>
          <w:iCs w:val="0"/>
        </w:rPr>
        <w:t xml:space="preserve">in </w:t>
      </w:r>
      <w:r>
        <w:t>D. melanogaster</w:t>
      </w:r>
      <w:r w:rsidRPr="023FAF49">
        <w:rPr>
          <w:i w:val="0"/>
          <w:iCs w:val="0"/>
        </w:rPr>
        <w:t xml:space="preserve"> respectively, Figure 1A). We performed a </w:t>
      </w:r>
      <w:r>
        <w:t xml:space="preserve">blastp </w:t>
      </w:r>
      <w:r w:rsidRPr="023FAF49">
        <w:rPr>
          <w:i w:val="0"/>
          <w:iCs w:val="0"/>
        </w:rPr>
        <w:t xml:space="preserve">search of protein sequence </w:t>
      </w:r>
      <w:r w:rsidRPr="023FAF49">
        <w:rPr>
          <w:rFonts w:eastAsia="Times New Roman" w:cs="Times New Roman"/>
          <w:i w:val="0"/>
          <w:iCs w:val="0"/>
          <w:color w:val="000000" w:themeColor="text1"/>
        </w:rPr>
        <w:t>XP_002099290.1</w:t>
      </w:r>
      <w:r w:rsidRPr="023FAF49">
        <w:rPr>
          <w:i w:val="0"/>
          <w:iCs w:val="0"/>
        </w:rPr>
        <w:t xml:space="preserve"> in </w:t>
      </w:r>
      <w:r>
        <w:t>D. yakuba</w:t>
      </w:r>
      <w:r w:rsidRPr="023FAF49">
        <w:rPr>
          <w:i w:val="0"/>
          <w:iCs w:val="0"/>
        </w:rPr>
        <w:t xml:space="preserve"> against the protein sequence</w:t>
      </w:r>
      <w:r w:rsidR="00695EB6">
        <w:rPr>
          <w:i w:val="0"/>
          <w:iCs w:val="0"/>
        </w:rPr>
        <w:t>s</w:t>
      </w:r>
      <w:r w:rsidRPr="023FAF49">
        <w:rPr>
          <w:i w:val="0"/>
          <w:iCs w:val="0"/>
        </w:rPr>
        <w:t xml:space="preserve"> found in the refseq_protein database for </w:t>
      </w:r>
      <w:r>
        <w:t xml:space="preserve">D. melanogaster </w:t>
      </w:r>
      <w:r w:rsidRPr="023FAF49">
        <w:rPr>
          <w:i w:val="0"/>
          <w:iCs w:val="0"/>
        </w:rPr>
        <w:t xml:space="preserve">and it showed a high percent identity to </w:t>
      </w:r>
      <w:r>
        <w:t xml:space="preserve">Tsc1 </w:t>
      </w:r>
      <w:r w:rsidRPr="023FAF49">
        <w:rPr>
          <w:i w:val="0"/>
          <w:iCs w:val="0"/>
        </w:rPr>
        <w:t xml:space="preserve">in comparison to the second-best hit. After confirming that the genes surrounding </w:t>
      </w:r>
      <w:r>
        <w:t xml:space="preserve">Tsc1 </w:t>
      </w:r>
      <w:r w:rsidRPr="023FAF49">
        <w:rPr>
          <w:i w:val="0"/>
          <w:iCs w:val="0"/>
        </w:rPr>
        <w:t xml:space="preserve">are orthologous between the two species and the </w:t>
      </w:r>
      <w:r>
        <w:t xml:space="preserve">blastp </w:t>
      </w:r>
      <w:r w:rsidRPr="023FAF49">
        <w:rPr>
          <w:i w:val="0"/>
          <w:iCs w:val="0"/>
        </w:rPr>
        <w:t xml:space="preserve">results indicate a high percent identity for the </w:t>
      </w:r>
      <w:r>
        <w:t xml:space="preserve">Tsc1 </w:t>
      </w:r>
      <w:r w:rsidRPr="023FAF49">
        <w:rPr>
          <w:i w:val="0"/>
          <w:iCs w:val="0"/>
        </w:rPr>
        <w:t xml:space="preserve">gene between the two species, we determined that this region does contain the ortholog for </w:t>
      </w:r>
      <w:r>
        <w:t xml:space="preserve">Tsc1 </w:t>
      </w:r>
      <w:r w:rsidRPr="023FAF49">
        <w:rPr>
          <w:i w:val="0"/>
          <w:iCs w:val="0"/>
        </w:rPr>
        <w:t xml:space="preserve">in </w:t>
      </w:r>
      <w:r>
        <w:t>D. yakuba</w:t>
      </w:r>
      <w:r w:rsidRPr="023FAF49">
        <w:rPr>
          <w:sz w:val="22"/>
          <w:szCs w:val="22"/>
        </w:rPr>
        <w:t xml:space="preserve">. </w:t>
      </w:r>
    </w:p>
    <w:p w14:paraId="4520F607" w14:textId="77777777" w:rsidR="00DB29B4" w:rsidRDefault="00DB29B4" w:rsidP="00A24D25">
      <w:pPr>
        <w:jc w:val="both"/>
        <w:rPr>
          <w:sz w:val="20"/>
        </w:rPr>
        <w:sectPr w:rsidR="00DB29B4" w:rsidSect="00DB29B4">
          <w:type w:val="continuous"/>
          <w:pgSz w:w="12240" w:h="15840"/>
          <w:pgMar w:top="1440" w:right="1440" w:bottom="1440" w:left="1440" w:header="567" w:footer="624" w:gutter="0"/>
          <w:pgNumType w:start="1"/>
          <w:cols w:num="2" w:space="720"/>
          <w:docGrid w:linePitch="326"/>
        </w:sectPr>
      </w:pPr>
    </w:p>
    <w:p w14:paraId="053AC685" w14:textId="77777777" w:rsidR="00F70A1E" w:rsidRPr="002B118C" w:rsidRDefault="00F70A1E" w:rsidP="00104E35">
      <w:pPr>
        <w:pStyle w:val="Body"/>
      </w:pPr>
    </w:p>
    <w:p w14:paraId="48EBDD0C" w14:textId="1ED6ADBF" w:rsidR="008B2069" w:rsidRDefault="008B2069" w:rsidP="00104E35">
      <w:pPr>
        <w:pStyle w:val="Heading2"/>
      </w:pPr>
      <w:r w:rsidRPr="002B118C">
        <w:t>Gene Model</w:t>
      </w:r>
    </w:p>
    <w:p w14:paraId="1B0A8F72" w14:textId="5701E6A6" w:rsidR="00F67382" w:rsidRDefault="023FAF49" w:rsidP="023FAF49">
      <w:pPr>
        <w:pStyle w:val="Body"/>
        <w:rPr>
          <w:i w:val="0"/>
          <w:iCs w:val="0"/>
        </w:rPr>
        <w:sectPr w:rsidR="00F67382" w:rsidSect="00AE3DA2">
          <w:type w:val="continuous"/>
          <w:pgSz w:w="12240" w:h="15840"/>
          <w:pgMar w:top="1440" w:right="1440" w:bottom="1440" w:left="1440" w:header="567" w:footer="624" w:gutter="0"/>
          <w:pgNumType w:start="1"/>
          <w:cols w:space="720"/>
          <w:docGrid w:linePitch="326"/>
        </w:sectPr>
      </w:pPr>
      <w:r>
        <w:t>Tsc1</w:t>
      </w:r>
      <w:r w:rsidRPr="023FAF49">
        <w:rPr>
          <w:i w:val="0"/>
          <w:iCs w:val="0"/>
        </w:rPr>
        <w:t xml:space="preserve"> has one isoform in </w:t>
      </w:r>
      <w:r>
        <w:t>D. yakuba</w:t>
      </w:r>
      <w:r w:rsidRPr="023FAF49">
        <w:rPr>
          <w:i w:val="0"/>
          <w:iCs w:val="0"/>
        </w:rPr>
        <w:t xml:space="preserve">, Tsc1-PA, </w:t>
      </w:r>
      <w:r w:rsidR="00695EB6">
        <w:rPr>
          <w:i w:val="0"/>
          <w:iCs w:val="0"/>
        </w:rPr>
        <w:t>with</w:t>
      </w:r>
      <w:r w:rsidRPr="023FAF49">
        <w:rPr>
          <w:i w:val="0"/>
          <w:iCs w:val="0"/>
        </w:rPr>
        <w:t xml:space="preserve"> 6 exons. There are also 6 exons in the </w:t>
      </w:r>
      <w:r>
        <w:t>Tsc1</w:t>
      </w:r>
      <w:r w:rsidRPr="023FAF49">
        <w:rPr>
          <w:i w:val="0"/>
          <w:iCs w:val="0"/>
        </w:rPr>
        <w:t xml:space="preserve"> gene located in </w:t>
      </w:r>
      <w:r>
        <w:t xml:space="preserve">D. melanogaster. </w:t>
      </w:r>
      <w:r w:rsidRPr="023FAF49">
        <w:rPr>
          <w:i w:val="0"/>
          <w:iCs w:val="0"/>
        </w:rPr>
        <w:t xml:space="preserve">A </w:t>
      </w:r>
      <w:r>
        <w:t xml:space="preserve">blastp </w:t>
      </w:r>
      <w:r w:rsidRPr="023FAF49">
        <w:rPr>
          <w:i w:val="0"/>
          <w:iCs w:val="0"/>
        </w:rPr>
        <w:t xml:space="preserve">search of the protein sequence of </w:t>
      </w:r>
      <w:r>
        <w:t xml:space="preserve">Tsc1 </w:t>
      </w:r>
      <w:r w:rsidRPr="023FAF49">
        <w:rPr>
          <w:i w:val="0"/>
          <w:iCs w:val="0"/>
        </w:rPr>
        <w:t xml:space="preserve">in </w:t>
      </w:r>
      <w:r w:rsidR="00695EB6">
        <w:t>D. yakuba</w:t>
      </w:r>
      <w:r w:rsidRPr="023FAF49">
        <w:rPr>
          <w:i w:val="0"/>
          <w:iCs w:val="0"/>
        </w:rPr>
        <w:t xml:space="preserve"> against</w:t>
      </w:r>
      <w:r>
        <w:t xml:space="preserve"> </w:t>
      </w:r>
      <w:r w:rsidR="00695EB6">
        <w:t>D. melanogaster</w:t>
      </w:r>
      <w:r w:rsidRPr="023FAF49">
        <w:rPr>
          <w:i w:val="0"/>
          <w:iCs w:val="0"/>
        </w:rPr>
        <w:t xml:space="preserve"> yields a 97.00% identity with only 33 amino acids differ</w:t>
      </w:r>
      <w:r w:rsidR="00695EB6">
        <w:rPr>
          <w:i w:val="0"/>
          <w:iCs w:val="0"/>
        </w:rPr>
        <w:t>ing</w:t>
      </w:r>
      <w:r w:rsidRPr="023FAF49">
        <w:rPr>
          <w:i w:val="0"/>
          <w:iCs w:val="0"/>
        </w:rPr>
        <w:t xml:space="preserve"> out of 770. There were small misalignments between the protein sequences of the two species in coding exon 3 and 6 as is displayed by the green, blue, and pink boxes in the dot plot. (Figure 1C) The large misalignment in exon 3, shown by the green box, can also be seen in the conservation tracks of 28 different </w:t>
      </w:r>
      <w:r>
        <w:t xml:space="preserve">Drosophila </w:t>
      </w:r>
      <w:r w:rsidRPr="023FAF49">
        <w:rPr>
          <w:i w:val="0"/>
          <w:iCs w:val="0"/>
        </w:rPr>
        <w:t xml:space="preserve">species in the UCSC Genome Browser and especially in </w:t>
      </w:r>
      <w:r>
        <w:t xml:space="preserve">D. yakuba. </w:t>
      </w:r>
      <w:r w:rsidRPr="023FAF49">
        <w:rPr>
          <w:i w:val="0"/>
          <w:iCs w:val="0"/>
        </w:rPr>
        <w:t xml:space="preserve">(Figure 1D) These misalignments, however, are probably not large enough to cause any significant change in the function of the gene in either species. </w:t>
      </w:r>
    </w:p>
    <w:p w14:paraId="1A067A90" w14:textId="77777777" w:rsidR="00F67382" w:rsidRDefault="00F67382" w:rsidP="00104E35">
      <w:pPr>
        <w:pStyle w:val="Body"/>
        <w:rPr>
          <w:i w:val="0"/>
        </w:rPr>
        <w:sectPr w:rsidR="00F67382" w:rsidSect="00F67382">
          <w:type w:val="continuous"/>
          <w:pgSz w:w="12240" w:h="15840"/>
          <w:pgMar w:top="1440" w:right="1440" w:bottom="1440" w:left="1440" w:header="567" w:footer="624" w:gutter="0"/>
          <w:pgNumType w:start="1"/>
          <w:cols w:num="2" w:space="720"/>
          <w:docGrid w:linePitch="326"/>
        </w:sectPr>
      </w:pPr>
    </w:p>
    <w:p w14:paraId="47B59A2D" w14:textId="74E17A3F" w:rsidR="004459AB" w:rsidRPr="002B118C" w:rsidRDefault="004459AB" w:rsidP="2B0B946D">
      <w:pPr>
        <w:pStyle w:val="Body"/>
        <w:rPr>
          <w:i w:val="0"/>
          <w:iCs w:val="0"/>
        </w:rPr>
      </w:pPr>
    </w:p>
    <w:p w14:paraId="01EAADE1" w14:textId="1CE87EBA" w:rsidR="000E0D23" w:rsidRPr="002B118C" w:rsidRDefault="000E0D23" w:rsidP="00104E35">
      <w:pPr>
        <w:pStyle w:val="Body"/>
        <w:rPr>
          <w:i w:val="0"/>
        </w:rPr>
      </w:pPr>
    </w:p>
    <w:p w14:paraId="0AE320B7" w14:textId="5CD01D94" w:rsidR="00BE0A43" w:rsidRPr="002B118C" w:rsidRDefault="00BE0A43" w:rsidP="00104E35">
      <w:pPr>
        <w:pStyle w:val="Body"/>
        <w:rPr>
          <w:i w:val="0"/>
        </w:rPr>
      </w:pPr>
    </w:p>
    <w:p w14:paraId="370B9EC4" w14:textId="77777777" w:rsidR="000E7D97" w:rsidRPr="002B118C" w:rsidRDefault="000E7D97" w:rsidP="00104E35">
      <w:pPr>
        <w:pStyle w:val="Body"/>
        <w:rPr>
          <w:i w:val="0"/>
        </w:rPr>
      </w:pPr>
    </w:p>
    <w:p w14:paraId="0A60F403" w14:textId="77777777" w:rsidR="00BE0A43" w:rsidRPr="002B118C" w:rsidRDefault="00BE0A43" w:rsidP="00104E35">
      <w:pPr>
        <w:pStyle w:val="Body"/>
        <w:rPr>
          <w:i w:val="0"/>
          <w:iCs w:val="0"/>
        </w:rPr>
      </w:pPr>
    </w:p>
    <w:p w14:paraId="29D8F88F" w14:textId="36397F5D" w:rsidR="009C79C6" w:rsidRPr="002B118C" w:rsidRDefault="009C79C6" w:rsidP="00104E35">
      <w:pPr>
        <w:pStyle w:val="Body"/>
        <w:rPr>
          <w:i w:val="0"/>
        </w:rPr>
      </w:pPr>
    </w:p>
    <w:p w14:paraId="30AD9D0A" w14:textId="77777777" w:rsidR="00CF624C" w:rsidRPr="002B118C" w:rsidRDefault="00CF624C">
      <w:pPr>
        <w:rPr>
          <w:rFonts w:asciiTheme="majorHAnsi" w:eastAsiaTheme="majorEastAsia" w:hAnsiTheme="majorHAnsi" w:cstheme="majorBidi"/>
          <w:szCs w:val="32"/>
        </w:rPr>
      </w:pPr>
      <w:r w:rsidRPr="002B118C">
        <w:br w:type="page"/>
      </w:r>
    </w:p>
    <w:p w14:paraId="4FFD9F81" w14:textId="37039445" w:rsidR="000B590B" w:rsidRPr="002B118C" w:rsidRDefault="2B0B946D" w:rsidP="00504703">
      <w:pPr>
        <w:pStyle w:val="Heading1"/>
        <w:rPr>
          <w:lang w:val="en-US"/>
        </w:rPr>
      </w:pPr>
      <w:r w:rsidRPr="2B0B946D">
        <w:rPr>
          <w:lang w:val="en-US"/>
        </w:rPr>
        <w:lastRenderedPageBreak/>
        <w:t>References</w:t>
      </w:r>
    </w:p>
    <w:p w14:paraId="52C78601" w14:textId="37039445" w:rsidR="2B0B946D" w:rsidRDefault="2B0B946D" w:rsidP="2B0B946D">
      <w:pPr>
        <w:ind w:left="720" w:hanging="720"/>
      </w:pPr>
      <w:r w:rsidRPr="2B0B946D">
        <w:rPr>
          <w:rFonts w:eastAsia="Times New Roman"/>
          <w:color w:val="000000" w:themeColor="text1"/>
          <w:sz w:val="20"/>
          <w:szCs w:val="20"/>
        </w:rPr>
        <w:t xml:space="preserve">Dabora, S.L., Jozwiak, S., Franz, D.N., Roberts, P.S., Nieto, A., Chung, J., Choy, Y.-S., Reeve, M.P., Thiele, E., Egelhoff, J.C., Kasprzyk-Obara, J., Domanska-Pakiela, D., Kwiatkowski, D.J., 2008. Mutational Analysis in a Cohort of 224 Tuberous Sclerosis Patients Indicates Increased Severity of TSC2, Compared with TSC1, Disease in Multiple Organs [WWW Document]. The American Journal of Human Genetics. URL </w:t>
      </w:r>
      <w:hyperlink r:id="rId14">
        <w:r w:rsidRPr="2B0B946D">
          <w:rPr>
            <w:rStyle w:val="Hyperlink"/>
            <w:rFonts w:eastAsia="Times New Roman"/>
            <w:color w:val="000000" w:themeColor="text1"/>
            <w:sz w:val="20"/>
            <w:szCs w:val="20"/>
          </w:rPr>
          <w:t>https://www.sciencedirect.com/science/article/pii/S0002929707624720</w:t>
        </w:r>
      </w:hyperlink>
      <w:r w:rsidRPr="2B0B946D">
        <w:rPr>
          <w:rFonts w:eastAsia="Times New Roman"/>
          <w:color w:val="000000" w:themeColor="text1"/>
          <w:sz w:val="20"/>
          <w:szCs w:val="20"/>
        </w:rPr>
        <w:t xml:space="preserve"> (accessed 6.4.20).</w:t>
      </w:r>
    </w:p>
    <w:p w14:paraId="399EE88D" w14:textId="37039445" w:rsidR="2B0B946D" w:rsidRDefault="2B0B946D" w:rsidP="2B0B946D">
      <w:pPr>
        <w:ind w:left="720" w:hanging="720"/>
      </w:pPr>
      <w:r w:rsidRPr="2B0B946D">
        <w:rPr>
          <w:rFonts w:eastAsia="Times New Roman"/>
          <w:color w:val="000000" w:themeColor="text1"/>
          <w:sz w:val="20"/>
          <w:szCs w:val="20"/>
        </w:rPr>
        <w:t xml:space="preserve">Gao, X., Pan, D., 1970. TSC1 and TSC2 tumor suppressors antagonize insulin signaling in cell growth [WWW Document]. Genes &amp; Development. URL </w:t>
      </w:r>
      <w:hyperlink r:id="rId15">
        <w:r w:rsidRPr="2B0B946D">
          <w:rPr>
            <w:rStyle w:val="Hyperlink"/>
            <w:rFonts w:eastAsia="Times New Roman"/>
            <w:color w:val="000000" w:themeColor="text1"/>
            <w:sz w:val="20"/>
            <w:szCs w:val="20"/>
          </w:rPr>
          <w:t>http://genesdev.cshlp.org/content/15/11/1383.short</w:t>
        </w:r>
      </w:hyperlink>
      <w:r w:rsidRPr="2B0B946D">
        <w:rPr>
          <w:rFonts w:eastAsia="Times New Roman"/>
          <w:color w:val="000000" w:themeColor="text1"/>
          <w:sz w:val="20"/>
          <w:szCs w:val="20"/>
        </w:rPr>
        <w:t xml:space="preserve"> (accessed 6.4.20).</w:t>
      </w:r>
    </w:p>
    <w:p w14:paraId="01987994" w14:textId="37039445" w:rsidR="2B0B946D" w:rsidRDefault="2B0B946D" w:rsidP="2B0B946D">
      <w:pPr>
        <w:ind w:left="720" w:hanging="720"/>
      </w:pPr>
      <w:r w:rsidRPr="2B0B946D">
        <w:rPr>
          <w:rFonts w:eastAsia="Times New Roman"/>
          <w:color w:val="000000" w:themeColor="text1"/>
          <w:sz w:val="20"/>
          <w:szCs w:val="20"/>
        </w:rPr>
        <w:t xml:space="preserve">Potter, C.J., Huang, H., Xu, T., 2001. Drosophila Tsc1 Functions with Tsc2 to Antagonize Insulin Signaling in Regulating Cell Growth, Cell Proliferation, and Organ Size [WWW Document]. Cell. URL </w:t>
      </w:r>
      <w:hyperlink r:id="rId16">
        <w:r w:rsidRPr="2B0B946D">
          <w:rPr>
            <w:rStyle w:val="Hyperlink"/>
            <w:rFonts w:eastAsia="Times New Roman"/>
            <w:color w:val="000000" w:themeColor="text1"/>
            <w:sz w:val="20"/>
            <w:szCs w:val="20"/>
          </w:rPr>
          <w:t>https://www.sciencedirect.com/science/article/pii/S0092867401003336</w:t>
        </w:r>
      </w:hyperlink>
      <w:r w:rsidRPr="2B0B946D">
        <w:rPr>
          <w:rFonts w:eastAsia="Times New Roman"/>
          <w:color w:val="000000" w:themeColor="text1"/>
          <w:sz w:val="20"/>
          <w:szCs w:val="20"/>
        </w:rPr>
        <w:t xml:space="preserve"> (accessed 6.4.20).</w:t>
      </w:r>
    </w:p>
    <w:p w14:paraId="5E7EF58C" w14:textId="37039445" w:rsidR="2B0B946D" w:rsidRDefault="2B0B946D" w:rsidP="2B0B946D">
      <w:pPr>
        <w:pStyle w:val="Body"/>
        <w:rPr>
          <w:i w:val="0"/>
          <w:iCs w:val="0"/>
        </w:rPr>
      </w:pPr>
    </w:p>
    <w:p w14:paraId="67944291" w14:textId="77777777" w:rsidR="00DC7A15" w:rsidRPr="002B118C" w:rsidRDefault="00DC7A15" w:rsidP="00104E35">
      <w:pPr>
        <w:pStyle w:val="Body"/>
      </w:pPr>
    </w:p>
    <w:p w14:paraId="0F09B2AB" w14:textId="77777777" w:rsidR="00B53EF8" w:rsidRPr="002B118C" w:rsidRDefault="00B53EF8" w:rsidP="00B53EF8">
      <w:pPr>
        <w:jc w:val="both"/>
        <w:rPr>
          <w:i/>
          <w:iCs/>
          <w:sz w:val="20"/>
        </w:rPr>
      </w:pPr>
      <w:r w:rsidRPr="002B118C">
        <w:rPr>
          <w:b/>
          <w:sz w:val="20"/>
        </w:rPr>
        <w:t xml:space="preserve">Funding: </w:t>
      </w:r>
      <w:r w:rsidRPr="002B118C">
        <w:rPr>
          <w:sz w:val="20"/>
        </w:rPr>
        <w:t xml:space="preserve">This material is based upon work supported by the National Science Foundation under </w:t>
      </w:r>
      <w:r>
        <w:rPr>
          <w:sz w:val="20"/>
        </w:rPr>
        <w:t>Grant No.</w:t>
      </w:r>
      <w:r w:rsidRPr="002B118C">
        <w:rPr>
          <w:sz w:val="20"/>
        </w:rPr>
        <w:t xml:space="preserve"> IUSE-1915544 </w:t>
      </w:r>
      <w:r>
        <w:rPr>
          <w:sz w:val="20"/>
        </w:rPr>
        <w:t xml:space="preserve">to LKR </w:t>
      </w:r>
      <w:r w:rsidRPr="002B118C">
        <w:rPr>
          <w:sz w:val="20"/>
        </w:rPr>
        <w:t>and the National Institute of General Medical Sciences of the National Institute of Health</w:t>
      </w:r>
      <w:r>
        <w:rPr>
          <w:sz w:val="20"/>
        </w:rPr>
        <w:t xml:space="preserve"> A</w:t>
      </w:r>
      <w:r w:rsidRPr="002B118C">
        <w:rPr>
          <w:sz w:val="20"/>
        </w:rPr>
        <w:t xml:space="preserve">ward R25GM130517 to LKR. The </w:t>
      </w:r>
      <w:r>
        <w:rPr>
          <w:sz w:val="20"/>
        </w:rPr>
        <w:t>Genomics Education Partnership</w:t>
      </w:r>
      <w:r w:rsidRPr="002B118C">
        <w:rPr>
          <w:sz w:val="20"/>
        </w:rPr>
        <w:t xml:space="preserve"> is fully financed by Federal moneys. </w:t>
      </w:r>
      <w:r>
        <w:rPr>
          <w:sz w:val="20"/>
        </w:rPr>
        <w:t>The c</w:t>
      </w:r>
      <w:r w:rsidRPr="002B118C">
        <w:rPr>
          <w:sz w:val="20"/>
        </w:rPr>
        <w:t xml:space="preserve">ontent is solely the responsibility of the authors and does not necessarily represent the official views of the </w:t>
      </w:r>
      <w:r>
        <w:rPr>
          <w:sz w:val="20"/>
        </w:rPr>
        <w:t xml:space="preserve">National Institutes of Health. </w:t>
      </w:r>
    </w:p>
    <w:p w14:paraId="02181654" w14:textId="77777777" w:rsidR="00B53EF8" w:rsidRPr="002B118C" w:rsidRDefault="00B53EF8" w:rsidP="00B53EF8">
      <w:pPr>
        <w:pStyle w:val="Body"/>
      </w:pPr>
    </w:p>
    <w:p w14:paraId="711D3D93" w14:textId="16E34020" w:rsidR="00B53EF8" w:rsidRPr="002B118C" w:rsidRDefault="347AD1EC" w:rsidP="347AD1EC">
      <w:pPr>
        <w:pStyle w:val="Heading2"/>
        <w:rPr>
          <w:i w:val="0"/>
          <w:iCs w:val="0"/>
        </w:rPr>
      </w:pPr>
      <w:r w:rsidRPr="347AD1EC">
        <w:rPr>
          <w:rFonts w:eastAsia="Arial Unicode MS" w:cs="Arial Unicode MS"/>
          <w:i w:val="0"/>
          <w:iCs w:val="0"/>
        </w:rPr>
        <w:t xml:space="preserve">Acknowledgements: </w:t>
      </w:r>
      <w:r w:rsidRPr="347AD1EC">
        <w:rPr>
          <w:b w:val="0"/>
          <w:bCs w:val="0"/>
          <w:i w:val="0"/>
          <w:iCs w:val="0"/>
        </w:rPr>
        <w:t xml:space="preserve">Laura K. Reed, Wilson Leung, and Chinmay </w:t>
      </w:r>
      <w:r w:rsidR="00876920">
        <w:rPr>
          <w:b w:val="0"/>
          <w:bCs w:val="0"/>
          <w:i w:val="0"/>
          <w:iCs w:val="0"/>
        </w:rPr>
        <w:t xml:space="preserve">P. </w:t>
      </w:r>
      <w:r w:rsidRPr="347AD1EC">
        <w:rPr>
          <w:b w:val="0"/>
          <w:bCs w:val="0"/>
          <w:i w:val="0"/>
          <w:iCs w:val="0"/>
        </w:rPr>
        <w:t xml:space="preserve">Rele, who created and maintains the GEP technological infrastructure. </w:t>
      </w:r>
    </w:p>
    <w:p w14:paraId="6BA56E32" w14:textId="77777777" w:rsidR="000E0D23" w:rsidRPr="002B118C" w:rsidRDefault="000E0D23" w:rsidP="00104E35">
      <w:pPr>
        <w:pStyle w:val="Body"/>
      </w:pPr>
    </w:p>
    <w:p w14:paraId="693AAC17" w14:textId="77777777" w:rsidR="000E0D23" w:rsidRPr="002B118C" w:rsidRDefault="000E0D23" w:rsidP="00104E35">
      <w:pPr>
        <w:pStyle w:val="Body"/>
        <w:rPr>
          <w:i w:val="0"/>
          <w:iCs w:val="0"/>
        </w:rPr>
      </w:pPr>
    </w:p>
    <w:p w14:paraId="0AE8E652" w14:textId="77777777" w:rsidR="000E0D23" w:rsidRPr="002B118C" w:rsidRDefault="000E0D23" w:rsidP="00104E35">
      <w:pPr>
        <w:pStyle w:val="Body"/>
      </w:pPr>
    </w:p>
    <w:p w14:paraId="23D883D9" w14:textId="775BD7B7" w:rsidR="000E0D23" w:rsidRDefault="00724776" w:rsidP="00104E35">
      <w:pPr>
        <w:pStyle w:val="Body"/>
        <w:rPr>
          <w:bCs/>
          <w:i w:val="0"/>
        </w:rPr>
      </w:pPr>
      <w:r w:rsidRPr="002B118C">
        <w:rPr>
          <w:b/>
          <w:bCs/>
          <w:i w:val="0"/>
        </w:rPr>
        <w:t xml:space="preserve">Author Contributions: </w:t>
      </w:r>
    </w:p>
    <w:p w14:paraId="568B9C2D" w14:textId="180C95F4" w:rsidR="006C7C44" w:rsidRDefault="2B0B946D" w:rsidP="2B0B946D">
      <w:pPr>
        <w:pStyle w:val="Body"/>
        <w:rPr>
          <w:i w:val="0"/>
          <w:iCs w:val="0"/>
          <w:highlight w:val="yellow"/>
        </w:rPr>
      </w:pPr>
      <w:r w:rsidRPr="2B0B946D">
        <w:rPr>
          <w:i w:val="0"/>
          <w:iCs w:val="0"/>
        </w:rPr>
        <w:t>Bailey Lose</w:t>
      </w:r>
      <w:r w:rsidR="003A15DD">
        <w:rPr>
          <w:i w:val="0"/>
          <w:iCs w:val="0"/>
        </w:rPr>
        <w:t xml:space="preserve">, </w:t>
      </w:r>
      <w:r w:rsidRPr="2B0B946D">
        <w:rPr>
          <w:i w:val="0"/>
          <w:iCs w:val="0"/>
        </w:rPr>
        <w:t>Abigail Myers</w:t>
      </w:r>
      <w:r w:rsidR="003A15DD">
        <w:rPr>
          <w:i w:val="0"/>
          <w:iCs w:val="0"/>
        </w:rPr>
        <w:t xml:space="preserve">, </w:t>
      </w:r>
      <w:r w:rsidR="00300811">
        <w:rPr>
          <w:i w:val="0"/>
          <w:iCs w:val="0"/>
        </w:rPr>
        <w:t xml:space="preserve">Chinmay </w:t>
      </w:r>
      <w:r w:rsidR="00876920">
        <w:rPr>
          <w:i w:val="0"/>
          <w:iCs w:val="0"/>
        </w:rPr>
        <w:t xml:space="preserve">P. </w:t>
      </w:r>
      <w:r w:rsidR="00300811">
        <w:rPr>
          <w:i w:val="0"/>
          <w:iCs w:val="0"/>
        </w:rPr>
        <w:t>Rele</w:t>
      </w:r>
    </w:p>
    <w:p w14:paraId="651F890D" w14:textId="5AE00307" w:rsidR="006C7C44" w:rsidRDefault="006C7C44" w:rsidP="006C7C44">
      <w:pPr>
        <w:pStyle w:val="Body"/>
        <w:numPr>
          <w:ilvl w:val="0"/>
          <w:numId w:val="8"/>
        </w:numPr>
        <w:rPr>
          <w:bCs/>
          <w:i w:val="0"/>
        </w:rPr>
      </w:pPr>
      <w:r>
        <w:rPr>
          <w:bCs/>
          <w:i w:val="0"/>
        </w:rPr>
        <w:t xml:space="preserve">Formal </w:t>
      </w:r>
      <w:r w:rsidR="000810B3">
        <w:rPr>
          <w:bCs/>
          <w:i w:val="0"/>
        </w:rPr>
        <w:t>a</w:t>
      </w:r>
      <w:r>
        <w:rPr>
          <w:bCs/>
          <w:i w:val="0"/>
        </w:rPr>
        <w:t>nalysis</w:t>
      </w:r>
    </w:p>
    <w:p w14:paraId="663D47C6" w14:textId="2E2AB1A9" w:rsidR="006C7C44" w:rsidRDefault="006C7C44" w:rsidP="006C7C44">
      <w:pPr>
        <w:pStyle w:val="Body"/>
        <w:numPr>
          <w:ilvl w:val="0"/>
          <w:numId w:val="8"/>
        </w:numPr>
        <w:rPr>
          <w:bCs/>
          <w:i w:val="0"/>
        </w:rPr>
      </w:pPr>
      <w:r>
        <w:rPr>
          <w:bCs/>
          <w:i w:val="0"/>
        </w:rPr>
        <w:t>Writing – original draft</w:t>
      </w:r>
    </w:p>
    <w:p w14:paraId="4EB778CE" w14:textId="77777777" w:rsidR="000810B3" w:rsidRDefault="000810B3" w:rsidP="000810B3">
      <w:pPr>
        <w:pStyle w:val="Body"/>
        <w:numPr>
          <w:ilvl w:val="0"/>
          <w:numId w:val="8"/>
        </w:numPr>
        <w:rPr>
          <w:bCs/>
          <w:i w:val="0"/>
        </w:rPr>
      </w:pPr>
      <w:r>
        <w:rPr>
          <w:bCs/>
          <w:i w:val="0"/>
        </w:rPr>
        <w:t>Writing – review &amp; editing</w:t>
      </w:r>
    </w:p>
    <w:p w14:paraId="3D643FA2" w14:textId="2A749E06" w:rsidR="006C7C44" w:rsidRDefault="008A6B32" w:rsidP="2B0B946D">
      <w:pPr>
        <w:pStyle w:val="Body"/>
        <w:rPr>
          <w:i w:val="0"/>
          <w:iCs w:val="0"/>
          <w:highlight w:val="yellow"/>
        </w:rPr>
      </w:pPr>
      <w:r>
        <w:rPr>
          <w:i w:val="0"/>
          <w:iCs w:val="0"/>
        </w:rPr>
        <w:t>Savanah Fondse, Ian Alberts</w:t>
      </w:r>
      <w:bookmarkStart w:id="0" w:name="_GoBack"/>
      <w:bookmarkEnd w:id="0"/>
    </w:p>
    <w:p w14:paraId="4DD3499C" w14:textId="7C1CDF77" w:rsidR="000810B3" w:rsidRDefault="000810B3" w:rsidP="000810B3">
      <w:pPr>
        <w:pStyle w:val="Body"/>
        <w:numPr>
          <w:ilvl w:val="0"/>
          <w:numId w:val="8"/>
        </w:numPr>
        <w:rPr>
          <w:bCs/>
          <w:i w:val="0"/>
        </w:rPr>
      </w:pPr>
      <w:r>
        <w:rPr>
          <w:bCs/>
          <w:i w:val="0"/>
        </w:rPr>
        <w:t>Formal analysis</w:t>
      </w:r>
    </w:p>
    <w:p w14:paraId="7AB5C2A0" w14:textId="7CB9E1CB" w:rsidR="000810B3" w:rsidRPr="000810B3" w:rsidRDefault="000810B3" w:rsidP="000810B3">
      <w:pPr>
        <w:pStyle w:val="Body"/>
        <w:numPr>
          <w:ilvl w:val="0"/>
          <w:numId w:val="8"/>
        </w:numPr>
        <w:rPr>
          <w:bCs/>
          <w:i w:val="0"/>
        </w:rPr>
      </w:pPr>
      <w:r>
        <w:rPr>
          <w:bCs/>
          <w:i w:val="0"/>
        </w:rPr>
        <w:t>Writing – original draft</w:t>
      </w:r>
    </w:p>
    <w:p w14:paraId="236E7E4B" w14:textId="3DA21C0D" w:rsidR="006C7C44" w:rsidRDefault="2B0B946D" w:rsidP="2B0B946D">
      <w:pPr>
        <w:pStyle w:val="Body"/>
        <w:rPr>
          <w:i w:val="0"/>
          <w:iCs w:val="0"/>
          <w:highlight w:val="yellow"/>
        </w:rPr>
      </w:pPr>
      <w:r w:rsidRPr="2B0B946D">
        <w:rPr>
          <w:i w:val="0"/>
          <w:iCs w:val="0"/>
        </w:rPr>
        <w:t>Joyce Stamm, James Youngblom</w:t>
      </w:r>
    </w:p>
    <w:p w14:paraId="1E321A14" w14:textId="3CF68D38" w:rsidR="000810B3" w:rsidRDefault="000810B3" w:rsidP="000810B3">
      <w:pPr>
        <w:pStyle w:val="Body"/>
        <w:numPr>
          <w:ilvl w:val="0"/>
          <w:numId w:val="8"/>
        </w:numPr>
        <w:rPr>
          <w:bCs/>
          <w:i w:val="0"/>
        </w:rPr>
      </w:pPr>
      <w:r>
        <w:rPr>
          <w:bCs/>
          <w:i w:val="0"/>
        </w:rPr>
        <w:t>Writing – review &amp; editing</w:t>
      </w:r>
    </w:p>
    <w:p w14:paraId="599467D2" w14:textId="6A963C1A" w:rsidR="000810B3" w:rsidRDefault="000810B3" w:rsidP="000810B3">
      <w:pPr>
        <w:pStyle w:val="Body"/>
        <w:numPr>
          <w:ilvl w:val="0"/>
          <w:numId w:val="8"/>
        </w:numPr>
        <w:rPr>
          <w:bCs/>
          <w:i w:val="0"/>
        </w:rPr>
      </w:pPr>
      <w:r>
        <w:rPr>
          <w:bCs/>
          <w:i w:val="0"/>
        </w:rPr>
        <w:t>Supervision</w:t>
      </w:r>
    </w:p>
    <w:p w14:paraId="4048B6AB" w14:textId="031F3096" w:rsidR="000810B3" w:rsidRPr="002B118C" w:rsidRDefault="000810B3" w:rsidP="00FF62B7">
      <w:pPr>
        <w:pStyle w:val="Body"/>
        <w:rPr>
          <w:i w:val="0"/>
        </w:rPr>
      </w:pPr>
    </w:p>
    <w:p w14:paraId="6FA3F9CC" w14:textId="77777777" w:rsidR="000E0D23" w:rsidRPr="002B118C" w:rsidRDefault="000E0D23" w:rsidP="00FF62B7">
      <w:pPr>
        <w:pStyle w:val="Body"/>
      </w:pPr>
    </w:p>
    <w:p w14:paraId="00B303A6" w14:textId="77777777" w:rsidR="000E0D23" w:rsidRPr="002B118C" w:rsidRDefault="000E0D23" w:rsidP="00FF62B7">
      <w:pPr>
        <w:pStyle w:val="Body"/>
      </w:pPr>
    </w:p>
    <w:p w14:paraId="6E9F9726" w14:textId="78A66B39" w:rsidR="000E0D23" w:rsidRPr="002B118C" w:rsidRDefault="00724776" w:rsidP="00FF62B7">
      <w:pPr>
        <w:pStyle w:val="Body"/>
      </w:pPr>
      <w:r w:rsidRPr="002B118C">
        <w:t>Please select a tag below that best describes your submission</w:t>
      </w:r>
    </w:p>
    <w:p w14:paraId="236C5169" w14:textId="77777777" w:rsidR="00534406" w:rsidRPr="002B118C" w:rsidRDefault="00534406" w:rsidP="00FF62B7">
      <w:pPr>
        <w:pStyle w:val="Body"/>
      </w:pPr>
    </w:p>
    <w:tbl>
      <w:tblPr>
        <w:tblStyle w:val="PlainTable3"/>
        <w:tblW w:w="0" w:type="auto"/>
        <w:tblCellMar>
          <w:top w:w="72" w:type="dxa"/>
          <w:left w:w="115" w:type="dxa"/>
          <w:bottom w:w="72" w:type="dxa"/>
          <w:right w:w="115" w:type="dxa"/>
        </w:tblCellMar>
        <w:tblLook w:val="0600" w:firstRow="0" w:lastRow="0" w:firstColumn="0" w:lastColumn="0" w:noHBand="1" w:noVBand="1"/>
      </w:tblPr>
      <w:tblGrid>
        <w:gridCol w:w="2938"/>
        <w:gridCol w:w="2938"/>
        <w:gridCol w:w="2939"/>
      </w:tblGrid>
      <w:tr w:rsidR="00534406" w:rsidRPr="002B118C" w14:paraId="4350DBC1" w14:textId="77777777" w:rsidTr="0021282F">
        <w:tc>
          <w:tcPr>
            <w:tcW w:w="2938" w:type="dxa"/>
          </w:tcPr>
          <w:p w14:paraId="733699C8" w14:textId="7777777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r w:rsidRPr="00554DFA">
              <w:rPr>
                <w:i w:val="0"/>
                <w:iCs w:val="0"/>
                <w:highlight w:val="green"/>
              </w:rPr>
              <w:t>New findings</w:t>
            </w:r>
          </w:p>
        </w:tc>
        <w:tc>
          <w:tcPr>
            <w:tcW w:w="2938" w:type="dxa"/>
          </w:tcPr>
          <w:p w14:paraId="10B693EE" w14:textId="3864DA8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r w:rsidRPr="002B118C">
              <w:rPr>
                <w:i w:val="0"/>
                <w:iCs w:val="0"/>
              </w:rPr>
              <w:t>Replication – successful</w:t>
            </w:r>
          </w:p>
        </w:tc>
        <w:tc>
          <w:tcPr>
            <w:tcW w:w="2939" w:type="dxa"/>
          </w:tcPr>
          <w:p w14:paraId="4755D81E" w14:textId="7777777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r w:rsidRPr="002B118C">
              <w:rPr>
                <w:i w:val="0"/>
                <w:iCs w:val="0"/>
              </w:rPr>
              <w:t>Negative results</w:t>
            </w:r>
          </w:p>
        </w:tc>
      </w:tr>
      <w:tr w:rsidR="00534406" w:rsidRPr="002B118C" w14:paraId="15C66F3E" w14:textId="77777777" w:rsidTr="0021282F">
        <w:tc>
          <w:tcPr>
            <w:tcW w:w="2938" w:type="dxa"/>
          </w:tcPr>
          <w:p w14:paraId="100B4153" w14:textId="7777777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r w:rsidRPr="002B118C">
              <w:rPr>
                <w:i w:val="0"/>
                <w:iCs w:val="0"/>
              </w:rPr>
              <w:t>Methods &amp; reagents</w:t>
            </w:r>
          </w:p>
        </w:tc>
        <w:tc>
          <w:tcPr>
            <w:tcW w:w="2938" w:type="dxa"/>
          </w:tcPr>
          <w:p w14:paraId="1AD5C833" w14:textId="7777777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r w:rsidRPr="002B118C">
              <w:rPr>
                <w:i w:val="0"/>
                <w:iCs w:val="0"/>
              </w:rPr>
              <w:t>Replication – unsuccessful</w:t>
            </w:r>
          </w:p>
        </w:tc>
        <w:tc>
          <w:tcPr>
            <w:tcW w:w="2939" w:type="dxa"/>
          </w:tcPr>
          <w:p w14:paraId="166E051A" w14:textId="7777777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p>
        </w:tc>
      </w:tr>
    </w:tbl>
    <w:p w14:paraId="0DC3F589" w14:textId="77777777" w:rsidR="00534406" w:rsidRPr="002B118C" w:rsidRDefault="00534406" w:rsidP="00104E35">
      <w:pPr>
        <w:pStyle w:val="Body"/>
      </w:pPr>
    </w:p>
    <w:p w14:paraId="2D7B6DF8" w14:textId="77777777" w:rsidR="00534406" w:rsidRPr="002B118C" w:rsidRDefault="00534406" w:rsidP="00104E35">
      <w:pPr>
        <w:pStyle w:val="Body"/>
      </w:pPr>
    </w:p>
    <w:p w14:paraId="7B766E36" w14:textId="31AF4F21" w:rsidR="00534406" w:rsidRPr="002B118C" w:rsidRDefault="00534406" w:rsidP="00104E35">
      <w:pPr>
        <w:pStyle w:val="Body"/>
        <w:sectPr w:rsidR="00534406" w:rsidRPr="002B118C" w:rsidSect="00AE3DA2">
          <w:type w:val="continuous"/>
          <w:pgSz w:w="12240" w:h="15840"/>
          <w:pgMar w:top="1440" w:right="1440" w:bottom="1440" w:left="1440" w:header="567" w:footer="624" w:gutter="0"/>
          <w:pgNumType w:start="1"/>
          <w:cols w:space="720"/>
          <w:docGrid w:linePitch="326"/>
        </w:sectPr>
      </w:pPr>
    </w:p>
    <w:p w14:paraId="7481B880" w14:textId="77777777" w:rsidR="000E0D23" w:rsidRPr="002B118C" w:rsidRDefault="000E0D23" w:rsidP="00104E35">
      <w:pPr>
        <w:pStyle w:val="Body"/>
      </w:pPr>
    </w:p>
    <w:p w14:paraId="2F9004D5" w14:textId="77777777" w:rsidR="000E0D23" w:rsidRPr="002B118C" w:rsidRDefault="000E0D23" w:rsidP="00104E35">
      <w:pPr>
        <w:pStyle w:val="Body"/>
      </w:pPr>
    </w:p>
    <w:p w14:paraId="43161C72" w14:textId="77777777" w:rsidR="000E0D23" w:rsidRPr="002B118C" w:rsidRDefault="00724776" w:rsidP="00104E35">
      <w:pPr>
        <w:pStyle w:val="Body"/>
      </w:pPr>
      <w:r w:rsidRPr="002B118C">
        <w:rPr>
          <w:b/>
          <w:bCs/>
        </w:rPr>
        <w:t xml:space="preserve">You declare the following by submitting your article to microPublication Biology: </w:t>
      </w:r>
      <w:r w:rsidRPr="002B118C">
        <w:rPr>
          <w:b/>
          <w:bCs/>
          <w:rtl/>
        </w:rPr>
        <w:t>“</w:t>
      </w:r>
      <w:r w:rsidRPr="002B118C">
        <w:t>I/we declare to the best of my/our knowledge that the experiment is reproducible; that the submission has been approved by all authors; that the submission has been approved by the laboratory's Principal Investigator, and that the results have not been published elsewhere. The author(s) declare no conflict of interest.”</w:t>
      </w:r>
    </w:p>
    <w:p w14:paraId="424E1CAD" w14:textId="77777777" w:rsidR="000E0D23" w:rsidRPr="002B118C" w:rsidRDefault="000E0D23" w:rsidP="00104E35">
      <w:pPr>
        <w:pStyle w:val="Body"/>
      </w:pPr>
    </w:p>
    <w:p w14:paraId="49AEFBD4" w14:textId="77777777" w:rsidR="000E0D23" w:rsidRPr="002B118C" w:rsidRDefault="00724776" w:rsidP="00104E35">
      <w:pPr>
        <w:pStyle w:val="Body"/>
      </w:pPr>
      <w:r w:rsidRPr="002B118C">
        <w:t>Ignore the grayed out text below</w:t>
      </w:r>
    </w:p>
    <w:p w14:paraId="58FFCBD5" w14:textId="424CD334" w:rsidR="000E0D23" w:rsidRPr="002B118C" w:rsidRDefault="00724776" w:rsidP="00104E35">
      <w:pPr>
        <w:pStyle w:val="Body"/>
        <w:rPr>
          <w:b/>
          <w:color w:val="A7A7A7" w:themeColor="text2"/>
        </w:rPr>
      </w:pPr>
      <w:r w:rsidRPr="002B118C">
        <w:rPr>
          <w:b/>
          <w:color w:val="A7A7A7" w:themeColor="text2"/>
        </w:rPr>
        <w:lastRenderedPageBreak/>
        <w:t xml:space="preserve">Reviewed by </w:t>
      </w:r>
      <w:r w:rsidR="004C232C" w:rsidRPr="002B118C">
        <w:rPr>
          <w:b/>
          <w:color w:val="A7A7A7" w:themeColor="text2"/>
        </w:rPr>
        <w:t>:</w:t>
      </w:r>
    </w:p>
    <w:p w14:paraId="683B7FB8" w14:textId="77777777" w:rsidR="000E0D23" w:rsidRPr="002B118C" w:rsidRDefault="000E0D23" w:rsidP="00104E35">
      <w:pPr>
        <w:pStyle w:val="Body"/>
        <w:rPr>
          <w:color w:val="A7A7A7" w:themeColor="text2"/>
        </w:rPr>
      </w:pPr>
    </w:p>
    <w:p w14:paraId="4D9FB1C6" w14:textId="77777777" w:rsidR="000E0D23" w:rsidRPr="002B118C" w:rsidRDefault="00724776" w:rsidP="00104E35">
      <w:pPr>
        <w:pStyle w:val="Body"/>
        <w:rPr>
          <w:color w:val="A7A7A7" w:themeColor="text2"/>
        </w:rPr>
      </w:pPr>
      <w:bookmarkStart w:id="1" w:name="_headingh.gjdgxs"/>
      <w:bookmarkEnd w:id="1"/>
      <w:r w:rsidRPr="002B118C">
        <w:rPr>
          <w:b/>
          <w:bCs/>
          <w:color w:val="A7A7A7" w:themeColor="text2"/>
        </w:rPr>
        <w:t xml:space="preserve">Received </w:t>
      </w:r>
      <w:r w:rsidRPr="002B118C">
        <w:rPr>
          <w:color w:val="A7A7A7" w:themeColor="text2"/>
        </w:rPr>
        <w:t xml:space="preserve">yyyy/mm/dd, </w:t>
      </w:r>
      <w:r w:rsidRPr="002B118C">
        <w:rPr>
          <w:b/>
          <w:bCs/>
          <w:color w:val="A7A7A7" w:themeColor="text2"/>
        </w:rPr>
        <w:t>Accepted</w:t>
      </w:r>
      <w:r w:rsidRPr="002B118C">
        <w:rPr>
          <w:color w:val="A7A7A7" w:themeColor="text2"/>
        </w:rPr>
        <w:t xml:space="preserve"> yyyy/mm/dd. </w:t>
      </w:r>
      <w:r w:rsidRPr="002B118C">
        <w:rPr>
          <w:b/>
          <w:bCs/>
          <w:color w:val="A7A7A7" w:themeColor="text2"/>
        </w:rPr>
        <w:t xml:space="preserve">Published Online </w:t>
      </w:r>
      <w:r w:rsidRPr="002B118C">
        <w:rPr>
          <w:color w:val="A7A7A7" w:themeColor="text2"/>
        </w:rPr>
        <w:t>yyyy/mm/dd.</w:t>
      </w:r>
    </w:p>
    <w:p w14:paraId="0273E368" w14:textId="77777777" w:rsidR="000E0D23" w:rsidRPr="002B118C" w:rsidRDefault="000E0D23" w:rsidP="00104E35">
      <w:pPr>
        <w:pStyle w:val="Body"/>
        <w:rPr>
          <w:color w:val="A7A7A7" w:themeColor="text2"/>
        </w:rPr>
      </w:pPr>
    </w:p>
    <w:p w14:paraId="32E7C487" w14:textId="6487EC80" w:rsidR="000E0D23" w:rsidRPr="002B118C" w:rsidRDefault="00724776" w:rsidP="00104E35">
      <w:pPr>
        <w:pStyle w:val="Body"/>
        <w:rPr>
          <w:color w:val="A7A7A7" w:themeColor="text2"/>
        </w:rPr>
      </w:pPr>
      <w:r w:rsidRPr="002B118C">
        <w:rPr>
          <w:b/>
          <w:bCs/>
          <w:color w:val="A7A7A7" w:themeColor="text2"/>
        </w:rPr>
        <w:t>Copyright</w:t>
      </w:r>
      <w:r w:rsidRPr="002B118C">
        <w:rPr>
          <w:rFonts w:ascii="Arial" w:hAnsi="Arial"/>
          <w:color w:val="A7A7A7" w:themeColor="text2"/>
        </w:rPr>
        <w:t xml:space="preserve"> </w:t>
      </w:r>
      <w:r w:rsidRPr="002B118C">
        <w:rPr>
          <w:color w:val="A7A7A7" w:themeColor="text2"/>
        </w:rPr>
        <w:t>© 20</w:t>
      </w:r>
      <w:r w:rsidR="00FE46C6" w:rsidRPr="002B118C">
        <w:rPr>
          <w:color w:val="A7A7A7" w:themeColor="text2"/>
        </w:rPr>
        <w:t>20</w:t>
      </w:r>
      <w:r w:rsidRPr="002B118C">
        <w:rPr>
          <w:color w:val="A7A7A7" w:themeColor="text2"/>
        </w:rPr>
        <w:t xml:space="preserve"> by the authors. This is an open-access article distributed under the terms of the Creative Commons Attribution 4.0 International (CC BY 4.0) License, which permits unrestricted use, distribution, and reproduction in any medium, provided the original author and source are credited. </w:t>
      </w:r>
    </w:p>
    <w:p w14:paraId="006B4E49" w14:textId="77777777" w:rsidR="000E0D23" w:rsidRPr="002B118C" w:rsidRDefault="000E0D23" w:rsidP="00104E35">
      <w:pPr>
        <w:pStyle w:val="Body"/>
        <w:rPr>
          <w:color w:val="A7A7A7" w:themeColor="text2"/>
        </w:rPr>
      </w:pPr>
    </w:p>
    <w:p w14:paraId="2FA6E577" w14:textId="77777777" w:rsidR="000E0D23" w:rsidRPr="002B118C" w:rsidRDefault="00724776" w:rsidP="00104E35">
      <w:pPr>
        <w:pStyle w:val="Body"/>
        <w:rPr>
          <w:color w:val="A7A7A7" w:themeColor="text2"/>
        </w:rPr>
      </w:pPr>
      <w:r w:rsidRPr="002B118C">
        <w:rPr>
          <w:b/>
          <w:bCs/>
          <w:color w:val="A7A7A7" w:themeColor="text2"/>
        </w:rPr>
        <w:t>Citation</w:t>
      </w:r>
      <w:r w:rsidRPr="002B118C">
        <w:rPr>
          <w:color w:val="A7A7A7" w:themeColor="text2"/>
        </w:rPr>
        <w:t xml:space="preserve">: </w:t>
      </w:r>
    </w:p>
    <w:p w14:paraId="30BDE0BF" w14:textId="77777777" w:rsidR="000E0D23" w:rsidRPr="002B118C" w:rsidRDefault="000E0D23" w:rsidP="00104E35">
      <w:pPr>
        <w:pStyle w:val="Body"/>
        <w:rPr>
          <w:color w:val="A7A7A7" w:themeColor="text2"/>
        </w:rPr>
      </w:pPr>
    </w:p>
    <w:p w14:paraId="331EB483" w14:textId="28B01BE1" w:rsidR="00713859" w:rsidRPr="00D9328A" w:rsidRDefault="00713859" w:rsidP="008E5C52">
      <w:pPr>
        <w:rPr>
          <w:rFonts w:cs="Arial Unicode MS"/>
          <w:i/>
          <w:iCs/>
          <w:color w:val="A7A7A7" w:themeColor="text2"/>
          <w:sz w:val="20"/>
          <w:szCs w:val="20"/>
          <w:u w:color="000000"/>
          <w14:textOutline w14:w="0" w14:cap="flat" w14:cmpd="sng" w14:algn="ctr">
            <w14:noFill/>
            <w14:prstDash w14:val="solid"/>
            <w14:bevel/>
          </w14:textOutline>
        </w:rPr>
      </w:pPr>
    </w:p>
    <w:sectPr w:rsidR="00713859" w:rsidRPr="00D9328A">
      <w:headerReference w:type="default" r:id="rId1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082A1" w14:textId="77777777" w:rsidR="005F384B" w:rsidRDefault="005F384B">
      <w:r>
        <w:separator/>
      </w:r>
    </w:p>
  </w:endnote>
  <w:endnote w:type="continuationSeparator" w:id="0">
    <w:p w14:paraId="7322B7D7" w14:textId="77777777" w:rsidR="005F384B" w:rsidRDefault="005F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7EDAE" w14:textId="77777777" w:rsidR="008529F6" w:rsidRDefault="008529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3DCFF" w14:textId="77777777" w:rsidR="000E0D23" w:rsidRDefault="000E0D2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31F17" w14:textId="77777777" w:rsidR="008529F6" w:rsidRDefault="0085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5863D" w14:textId="77777777" w:rsidR="005F384B" w:rsidRDefault="005F384B">
      <w:r>
        <w:separator/>
      </w:r>
    </w:p>
  </w:footnote>
  <w:footnote w:type="continuationSeparator" w:id="0">
    <w:p w14:paraId="6F3D86B0" w14:textId="77777777" w:rsidR="005F384B" w:rsidRDefault="005F3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A3171" w14:textId="77777777" w:rsidR="008529F6" w:rsidRDefault="008529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BF2E2" w14:textId="77777777" w:rsidR="000E0D23" w:rsidRDefault="000E0D23">
    <w:pPr>
      <w:pStyle w:val="Body"/>
    </w:pPr>
  </w:p>
  <w:p w14:paraId="10317E5A" w14:textId="77777777" w:rsidR="000E0D23" w:rsidRDefault="00724776" w:rsidP="00C268B4">
    <w:pPr>
      <w:pStyle w:val="Body"/>
      <w:jc w:val="right"/>
    </w:pPr>
    <w:r>
      <w:rPr>
        <w:noProof/>
      </w:rPr>
      <w:drawing>
        <wp:inline distT="0" distB="0" distL="0" distR="0" wp14:anchorId="454F9306" wp14:editId="18C81989">
          <wp:extent cx="1662113" cy="403021"/>
          <wp:effectExtent l="0" t="0" r="0" b="0"/>
          <wp:docPr id="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1"/>
                  <a:stretch>
                    <a:fillRect/>
                  </a:stretch>
                </pic:blipFill>
                <pic:spPr>
                  <a:xfrm>
                    <a:off x="0" y="0"/>
                    <a:ext cx="1662113" cy="403021"/>
                  </a:xfrm>
                  <a:prstGeom prst="rect">
                    <a:avLst/>
                  </a:prstGeom>
                  <a:ln w="12700" cap="flat">
                    <a:noFill/>
                    <a:miter lim="400000"/>
                  </a:ln>
                  <a:effectLst/>
                </pic:spPr>
              </pic:pic>
            </a:graphicData>
          </a:graphic>
        </wp:inline>
      </w:drawing>
    </w:r>
    <w:r>
      <w:tab/>
    </w:r>
  </w:p>
  <w:p w14:paraId="55C909A7" w14:textId="24E37A39" w:rsidR="000E0D23" w:rsidRDefault="008529F6">
    <w:pPr>
      <w:pStyle w:val="Body"/>
    </w:pPr>
    <w:r>
      <w:t>01</w:t>
    </w:r>
    <w:r w:rsidR="00724776">
      <w:t>/</w:t>
    </w:r>
    <w:r>
      <w:t>10</w:t>
    </w:r>
    <w:r w:rsidR="00724776">
      <w:t>/</w:t>
    </w:r>
    <w:r>
      <w:t>2020</w:t>
    </w:r>
    <w:r w:rsidR="00724776">
      <w:t>– Open Access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70B56" w14:textId="77777777" w:rsidR="008529F6" w:rsidRDefault="008529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BB88F" w14:textId="77777777" w:rsidR="000E0D23" w:rsidRDefault="000E0D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D6E36"/>
    <w:multiLevelType w:val="hybridMultilevel"/>
    <w:tmpl w:val="766A635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A4302"/>
    <w:multiLevelType w:val="hybridMultilevel"/>
    <w:tmpl w:val="9DA40992"/>
    <w:numStyleLink w:val="ImportedStyle1"/>
  </w:abstractNum>
  <w:abstractNum w:abstractNumId="2" w15:restartNumberingAfterBreak="0">
    <w:nsid w:val="1F75764E"/>
    <w:multiLevelType w:val="hybridMultilevel"/>
    <w:tmpl w:val="9DA40992"/>
    <w:styleLink w:val="ImportedStyle1"/>
    <w:lvl w:ilvl="0" w:tplc="98C8AC3A">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FD654A8">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11C07096">
      <w:start w:val="1"/>
      <w:numFmt w:val="lowerRoman"/>
      <w:lvlText w:val="%3."/>
      <w:lvlJc w:val="left"/>
      <w:pPr>
        <w:ind w:left="2160" w:hanging="280"/>
      </w:pPr>
      <w:rPr>
        <w:rFonts w:hAnsi="Arial Unicode MS"/>
        <w:i/>
        <w:iCs/>
        <w:caps w:val="0"/>
        <w:smallCaps w:val="0"/>
        <w:strike w:val="0"/>
        <w:dstrike w:val="0"/>
        <w:outline w:val="0"/>
        <w:emboss w:val="0"/>
        <w:imprint w:val="0"/>
        <w:spacing w:val="0"/>
        <w:w w:val="100"/>
        <w:kern w:val="0"/>
        <w:position w:val="0"/>
        <w:highlight w:val="none"/>
        <w:vertAlign w:val="baseline"/>
      </w:rPr>
    </w:lvl>
    <w:lvl w:ilvl="3" w:tplc="C5D4D88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162028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DA14C044">
      <w:start w:val="1"/>
      <w:numFmt w:val="lowerRoman"/>
      <w:lvlText w:val="%6."/>
      <w:lvlJc w:val="left"/>
      <w:pPr>
        <w:ind w:left="4320" w:hanging="280"/>
      </w:pPr>
      <w:rPr>
        <w:rFonts w:hAnsi="Arial Unicode MS"/>
        <w:i/>
        <w:iCs/>
        <w:caps w:val="0"/>
        <w:smallCaps w:val="0"/>
        <w:strike w:val="0"/>
        <w:dstrike w:val="0"/>
        <w:outline w:val="0"/>
        <w:emboss w:val="0"/>
        <w:imprint w:val="0"/>
        <w:spacing w:val="0"/>
        <w:w w:val="100"/>
        <w:kern w:val="0"/>
        <w:position w:val="0"/>
        <w:highlight w:val="none"/>
        <w:vertAlign w:val="baseline"/>
      </w:rPr>
    </w:lvl>
    <w:lvl w:ilvl="6" w:tplc="7C4043A0">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4CEA15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58AC434">
      <w:start w:val="1"/>
      <w:numFmt w:val="lowerRoman"/>
      <w:lvlText w:val="%9."/>
      <w:lvlJc w:val="left"/>
      <w:pPr>
        <w:ind w:left="6480" w:hanging="28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084887"/>
    <w:multiLevelType w:val="hybridMultilevel"/>
    <w:tmpl w:val="50EC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D31F2"/>
    <w:multiLevelType w:val="hybridMultilevel"/>
    <w:tmpl w:val="3274D680"/>
    <w:lvl w:ilvl="0" w:tplc="769E10E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262C8"/>
    <w:multiLevelType w:val="hybridMultilevel"/>
    <w:tmpl w:val="B0AE9986"/>
    <w:lvl w:ilvl="0" w:tplc="146236EA">
      <w:start w:val="1"/>
      <w:numFmt w:val="decimal"/>
      <w:lvlText w:val="%1."/>
      <w:lvlJc w:val="left"/>
      <w:pPr>
        <w:ind w:left="720" w:hanging="360"/>
      </w:pPr>
    </w:lvl>
    <w:lvl w:ilvl="1" w:tplc="19FA063C">
      <w:start w:val="1"/>
      <w:numFmt w:val="lowerLetter"/>
      <w:lvlText w:val="%2."/>
      <w:lvlJc w:val="left"/>
      <w:pPr>
        <w:ind w:left="1440" w:hanging="360"/>
      </w:pPr>
    </w:lvl>
    <w:lvl w:ilvl="2" w:tplc="89761CA4">
      <w:start w:val="1"/>
      <w:numFmt w:val="lowerRoman"/>
      <w:lvlText w:val="%3."/>
      <w:lvlJc w:val="right"/>
      <w:pPr>
        <w:ind w:left="2160" w:hanging="180"/>
      </w:pPr>
    </w:lvl>
    <w:lvl w:ilvl="3" w:tplc="232C9036">
      <w:start w:val="1"/>
      <w:numFmt w:val="decimal"/>
      <w:lvlText w:val="%4."/>
      <w:lvlJc w:val="left"/>
      <w:pPr>
        <w:ind w:left="2880" w:hanging="360"/>
      </w:pPr>
    </w:lvl>
    <w:lvl w:ilvl="4" w:tplc="FEE648C2">
      <w:start w:val="1"/>
      <w:numFmt w:val="lowerLetter"/>
      <w:lvlText w:val="%5."/>
      <w:lvlJc w:val="left"/>
      <w:pPr>
        <w:ind w:left="3600" w:hanging="360"/>
      </w:pPr>
    </w:lvl>
    <w:lvl w:ilvl="5" w:tplc="CA26C334">
      <w:start w:val="1"/>
      <w:numFmt w:val="lowerRoman"/>
      <w:lvlText w:val="%6."/>
      <w:lvlJc w:val="right"/>
      <w:pPr>
        <w:ind w:left="4320" w:hanging="180"/>
      </w:pPr>
    </w:lvl>
    <w:lvl w:ilvl="6" w:tplc="2C38ACAC">
      <w:start w:val="1"/>
      <w:numFmt w:val="decimal"/>
      <w:lvlText w:val="%7."/>
      <w:lvlJc w:val="left"/>
      <w:pPr>
        <w:ind w:left="5040" w:hanging="360"/>
      </w:pPr>
    </w:lvl>
    <w:lvl w:ilvl="7" w:tplc="F7B8F0F8">
      <w:start w:val="1"/>
      <w:numFmt w:val="lowerLetter"/>
      <w:lvlText w:val="%8."/>
      <w:lvlJc w:val="left"/>
      <w:pPr>
        <w:ind w:left="5760" w:hanging="360"/>
      </w:pPr>
    </w:lvl>
    <w:lvl w:ilvl="8" w:tplc="F30A496C">
      <w:start w:val="1"/>
      <w:numFmt w:val="lowerRoman"/>
      <w:lvlText w:val="%9."/>
      <w:lvlJc w:val="right"/>
      <w:pPr>
        <w:ind w:left="6480" w:hanging="180"/>
      </w:pPr>
    </w:lvl>
  </w:abstractNum>
  <w:abstractNum w:abstractNumId="6" w15:restartNumberingAfterBreak="0">
    <w:nsid w:val="76597496"/>
    <w:multiLevelType w:val="hybridMultilevel"/>
    <w:tmpl w:val="BDA620C4"/>
    <w:lvl w:ilvl="0" w:tplc="6426877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A62B32"/>
    <w:multiLevelType w:val="multilevel"/>
    <w:tmpl w:val="D2B4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7"/>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D23"/>
    <w:rsid w:val="000011ED"/>
    <w:rsid w:val="00013D20"/>
    <w:rsid w:val="00033D09"/>
    <w:rsid w:val="00057CC7"/>
    <w:rsid w:val="00070265"/>
    <w:rsid w:val="00070A15"/>
    <w:rsid w:val="00073380"/>
    <w:rsid w:val="000803AC"/>
    <w:rsid w:val="000810B3"/>
    <w:rsid w:val="00094629"/>
    <w:rsid w:val="00095DA8"/>
    <w:rsid w:val="000B590B"/>
    <w:rsid w:val="000E0D23"/>
    <w:rsid w:val="000E7D09"/>
    <w:rsid w:val="000E7D97"/>
    <w:rsid w:val="00100F5B"/>
    <w:rsid w:val="00104E35"/>
    <w:rsid w:val="00117127"/>
    <w:rsid w:val="00122E22"/>
    <w:rsid w:val="0014298F"/>
    <w:rsid w:val="0016096A"/>
    <w:rsid w:val="00163369"/>
    <w:rsid w:val="00164D7C"/>
    <w:rsid w:val="0016532A"/>
    <w:rsid w:val="0016621A"/>
    <w:rsid w:val="00174154"/>
    <w:rsid w:val="00185736"/>
    <w:rsid w:val="001A0F3A"/>
    <w:rsid w:val="001C2845"/>
    <w:rsid w:val="001C3E79"/>
    <w:rsid w:val="001C7253"/>
    <w:rsid w:val="001E49B0"/>
    <w:rsid w:val="001E5308"/>
    <w:rsid w:val="001E7677"/>
    <w:rsid w:val="001F3D3D"/>
    <w:rsid w:val="001F7165"/>
    <w:rsid w:val="00202174"/>
    <w:rsid w:val="00203FCF"/>
    <w:rsid w:val="002045A0"/>
    <w:rsid w:val="0020617E"/>
    <w:rsid w:val="0021282F"/>
    <w:rsid w:val="00214083"/>
    <w:rsid w:val="00221CCB"/>
    <w:rsid w:val="00244089"/>
    <w:rsid w:val="002455D6"/>
    <w:rsid w:val="002751D9"/>
    <w:rsid w:val="002B118C"/>
    <w:rsid w:val="002C5809"/>
    <w:rsid w:val="002D5291"/>
    <w:rsid w:val="002E0117"/>
    <w:rsid w:val="002E4B8A"/>
    <w:rsid w:val="002F5570"/>
    <w:rsid w:val="00300811"/>
    <w:rsid w:val="00300F6F"/>
    <w:rsid w:val="00337E72"/>
    <w:rsid w:val="00341B16"/>
    <w:rsid w:val="00370C67"/>
    <w:rsid w:val="00377730"/>
    <w:rsid w:val="00393A31"/>
    <w:rsid w:val="00397604"/>
    <w:rsid w:val="003A15DD"/>
    <w:rsid w:val="003B4876"/>
    <w:rsid w:val="003B596B"/>
    <w:rsid w:val="003B73C5"/>
    <w:rsid w:val="003D4891"/>
    <w:rsid w:val="003D6618"/>
    <w:rsid w:val="003F0CA8"/>
    <w:rsid w:val="003F4FF3"/>
    <w:rsid w:val="003F7F9C"/>
    <w:rsid w:val="00404678"/>
    <w:rsid w:val="00404CF5"/>
    <w:rsid w:val="004250B5"/>
    <w:rsid w:val="00432DA0"/>
    <w:rsid w:val="0043367F"/>
    <w:rsid w:val="004459AB"/>
    <w:rsid w:val="00481E49"/>
    <w:rsid w:val="004A5DE1"/>
    <w:rsid w:val="004C232C"/>
    <w:rsid w:val="004C324D"/>
    <w:rsid w:val="004E69C2"/>
    <w:rsid w:val="005002A6"/>
    <w:rsid w:val="00502658"/>
    <w:rsid w:val="00504703"/>
    <w:rsid w:val="00516808"/>
    <w:rsid w:val="00525D45"/>
    <w:rsid w:val="00534406"/>
    <w:rsid w:val="00554DFA"/>
    <w:rsid w:val="00555B30"/>
    <w:rsid w:val="00557E98"/>
    <w:rsid w:val="005759D0"/>
    <w:rsid w:val="00587864"/>
    <w:rsid w:val="00592BB1"/>
    <w:rsid w:val="005A4D41"/>
    <w:rsid w:val="005A57B4"/>
    <w:rsid w:val="005B0A36"/>
    <w:rsid w:val="005E7405"/>
    <w:rsid w:val="005F384B"/>
    <w:rsid w:val="00611F03"/>
    <w:rsid w:val="006222F4"/>
    <w:rsid w:val="00634A08"/>
    <w:rsid w:val="006451B2"/>
    <w:rsid w:val="006514B2"/>
    <w:rsid w:val="0065369B"/>
    <w:rsid w:val="00666600"/>
    <w:rsid w:val="006944BB"/>
    <w:rsid w:val="00695EB6"/>
    <w:rsid w:val="006A25A5"/>
    <w:rsid w:val="006A2D53"/>
    <w:rsid w:val="006C56B6"/>
    <w:rsid w:val="006C7C44"/>
    <w:rsid w:val="006D4F02"/>
    <w:rsid w:val="006D67AF"/>
    <w:rsid w:val="006E11B3"/>
    <w:rsid w:val="006E2688"/>
    <w:rsid w:val="006E51C4"/>
    <w:rsid w:val="00713859"/>
    <w:rsid w:val="00714043"/>
    <w:rsid w:val="00724776"/>
    <w:rsid w:val="007326AC"/>
    <w:rsid w:val="00741AB7"/>
    <w:rsid w:val="0074500C"/>
    <w:rsid w:val="00770255"/>
    <w:rsid w:val="0079678F"/>
    <w:rsid w:val="007A19F8"/>
    <w:rsid w:val="007B5F2A"/>
    <w:rsid w:val="007D6326"/>
    <w:rsid w:val="007E5E48"/>
    <w:rsid w:val="008121A6"/>
    <w:rsid w:val="00840142"/>
    <w:rsid w:val="008529F6"/>
    <w:rsid w:val="00876920"/>
    <w:rsid w:val="008836DE"/>
    <w:rsid w:val="008A6B32"/>
    <w:rsid w:val="008B2069"/>
    <w:rsid w:val="008B7981"/>
    <w:rsid w:val="008D798F"/>
    <w:rsid w:val="008E5C52"/>
    <w:rsid w:val="00902552"/>
    <w:rsid w:val="00916531"/>
    <w:rsid w:val="00924EB4"/>
    <w:rsid w:val="00941DE5"/>
    <w:rsid w:val="009477DC"/>
    <w:rsid w:val="009703DB"/>
    <w:rsid w:val="00983FB0"/>
    <w:rsid w:val="0099564F"/>
    <w:rsid w:val="00997118"/>
    <w:rsid w:val="009B5BFF"/>
    <w:rsid w:val="009B5EB7"/>
    <w:rsid w:val="009C79C6"/>
    <w:rsid w:val="009D07BF"/>
    <w:rsid w:val="009E55C8"/>
    <w:rsid w:val="009F3C93"/>
    <w:rsid w:val="009F7DE4"/>
    <w:rsid w:val="00A06C55"/>
    <w:rsid w:val="00A10D3C"/>
    <w:rsid w:val="00A23EE6"/>
    <w:rsid w:val="00A24D25"/>
    <w:rsid w:val="00A32C36"/>
    <w:rsid w:val="00A3431F"/>
    <w:rsid w:val="00A76A09"/>
    <w:rsid w:val="00A83690"/>
    <w:rsid w:val="00AB7CA0"/>
    <w:rsid w:val="00AC6EF2"/>
    <w:rsid w:val="00AE1B94"/>
    <w:rsid w:val="00AE3DA2"/>
    <w:rsid w:val="00AF4BE1"/>
    <w:rsid w:val="00B1111F"/>
    <w:rsid w:val="00B37016"/>
    <w:rsid w:val="00B407AD"/>
    <w:rsid w:val="00B534F3"/>
    <w:rsid w:val="00B53EF8"/>
    <w:rsid w:val="00B63229"/>
    <w:rsid w:val="00B63D45"/>
    <w:rsid w:val="00B81407"/>
    <w:rsid w:val="00B81D7B"/>
    <w:rsid w:val="00B8793F"/>
    <w:rsid w:val="00B90C9A"/>
    <w:rsid w:val="00B91A8C"/>
    <w:rsid w:val="00BA634B"/>
    <w:rsid w:val="00BD3043"/>
    <w:rsid w:val="00BE0A43"/>
    <w:rsid w:val="00C01580"/>
    <w:rsid w:val="00C11D26"/>
    <w:rsid w:val="00C268B4"/>
    <w:rsid w:val="00C35F02"/>
    <w:rsid w:val="00C37ED0"/>
    <w:rsid w:val="00C507F9"/>
    <w:rsid w:val="00C5580D"/>
    <w:rsid w:val="00C73B7E"/>
    <w:rsid w:val="00C97074"/>
    <w:rsid w:val="00CA28C6"/>
    <w:rsid w:val="00CA4793"/>
    <w:rsid w:val="00CC3504"/>
    <w:rsid w:val="00CD116F"/>
    <w:rsid w:val="00CD7C9E"/>
    <w:rsid w:val="00CF624C"/>
    <w:rsid w:val="00D1694B"/>
    <w:rsid w:val="00D240FF"/>
    <w:rsid w:val="00D24CA9"/>
    <w:rsid w:val="00D36494"/>
    <w:rsid w:val="00D423BC"/>
    <w:rsid w:val="00D82D56"/>
    <w:rsid w:val="00D90D72"/>
    <w:rsid w:val="00D9328A"/>
    <w:rsid w:val="00DB29B4"/>
    <w:rsid w:val="00DC7A15"/>
    <w:rsid w:val="00DD3FB8"/>
    <w:rsid w:val="00DE1715"/>
    <w:rsid w:val="00DE18B2"/>
    <w:rsid w:val="00E10EE4"/>
    <w:rsid w:val="00E13A4D"/>
    <w:rsid w:val="00E15B62"/>
    <w:rsid w:val="00E15DA2"/>
    <w:rsid w:val="00E17A8A"/>
    <w:rsid w:val="00E240FA"/>
    <w:rsid w:val="00E35FCF"/>
    <w:rsid w:val="00E451E5"/>
    <w:rsid w:val="00E46E32"/>
    <w:rsid w:val="00E61220"/>
    <w:rsid w:val="00E70148"/>
    <w:rsid w:val="00E71726"/>
    <w:rsid w:val="00E75F16"/>
    <w:rsid w:val="00E90DD1"/>
    <w:rsid w:val="00E94370"/>
    <w:rsid w:val="00EA48B9"/>
    <w:rsid w:val="00ED2735"/>
    <w:rsid w:val="00EE147C"/>
    <w:rsid w:val="00EE45CE"/>
    <w:rsid w:val="00F1069E"/>
    <w:rsid w:val="00F12AAD"/>
    <w:rsid w:val="00F1444C"/>
    <w:rsid w:val="00F25135"/>
    <w:rsid w:val="00F26C07"/>
    <w:rsid w:val="00F3704D"/>
    <w:rsid w:val="00F378EC"/>
    <w:rsid w:val="00F67382"/>
    <w:rsid w:val="00F70A1E"/>
    <w:rsid w:val="00F90C61"/>
    <w:rsid w:val="00FB0F5E"/>
    <w:rsid w:val="00FB4126"/>
    <w:rsid w:val="00FC20EC"/>
    <w:rsid w:val="00FD023D"/>
    <w:rsid w:val="00FD21AA"/>
    <w:rsid w:val="00FD26E6"/>
    <w:rsid w:val="00FE46C1"/>
    <w:rsid w:val="00FE46C6"/>
    <w:rsid w:val="00FF1AC2"/>
    <w:rsid w:val="00FF2A68"/>
    <w:rsid w:val="00FF62B7"/>
    <w:rsid w:val="023FAF49"/>
    <w:rsid w:val="2B0B946D"/>
    <w:rsid w:val="347AD1EC"/>
    <w:rsid w:val="6C21E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6C7B"/>
  <w15:docId w15:val="{B4306487-9ACE-F64C-8B1C-3AAB0E00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uiPriority w:val="9"/>
    <w:qFormat/>
    <w:rsid w:val="00504703"/>
    <w:pPr>
      <w:keepNext/>
      <w:keepLines/>
      <w:spacing w:before="120" w:after="120"/>
      <w:jc w:val="both"/>
      <w:outlineLvl w:val="0"/>
    </w:pPr>
    <w:rPr>
      <w:rFonts w:asciiTheme="majorHAnsi" w:eastAsiaTheme="majorEastAsia" w:hAnsiTheme="majorHAnsi" w:cstheme="majorBidi"/>
      <w:szCs w:val="32"/>
      <w:lang w:val="fr-FR"/>
    </w:rPr>
  </w:style>
  <w:style w:type="paragraph" w:styleId="Heading2">
    <w:name w:val="heading 2"/>
    <w:next w:val="Body"/>
    <w:uiPriority w:val="9"/>
    <w:unhideWhenUsed/>
    <w:qFormat/>
    <w:pPr>
      <w:jc w:val="both"/>
      <w:outlineLvl w:val="1"/>
    </w:pPr>
    <w:rPr>
      <w:rFonts w:eastAsia="Times New Roman"/>
      <w:b/>
      <w:bCs/>
      <w:i/>
      <w:iCs/>
      <w:color w:val="000000"/>
      <w:u w:color="000000"/>
      <w14:textOutline w14:w="0" w14:cap="flat" w14:cmpd="sng" w14:algn="ctr">
        <w14:noFill/>
        <w14:prstDash w14:val="solid"/>
        <w14:bevel/>
      </w14:textOutline>
    </w:rPr>
  </w:style>
  <w:style w:type="paragraph" w:styleId="Heading3">
    <w:name w:val="heading 3"/>
    <w:basedOn w:val="Normal"/>
    <w:next w:val="Normal"/>
    <w:link w:val="Heading3Char"/>
    <w:autoRedefine/>
    <w:uiPriority w:val="9"/>
    <w:unhideWhenUsed/>
    <w:qFormat/>
    <w:rsid w:val="00AF4BE1"/>
    <w:pPr>
      <w:keepNext/>
      <w:keepLines/>
      <w:outlineLvl w:val="2"/>
    </w:pPr>
    <w:rPr>
      <w:rFonts w:asciiTheme="majorHAnsi" w:eastAsiaTheme="majorEastAsia" w:hAnsiTheme="majorHAnsi" w:cstheme="majorBidi"/>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jc w:val="both"/>
    </w:pPr>
    <w:rPr>
      <w:rFonts w:cs="Arial Unicode MS"/>
      <w:i/>
      <w:iCs/>
      <w:color w:val="000000"/>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itle">
    <w:name w:val="Title"/>
    <w:next w:val="Body"/>
    <w:uiPriority w:val="10"/>
    <w:qFormat/>
    <w:pPr>
      <w:keepNext/>
      <w:keepLines/>
      <w:spacing w:before="480" w:after="120"/>
      <w:jc w:val="both"/>
    </w:pPr>
    <w:rPr>
      <w:rFonts w:cs="Arial Unicode MS"/>
      <w:i/>
      <w:iCs/>
      <w:color w:val="000000"/>
      <w:sz w:val="72"/>
      <w:szCs w:val="72"/>
      <w:u w:color="000000"/>
      <w14:textOutline w14:w="0" w14:cap="flat" w14:cmpd="sng" w14:algn="ctr">
        <w14:noFill/>
        <w14:prstDash w14:val="solid"/>
        <w14:bevel/>
      </w14:textOutline>
    </w:rPr>
  </w:style>
  <w:style w:type="character" w:styleId="PageNumber">
    <w:name w:val="page number"/>
    <w:rPr>
      <w:lang w:val="en-US"/>
    </w:rPr>
  </w:style>
  <w:style w:type="paragraph" w:styleId="ListParagraph">
    <w:name w:val="List Paragraph"/>
    <w:pPr>
      <w:ind w:left="720"/>
      <w:jc w:val="both"/>
    </w:pPr>
    <w:rPr>
      <w:rFonts w:cs="Arial Unicode MS"/>
      <w:i/>
      <w:iCs/>
      <w:color w:val="000000"/>
      <w:u w:color="000000"/>
    </w:rPr>
  </w:style>
  <w:style w:type="numbering" w:customStyle="1" w:styleId="ImportedStyle1">
    <w:name w:val="Imported Style 1"/>
    <w:pPr>
      <w:numPr>
        <w:numId w:val="2"/>
      </w:numPr>
    </w:pPr>
  </w:style>
  <w:style w:type="paragraph" w:styleId="BalloonText">
    <w:name w:val="Balloon Text"/>
    <w:basedOn w:val="Normal"/>
    <w:link w:val="BalloonTextChar"/>
    <w:uiPriority w:val="99"/>
    <w:semiHidden/>
    <w:unhideWhenUsed/>
    <w:rsid w:val="00244089"/>
    <w:rPr>
      <w:sz w:val="18"/>
      <w:szCs w:val="18"/>
    </w:rPr>
  </w:style>
  <w:style w:type="character" w:customStyle="1" w:styleId="BalloonTextChar">
    <w:name w:val="Balloon Text Char"/>
    <w:basedOn w:val="DefaultParagraphFont"/>
    <w:link w:val="BalloonText"/>
    <w:uiPriority w:val="99"/>
    <w:semiHidden/>
    <w:rsid w:val="00244089"/>
    <w:rPr>
      <w:sz w:val="18"/>
      <w:szCs w:val="18"/>
    </w:rPr>
  </w:style>
  <w:style w:type="paragraph" w:styleId="Header">
    <w:name w:val="header"/>
    <w:basedOn w:val="Normal"/>
    <w:link w:val="HeaderChar"/>
    <w:uiPriority w:val="99"/>
    <w:unhideWhenUsed/>
    <w:rsid w:val="008529F6"/>
    <w:pPr>
      <w:tabs>
        <w:tab w:val="center" w:pos="4680"/>
        <w:tab w:val="right" w:pos="9360"/>
      </w:tabs>
    </w:pPr>
  </w:style>
  <w:style w:type="character" w:customStyle="1" w:styleId="HeaderChar">
    <w:name w:val="Header Char"/>
    <w:basedOn w:val="DefaultParagraphFont"/>
    <w:link w:val="Header"/>
    <w:uiPriority w:val="99"/>
    <w:rsid w:val="008529F6"/>
    <w:rPr>
      <w:sz w:val="24"/>
      <w:szCs w:val="24"/>
    </w:rPr>
  </w:style>
  <w:style w:type="paragraph" w:styleId="Footer">
    <w:name w:val="footer"/>
    <w:basedOn w:val="Normal"/>
    <w:link w:val="FooterChar"/>
    <w:uiPriority w:val="99"/>
    <w:unhideWhenUsed/>
    <w:rsid w:val="008529F6"/>
    <w:pPr>
      <w:tabs>
        <w:tab w:val="center" w:pos="4680"/>
        <w:tab w:val="right" w:pos="9360"/>
      </w:tabs>
    </w:pPr>
  </w:style>
  <w:style w:type="character" w:customStyle="1" w:styleId="FooterChar">
    <w:name w:val="Footer Char"/>
    <w:basedOn w:val="DefaultParagraphFont"/>
    <w:link w:val="Footer"/>
    <w:uiPriority w:val="99"/>
    <w:rsid w:val="008529F6"/>
    <w:rPr>
      <w:sz w:val="24"/>
      <w:szCs w:val="24"/>
    </w:rPr>
  </w:style>
  <w:style w:type="character" w:styleId="CommentReference">
    <w:name w:val="annotation reference"/>
    <w:basedOn w:val="DefaultParagraphFont"/>
    <w:uiPriority w:val="99"/>
    <w:semiHidden/>
    <w:unhideWhenUsed/>
    <w:rsid w:val="000803AC"/>
    <w:rPr>
      <w:sz w:val="16"/>
      <w:szCs w:val="16"/>
    </w:rPr>
  </w:style>
  <w:style w:type="paragraph" w:styleId="CommentText">
    <w:name w:val="annotation text"/>
    <w:basedOn w:val="Normal"/>
    <w:link w:val="CommentTextChar"/>
    <w:uiPriority w:val="99"/>
    <w:semiHidden/>
    <w:unhideWhenUsed/>
    <w:rsid w:val="000803AC"/>
    <w:rPr>
      <w:sz w:val="20"/>
      <w:szCs w:val="20"/>
    </w:rPr>
  </w:style>
  <w:style w:type="character" w:customStyle="1" w:styleId="CommentTextChar">
    <w:name w:val="Comment Text Char"/>
    <w:basedOn w:val="DefaultParagraphFont"/>
    <w:link w:val="CommentText"/>
    <w:uiPriority w:val="99"/>
    <w:semiHidden/>
    <w:rsid w:val="000803AC"/>
  </w:style>
  <w:style w:type="paragraph" w:styleId="CommentSubject">
    <w:name w:val="annotation subject"/>
    <w:basedOn w:val="CommentText"/>
    <w:next w:val="CommentText"/>
    <w:link w:val="CommentSubjectChar"/>
    <w:uiPriority w:val="99"/>
    <w:semiHidden/>
    <w:unhideWhenUsed/>
    <w:rsid w:val="000803AC"/>
    <w:rPr>
      <w:b/>
      <w:bCs/>
    </w:rPr>
  </w:style>
  <w:style w:type="character" w:customStyle="1" w:styleId="CommentSubjectChar">
    <w:name w:val="Comment Subject Char"/>
    <w:basedOn w:val="CommentTextChar"/>
    <w:link w:val="CommentSubject"/>
    <w:uiPriority w:val="99"/>
    <w:semiHidden/>
    <w:rsid w:val="000803AC"/>
    <w:rPr>
      <w:b/>
      <w:bCs/>
    </w:rPr>
  </w:style>
  <w:style w:type="table" w:styleId="TableGrid">
    <w:name w:val="Table Grid"/>
    <w:basedOn w:val="TableNormal"/>
    <w:uiPriority w:val="39"/>
    <w:rsid w:val="0053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28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43367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HTMLPreformatted">
    <w:name w:val="HTML Preformatted"/>
    <w:basedOn w:val="Normal"/>
    <w:link w:val="HTMLPreformattedChar"/>
    <w:uiPriority w:val="99"/>
    <w:unhideWhenUsed/>
    <w:rsid w:val="002E4B8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rsid w:val="002E4B8A"/>
    <w:rPr>
      <w:rFonts w:ascii="Courier New" w:eastAsia="Times New Roman" w:hAnsi="Courier New" w:cs="Courier New"/>
      <w:bdr w:val="none" w:sz="0" w:space="0" w:color="auto"/>
    </w:rPr>
  </w:style>
  <w:style w:type="character" w:customStyle="1" w:styleId="Heading3Char">
    <w:name w:val="Heading 3 Char"/>
    <w:basedOn w:val="DefaultParagraphFont"/>
    <w:link w:val="Heading3"/>
    <w:uiPriority w:val="9"/>
    <w:rsid w:val="00AF4BE1"/>
    <w:rPr>
      <w:rFonts w:asciiTheme="majorHAnsi" w:eastAsiaTheme="majorEastAsia" w:hAnsiTheme="majorHAnsi" w:cstheme="majorBidi"/>
      <w:b/>
      <w:sz w:val="18"/>
      <w:szCs w:val="24"/>
    </w:rPr>
  </w:style>
  <w:style w:type="character" w:customStyle="1" w:styleId="Heading1Char">
    <w:name w:val="Heading 1 Char"/>
    <w:basedOn w:val="DefaultParagraphFont"/>
    <w:link w:val="Heading1"/>
    <w:uiPriority w:val="9"/>
    <w:rsid w:val="00504703"/>
    <w:rPr>
      <w:rFonts w:asciiTheme="majorHAnsi" w:eastAsiaTheme="majorEastAsia" w:hAnsiTheme="majorHAnsi" w:cstheme="majorBidi"/>
      <w:sz w:val="24"/>
      <w:szCs w:val="32"/>
      <w:lang w:val="fr-FR"/>
    </w:rPr>
  </w:style>
  <w:style w:type="paragraph" w:customStyle="1" w:styleId="alt">
    <w:name w:val="alt"/>
    <w:basedOn w:val="Normal"/>
    <w:rsid w:val="007138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comment">
    <w:name w:val="comment"/>
    <w:basedOn w:val="DefaultParagraphFont"/>
    <w:rsid w:val="00713859"/>
  </w:style>
  <w:style w:type="character" w:customStyle="1" w:styleId="keyword">
    <w:name w:val="keyword"/>
    <w:basedOn w:val="DefaultParagraphFont"/>
    <w:rsid w:val="00713859"/>
  </w:style>
  <w:style w:type="character" w:customStyle="1" w:styleId="string">
    <w:name w:val="string"/>
    <w:basedOn w:val="DefaultParagraphFont"/>
    <w:rsid w:val="00713859"/>
  </w:style>
  <w:style w:type="character" w:customStyle="1" w:styleId="number">
    <w:name w:val="number"/>
    <w:basedOn w:val="DefaultParagraphFont"/>
    <w:rsid w:val="00713859"/>
  </w:style>
  <w:style w:type="character" w:styleId="UnresolvedMention">
    <w:name w:val="Unresolved Mention"/>
    <w:basedOn w:val="DefaultParagraphFont"/>
    <w:uiPriority w:val="99"/>
    <w:semiHidden/>
    <w:unhideWhenUsed/>
    <w:rsid w:val="00DC7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253985">
      <w:bodyDiv w:val="1"/>
      <w:marLeft w:val="0"/>
      <w:marRight w:val="0"/>
      <w:marTop w:val="0"/>
      <w:marBottom w:val="0"/>
      <w:divBdr>
        <w:top w:val="none" w:sz="0" w:space="0" w:color="auto"/>
        <w:left w:val="none" w:sz="0" w:space="0" w:color="auto"/>
        <w:bottom w:val="none" w:sz="0" w:space="0" w:color="auto"/>
        <w:right w:val="none" w:sz="0" w:space="0" w:color="auto"/>
      </w:divBdr>
    </w:div>
    <w:div w:id="1664700400">
      <w:bodyDiv w:val="1"/>
      <w:marLeft w:val="0"/>
      <w:marRight w:val="0"/>
      <w:marTop w:val="0"/>
      <w:marBottom w:val="0"/>
      <w:divBdr>
        <w:top w:val="none" w:sz="0" w:space="0" w:color="auto"/>
        <w:left w:val="none" w:sz="0" w:space="0" w:color="auto"/>
        <w:bottom w:val="none" w:sz="0" w:space="0" w:color="auto"/>
        <w:right w:val="none" w:sz="0" w:space="0" w:color="auto"/>
      </w:divBdr>
    </w:div>
    <w:div w:id="1958757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www.sciencedirect.com/science/article/pii/S00928674010033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genesdev.cshlp.org/content/15/11/1383.shor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sciencedirect.com/science/article/pii/S000292970762472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Rele, Chinmay</cp:lastModifiedBy>
  <cp:revision>4</cp:revision>
  <cp:lastPrinted>2020-03-02T16:55:00Z</cp:lastPrinted>
  <dcterms:created xsi:type="dcterms:W3CDTF">2020-06-24T13:40:00Z</dcterms:created>
  <dcterms:modified xsi:type="dcterms:W3CDTF">2020-06-30T18:07:00Z</dcterms:modified>
</cp:coreProperties>
</file>