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495A5D" w14:textId="77777777" w:rsidR="00C9136F" w:rsidRDefault="00C9136F" w:rsidP="00C9136F">
      <w:pPr>
        <w:spacing w:after="0" w:line="240" w:lineRule="auto"/>
        <w:jc w:val="both"/>
        <w:rPr>
          <w:sz w:val="24"/>
          <w:szCs w:val="24"/>
        </w:rPr>
      </w:pPr>
      <w:r w:rsidRPr="0057303B">
        <w:rPr>
          <w:sz w:val="24"/>
          <w:szCs w:val="24"/>
        </w:rPr>
        <w:t xml:space="preserve">Vision 2041 envisions a High-income Bangladesh with no poverty and with 584 conditions that allows individuals to reach and maintain the highest attainable level of health. It incorporates appropriate strategies and activities for focused improvements in health service delivery for increasing access to, and quality of care and improving equity along with financial protection in order to meaningfully realize the objectives of universal health coverage (UHC) by 2030. At present, Bangladesh does not have adequate health insurance scheme that has made it very difficult for the poor and lower middle class to finance any health shock. Both issues will be given top priority in the 8FYP. </w:t>
      </w:r>
    </w:p>
    <w:p w14:paraId="2F1C4FA5" w14:textId="77777777" w:rsidR="00C9136F" w:rsidRPr="0057303B" w:rsidRDefault="00C9136F" w:rsidP="00C9136F">
      <w:pPr>
        <w:spacing w:after="0" w:line="240" w:lineRule="auto"/>
        <w:jc w:val="both"/>
        <w:rPr>
          <w:sz w:val="24"/>
          <w:szCs w:val="24"/>
        </w:rPr>
      </w:pPr>
    </w:p>
    <w:p w14:paraId="6C2826B5" w14:textId="77777777" w:rsidR="00C9136F" w:rsidRPr="0057303B" w:rsidRDefault="00C9136F" w:rsidP="00C9136F">
      <w:pPr>
        <w:spacing w:after="0" w:line="240" w:lineRule="auto"/>
        <w:jc w:val="both"/>
        <w:rPr>
          <w:sz w:val="24"/>
          <w:szCs w:val="24"/>
        </w:rPr>
      </w:pPr>
      <w:r w:rsidRPr="0057303B">
        <w:rPr>
          <w:sz w:val="24"/>
          <w:szCs w:val="24"/>
        </w:rPr>
        <w:t xml:space="preserve">Goal: The goal is to ensure that all citizens enjoy health and well-being by expanding access to quality and equitable health care in a healthy environment. </w:t>
      </w:r>
    </w:p>
    <w:p w14:paraId="5B61EFAE" w14:textId="77777777" w:rsidR="00C9136F" w:rsidRPr="0057303B" w:rsidRDefault="00C9136F" w:rsidP="00C9136F">
      <w:pPr>
        <w:spacing w:after="0" w:line="240" w:lineRule="auto"/>
        <w:jc w:val="both"/>
        <w:rPr>
          <w:sz w:val="24"/>
          <w:szCs w:val="24"/>
        </w:rPr>
      </w:pPr>
      <w:r w:rsidRPr="0057303B">
        <w:rPr>
          <w:sz w:val="24"/>
          <w:szCs w:val="24"/>
        </w:rPr>
        <w:t>Objective: The main objective is to build on existing achievement to improve equity, quality and efficiency with a view to gradually moving towards UHC and achieving the HPN related SDGs.</w:t>
      </w:r>
    </w:p>
    <w:p w14:paraId="5734BEDA" w14:textId="77777777" w:rsidR="00C9136F" w:rsidRPr="0057303B" w:rsidRDefault="00C9136F" w:rsidP="00C9136F">
      <w:pPr>
        <w:spacing w:after="0" w:line="240" w:lineRule="auto"/>
        <w:jc w:val="both"/>
        <w:rPr>
          <w:sz w:val="24"/>
          <w:szCs w:val="24"/>
        </w:rPr>
      </w:pPr>
      <w:r w:rsidRPr="0057303B">
        <w:rPr>
          <w:sz w:val="24"/>
          <w:szCs w:val="24"/>
        </w:rPr>
        <w:t xml:space="preserve">Targets: Past and ongoing </w:t>
      </w:r>
      <w:proofErr w:type="spellStart"/>
      <w:r w:rsidRPr="0057303B">
        <w:rPr>
          <w:sz w:val="24"/>
          <w:szCs w:val="24"/>
        </w:rPr>
        <w:t>programmes</w:t>
      </w:r>
      <w:proofErr w:type="spellEnd"/>
      <w:r w:rsidRPr="0057303B">
        <w:rPr>
          <w:sz w:val="24"/>
          <w:szCs w:val="24"/>
        </w:rPr>
        <w:t xml:space="preserve"> have promoted good health, nutrition while managing population growth. In order to carry on with the progress achieved and address areas of deficiency, some of the specific targets for the HPN sector under the 8FYP are shown in</w:t>
      </w:r>
    </w:p>
    <w:p w14:paraId="1D8A8677" w14:textId="77777777" w:rsidR="00C9136F" w:rsidRDefault="00C9136F" w:rsidP="00C9136F">
      <w:pPr>
        <w:spacing w:after="0" w:line="240" w:lineRule="auto"/>
        <w:jc w:val="both"/>
        <w:rPr>
          <w:sz w:val="24"/>
          <w:szCs w:val="24"/>
        </w:rPr>
      </w:pPr>
    </w:p>
    <w:p w14:paraId="665551D4" w14:textId="77777777" w:rsidR="00C9136F" w:rsidRPr="0057303B" w:rsidRDefault="00C9136F" w:rsidP="00C9136F">
      <w:pPr>
        <w:spacing w:after="0" w:line="240" w:lineRule="auto"/>
        <w:jc w:val="both"/>
        <w:rPr>
          <w:sz w:val="24"/>
          <w:szCs w:val="24"/>
        </w:rPr>
      </w:pPr>
      <w:r w:rsidRPr="0057303B">
        <w:rPr>
          <w:sz w:val="24"/>
          <w:szCs w:val="24"/>
        </w:rPr>
        <w:t>Table 10.2: Health, Population and Nutrition Targets for the 8FYP Sl. Indicator Baseline and Source 8FYP Target (2025)</w:t>
      </w:r>
    </w:p>
    <w:p w14:paraId="7231209B" w14:textId="7D140A99" w:rsidR="00C9136F" w:rsidRPr="0057303B" w:rsidRDefault="00C9136F" w:rsidP="00C9136F">
      <w:pPr>
        <w:spacing w:after="0" w:line="240" w:lineRule="auto"/>
        <w:jc w:val="both"/>
        <w:rPr>
          <w:sz w:val="24"/>
          <w:szCs w:val="24"/>
        </w:rPr>
      </w:pPr>
      <w:bookmarkStart w:id="0" w:name="_GoBack"/>
      <w:bookmarkEnd w:id="0"/>
      <w:r w:rsidRPr="0057303B">
        <w:rPr>
          <w:sz w:val="24"/>
          <w:szCs w:val="24"/>
        </w:rPr>
        <w:t xml:space="preserve"> 1</w:t>
      </w:r>
      <w:r w:rsidR="00E73065">
        <w:rPr>
          <w:sz w:val="24"/>
          <w:szCs w:val="24"/>
        </w:rPr>
        <w:t>.</w:t>
      </w:r>
      <w:r w:rsidRPr="0057303B">
        <w:rPr>
          <w:sz w:val="24"/>
          <w:szCs w:val="24"/>
        </w:rPr>
        <w:t xml:space="preserve"> Life expectancy at birth 72.6 (SVRS,2019) 74</w:t>
      </w:r>
    </w:p>
    <w:p w14:paraId="61BCDE68" w14:textId="37295AA6" w:rsidR="00C9136F" w:rsidRPr="0057303B" w:rsidRDefault="00C9136F" w:rsidP="00C9136F">
      <w:pPr>
        <w:spacing w:after="0" w:line="240" w:lineRule="auto"/>
        <w:jc w:val="both"/>
        <w:rPr>
          <w:sz w:val="24"/>
          <w:szCs w:val="24"/>
        </w:rPr>
      </w:pPr>
      <w:r w:rsidRPr="0057303B">
        <w:rPr>
          <w:sz w:val="24"/>
          <w:szCs w:val="24"/>
        </w:rPr>
        <w:t xml:space="preserve"> 2</w:t>
      </w:r>
      <w:r w:rsidR="00E73065">
        <w:rPr>
          <w:sz w:val="24"/>
          <w:szCs w:val="24"/>
        </w:rPr>
        <w:t>.</w:t>
      </w:r>
      <w:r w:rsidRPr="0057303B">
        <w:rPr>
          <w:sz w:val="24"/>
          <w:szCs w:val="24"/>
        </w:rPr>
        <w:t xml:space="preserve"> Proportion of stunting among under-five children (%) 28% (MICS, 2019) 20% </w:t>
      </w:r>
    </w:p>
    <w:p w14:paraId="25AD1E9D" w14:textId="0B77DDB2" w:rsidR="00C9136F" w:rsidRPr="0057303B" w:rsidRDefault="00E73065" w:rsidP="00C9136F">
      <w:pPr>
        <w:spacing w:after="0" w:line="240" w:lineRule="auto"/>
        <w:jc w:val="both"/>
        <w:rPr>
          <w:sz w:val="24"/>
          <w:szCs w:val="24"/>
        </w:rPr>
      </w:pPr>
      <w:r>
        <w:rPr>
          <w:sz w:val="24"/>
          <w:szCs w:val="24"/>
        </w:rPr>
        <w:t xml:space="preserve"> </w:t>
      </w:r>
      <w:r w:rsidR="00C9136F" w:rsidRPr="0057303B">
        <w:rPr>
          <w:sz w:val="24"/>
          <w:szCs w:val="24"/>
        </w:rPr>
        <w:t>3</w:t>
      </w:r>
      <w:r>
        <w:rPr>
          <w:sz w:val="24"/>
          <w:szCs w:val="24"/>
        </w:rPr>
        <w:t>.</w:t>
      </w:r>
      <w:r w:rsidR="00C9136F" w:rsidRPr="0057303B">
        <w:rPr>
          <w:sz w:val="24"/>
          <w:szCs w:val="24"/>
        </w:rPr>
        <w:t xml:space="preserve"> Prevalence of other aspects of malnutrition among children under five a. proportion of wasting b. proportion of underweight c. proportion of overweight a) Wasting: 9.8% b) Underweight 22.6% c) Over weight: 2.4% (MICS,2019) a) 7% b)15% c) 1%</w:t>
      </w:r>
    </w:p>
    <w:p w14:paraId="0A21C1ED" w14:textId="4C1949B5" w:rsidR="00E73065" w:rsidRDefault="00C9136F" w:rsidP="00C9136F">
      <w:pPr>
        <w:spacing w:after="0" w:line="240" w:lineRule="auto"/>
        <w:jc w:val="both"/>
        <w:rPr>
          <w:sz w:val="24"/>
          <w:szCs w:val="24"/>
        </w:rPr>
      </w:pPr>
      <w:r w:rsidRPr="0057303B">
        <w:rPr>
          <w:sz w:val="24"/>
          <w:szCs w:val="24"/>
        </w:rPr>
        <w:t xml:space="preserve"> 4</w:t>
      </w:r>
      <w:r w:rsidR="00E73065">
        <w:rPr>
          <w:sz w:val="24"/>
          <w:szCs w:val="24"/>
        </w:rPr>
        <w:t>.</w:t>
      </w:r>
      <w:r w:rsidRPr="0057303B">
        <w:rPr>
          <w:sz w:val="24"/>
          <w:szCs w:val="24"/>
        </w:rPr>
        <w:t xml:space="preserve"> Maternal mortality ratio (per 100,000 live births) 165 (SVRS, 2019) 100</w:t>
      </w:r>
    </w:p>
    <w:p w14:paraId="21538C98" w14:textId="012D8FD5" w:rsidR="00C9136F" w:rsidRPr="0057303B" w:rsidRDefault="00C9136F" w:rsidP="00C9136F">
      <w:pPr>
        <w:spacing w:after="0" w:line="240" w:lineRule="auto"/>
        <w:jc w:val="both"/>
        <w:rPr>
          <w:sz w:val="24"/>
          <w:szCs w:val="24"/>
        </w:rPr>
      </w:pPr>
      <w:r w:rsidRPr="0057303B">
        <w:rPr>
          <w:sz w:val="24"/>
          <w:szCs w:val="24"/>
        </w:rPr>
        <w:t xml:space="preserve"> 5</w:t>
      </w:r>
      <w:r w:rsidR="00E73065">
        <w:rPr>
          <w:sz w:val="24"/>
          <w:szCs w:val="24"/>
        </w:rPr>
        <w:t>.</w:t>
      </w:r>
      <w:r w:rsidRPr="0057303B">
        <w:rPr>
          <w:sz w:val="24"/>
          <w:szCs w:val="24"/>
        </w:rPr>
        <w:t xml:space="preserve"> Proportion of births attended by skilled health personnel 59% (MICS, 2019) 72%</w:t>
      </w:r>
    </w:p>
    <w:p w14:paraId="1D45781D" w14:textId="4BF38125" w:rsidR="00C9136F" w:rsidRPr="0057303B" w:rsidRDefault="00C9136F" w:rsidP="00C9136F">
      <w:pPr>
        <w:spacing w:after="0" w:line="240" w:lineRule="auto"/>
        <w:jc w:val="both"/>
        <w:rPr>
          <w:sz w:val="24"/>
          <w:szCs w:val="24"/>
        </w:rPr>
      </w:pPr>
      <w:r w:rsidRPr="0057303B">
        <w:rPr>
          <w:sz w:val="24"/>
          <w:szCs w:val="24"/>
        </w:rPr>
        <w:t xml:space="preserve"> 6</w:t>
      </w:r>
      <w:r w:rsidR="00E73065">
        <w:rPr>
          <w:sz w:val="24"/>
          <w:szCs w:val="24"/>
        </w:rPr>
        <w:t>.</w:t>
      </w:r>
      <w:r w:rsidRPr="0057303B">
        <w:rPr>
          <w:sz w:val="24"/>
          <w:szCs w:val="24"/>
        </w:rPr>
        <w:t xml:space="preserve"> Neonatal mortality rate (per 1,000 live births) 15 (SVRS,2019) 14</w:t>
      </w:r>
    </w:p>
    <w:p w14:paraId="0D1DC2A9" w14:textId="57AE4D12" w:rsidR="00C9136F" w:rsidRPr="0057303B" w:rsidRDefault="00C9136F" w:rsidP="00C9136F">
      <w:pPr>
        <w:spacing w:after="0" w:line="240" w:lineRule="auto"/>
        <w:jc w:val="both"/>
        <w:rPr>
          <w:sz w:val="24"/>
          <w:szCs w:val="24"/>
        </w:rPr>
      </w:pPr>
      <w:r w:rsidRPr="0057303B">
        <w:rPr>
          <w:sz w:val="24"/>
          <w:szCs w:val="24"/>
        </w:rPr>
        <w:t xml:space="preserve"> 7</w:t>
      </w:r>
      <w:r w:rsidR="00E73065">
        <w:rPr>
          <w:sz w:val="24"/>
          <w:szCs w:val="24"/>
        </w:rPr>
        <w:t>.</w:t>
      </w:r>
      <w:r w:rsidRPr="0057303B">
        <w:rPr>
          <w:sz w:val="24"/>
          <w:szCs w:val="24"/>
        </w:rPr>
        <w:t xml:space="preserve"> Infant mortality Rate (per 1,000 live births) 21 (SVRS,2019) 18</w:t>
      </w:r>
    </w:p>
    <w:p w14:paraId="49C183DE" w14:textId="54CF8EAB" w:rsidR="00C9136F" w:rsidRPr="0057303B" w:rsidRDefault="00C9136F" w:rsidP="00C9136F">
      <w:pPr>
        <w:spacing w:after="0" w:line="240" w:lineRule="auto"/>
        <w:jc w:val="both"/>
        <w:rPr>
          <w:sz w:val="24"/>
          <w:szCs w:val="24"/>
        </w:rPr>
      </w:pPr>
      <w:r w:rsidRPr="0057303B">
        <w:rPr>
          <w:sz w:val="24"/>
          <w:szCs w:val="24"/>
        </w:rPr>
        <w:t xml:space="preserve"> 8</w:t>
      </w:r>
      <w:r w:rsidR="00E73065">
        <w:rPr>
          <w:sz w:val="24"/>
          <w:szCs w:val="24"/>
        </w:rPr>
        <w:t>.</w:t>
      </w:r>
      <w:r w:rsidRPr="0057303B">
        <w:rPr>
          <w:sz w:val="24"/>
          <w:szCs w:val="24"/>
        </w:rPr>
        <w:t xml:space="preserve"> Under-five mortality rate (per 1,000 live births) 28 (SVRS, 2019) 27 </w:t>
      </w:r>
    </w:p>
    <w:p w14:paraId="1FECB783" w14:textId="39A11BE0" w:rsidR="00C9136F" w:rsidRPr="0057303B" w:rsidRDefault="00C9136F" w:rsidP="00C9136F">
      <w:pPr>
        <w:spacing w:after="0" w:line="240" w:lineRule="auto"/>
        <w:jc w:val="both"/>
        <w:rPr>
          <w:sz w:val="24"/>
          <w:szCs w:val="24"/>
        </w:rPr>
      </w:pPr>
      <w:r w:rsidRPr="0057303B">
        <w:rPr>
          <w:sz w:val="24"/>
          <w:szCs w:val="24"/>
        </w:rPr>
        <w:t>9</w:t>
      </w:r>
      <w:r w:rsidR="00E73065">
        <w:rPr>
          <w:sz w:val="24"/>
          <w:szCs w:val="24"/>
        </w:rPr>
        <w:t>.</w:t>
      </w:r>
      <w:r w:rsidRPr="0057303B">
        <w:rPr>
          <w:sz w:val="24"/>
          <w:szCs w:val="24"/>
        </w:rPr>
        <w:t xml:space="preserve"> Tuberculosis incidence per 100,000 population 221 (Global Tuberculosis Report, WHO, 2019) 112 </w:t>
      </w:r>
    </w:p>
    <w:p w14:paraId="5748EA97" w14:textId="74B72D79" w:rsidR="00C9136F" w:rsidRPr="0057303B" w:rsidRDefault="00C9136F" w:rsidP="00C9136F">
      <w:pPr>
        <w:spacing w:after="0" w:line="240" w:lineRule="auto"/>
        <w:jc w:val="both"/>
        <w:rPr>
          <w:sz w:val="24"/>
          <w:szCs w:val="24"/>
        </w:rPr>
      </w:pPr>
      <w:r w:rsidRPr="0057303B">
        <w:rPr>
          <w:sz w:val="24"/>
          <w:szCs w:val="24"/>
        </w:rPr>
        <w:t>10</w:t>
      </w:r>
      <w:r w:rsidR="00E73065">
        <w:rPr>
          <w:sz w:val="24"/>
          <w:szCs w:val="24"/>
        </w:rPr>
        <w:t>.</w:t>
      </w:r>
      <w:r w:rsidRPr="0057303B">
        <w:rPr>
          <w:sz w:val="24"/>
          <w:szCs w:val="24"/>
        </w:rPr>
        <w:t xml:space="preserve"> Mortality rate attributed to NCDs (cardiovascular disease, cancer, diabetes or chronic respiratory disease) 21.6% (Health SDG Profile: Bangladesh, WHO,2019) 16.8% </w:t>
      </w:r>
    </w:p>
    <w:p w14:paraId="2EA9E485" w14:textId="325877A4" w:rsidR="00C9136F" w:rsidRPr="0057303B" w:rsidRDefault="00C9136F" w:rsidP="00C9136F">
      <w:pPr>
        <w:spacing w:after="0" w:line="240" w:lineRule="auto"/>
        <w:jc w:val="both"/>
        <w:rPr>
          <w:sz w:val="24"/>
          <w:szCs w:val="24"/>
        </w:rPr>
      </w:pPr>
      <w:r w:rsidRPr="0057303B">
        <w:rPr>
          <w:sz w:val="24"/>
          <w:szCs w:val="24"/>
        </w:rPr>
        <w:t>11</w:t>
      </w:r>
      <w:r w:rsidR="00E73065">
        <w:rPr>
          <w:sz w:val="24"/>
          <w:szCs w:val="24"/>
        </w:rPr>
        <w:t>.</w:t>
      </w:r>
      <w:r w:rsidRPr="0057303B">
        <w:rPr>
          <w:sz w:val="24"/>
          <w:szCs w:val="24"/>
        </w:rPr>
        <w:t xml:space="preserve"> Proportion of children fully vaccinated by 12 months (%) 86% (BDHS, 2017-2018) 98% 12 Proportion of births in health facilities by wealth quintiles (ratio of lowest and highest quintiles) 1:3 (BDHS, 2017-2018) 1:1.5 </w:t>
      </w:r>
    </w:p>
    <w:p w14:paraId="01C88BFF" w14:textId="06F28BA6" w:rsidR="00E73065" w:rsidRDefault="00C9136F" w:rsidP="00C9136F">
      <w:pPr>
        <w:spacing w:after="0" w:line="240" w:lineRule="auto"/>
        <w:jc w:val="both"/>
        <w:rPr>
          <w:sz w:val="24"/>
          <w:szCs w:val="24"/>
        </w:rPr>
      </w:pPr>
      <w:r w:rsidRPr="0057303B">
        <w:rPr>
          <w:sz w:val="24"/>
          <w:szCs w:val="24"/>
        </w:rPr>
        <w:t>13</w:t>
      </w:r>
      <w:r w:rsidR="00E73065">
        <w:rPr>
          <w:sz w:val="24"/>
          <w:szCs w:val="24"/>
        </w:rPr>
        <w:t>.</w:t>
      </w:r>
      <w:r w:rsidRPr="0057303B">
        <w:rPr>
          <w:sz w:val="24"/>
          <w:szCs w:val="24"/>
        </w:rPr>
        <w:t xml:space="preserve"> Total Fertility Rate (TFR) 2.04 (SVRS, 2019) 2.0</w:t>
      </w:r>
    </w:p>
    <w:p w14:paraId="7B86D433" w14:textId="47CFCD5C" w:rsidR="00C9136F" w:rsidRPr="0057303B" w:rsidRDefault="00C9136F" w:rsidP="00C9136F">
      <w:pPr>
        <w:spacing w:after="0" w:line="240" w:lineRule="auto"/>
        <w:jc w:val="both"/>
        <w:rPr>
          <w:sz w:val="24"/>
          <w:szCs w:val="24"/>
        </w:rPr>
      </w:pPr>
      <w:r w:rsidRPr="0057303B">
        <w:rPr>
          <w:sz w:val="24"/>
          <w:szCs w:val="24"/>
        </w:rPr>
        <w:t>14</w:t>
      </w:r>
      <w:r w:rsidR="00E73065">
        <w:rPr>
          <w:sz w:val="24"/>
          <w:szCs w:val="24"/>
        </w:rPr>
        <w:t>.</w:t>
      </w:r>
      <w:r w:rsidRPr="0057303B">
        <w:rPr>
          <w:sz w:val="24"/>
          <w:szCs w:val="24"/>
        </w:rPr>
        <w:t xml:space="preserve"> Contraceptive Prevalence Rate (%) 63.4% (SVRS, 2019) 75% </w:t>
      </w:r>
    </w:p>
    <w:p w14:paraId="7E87959F" w14:textId="45E7F1DF" w:rsidR="00C9136F" w:rsidRPr="0057303B" w:rsidRDefault="00C9136F" w:rsidP="00C9136F">
      <w:pPr>
        <w:spacing w:after="0" w:line="240" w:lineRule="auto"/>
        <w:rPr>
          <w:sz w:val="24"/>
          <w:szCs w:val="24"/>
        </w:rPr>
      </w:pPr>
      <w:r w:rsidRPr="0057303B">
        <w:rPr>
          <w:sz w:val="24"/>
          <w:szCs w:val="24"/>
        </w:rPr>
        <w:t>15</w:t>
      </w:r>
      <w:r w:rsidR="00E73065">
        <w:rPr>
          <w:sz w:val="24"/>
          <w:szCs w:val="24"/>
        </w:rPr>
        <w:t>.</w:t>
      </w:r>
      <w:r w:rsidRPr="0057303B">
        <w:rPr>
          <w:sz w:val="24"/>
          <w:szCs w:val="24"/>
        </w:rPr>
        <w:t xml:space="preserve"> Proportion of women of reproductive age (aged 15-49 years) who have their need for family planning satisfied with modern methods (%) 77.4% (MICS, 2019) 80%</w:t>
      </w:r>
    </w:p>
    <w:p w14:paraId="3283E096" w14:textId="0A061812" w:rsidR="00C9136F" w:rsidRPr="0057303B" w:rsidRDefault="00C9136F" w:rsidP="00C9136F">
      <w:pPr>
        <w:spacing w:after="0" w:line="240" w:lineRule="auto"/>
        <w:rPr>
          <w:sz w:val="24"/>
          <w:szCs w:val="24"/>
        </w:rPr>
      </w:pPr>
      <w:r w:rsidRPr="0057303B">
        <w:rPr>
          <w:sz w:val="24"/>
          <w:szCs w:val="24"/>
        </w:rPr>
        <w:t>16</w:t>
      </w:r>
      <w:r w:rsidR="00E73065">
        <w:rPr>
          <w:sz w:val="24"/>
          <w:szCs w:val="24"/>
        </w:rPr>
        <w:t>.</w:t>
      </w:r>
      <w:r w:rsidRPr="0057303B">
        <w:rPr>
          <w:sz w:val="24"/>
          <w:szCs w:val="24"/>
        </w:rPr>
        <w:t xml:space="preserve"> Adolescent birth rate 74 (SVRS, 2019) 60</w:t>
      </w:r>
    </w:p>
    <w:p w14:paraId="13D25E16" w14:textId="77777777" w:rsidR="00B00EF5" w:rsidRDefault="00B00EF5"/>
    <w:sectPr w:rsidR="00B00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45B"/>
    <w:rsid w:val="0070545B"/>
    <w:rsid w:val="00B00EF5"/>
    <w:rsid w:val="00C9136F"/>
    <w:rsid w:val="00E73065"/>
    <w:rsid w:val="00F04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3B0E8"/>
  <w15:chartTrackingRefBased/>
  <w15:docId w15:val="{7A66113C-7396-46D5-9178-C208332B3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EMDADUL HAQUE</dc:creator>
  <cp:keywords/>
  <dc:description/>
  <cp:lastModifiedBy>MD EMDADUL HAQUE</cp:lastModifiedBy>
  <cp:revision>3</cp:revision>
  <dcterms:created xsi:type="dcterms:W3CDTF">2022-12-20T09:22:00Z</dcterms:created>
  <dcterms:modified xsi:type="dcterms:W3CDTF">2022-12-20T09:54:00Z</dcterms:modified>
</cp:coreProperties>
</file>