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F4937" w14:textId="77777777" w:rsidR="00EB2EA1" w:rsidRDefault="00ED6B11">
      <w:bookmarkStart w:id="0" w:name="_Hlk122441445"/>
      <w:r>
        <w:t xml:space="preserve">10.4 8FYP GOALS, STRATEGIES AND TARGETS FOR THE HPN SECTOR Bangladesh aims to attain a number of targets in the road towards universal health coverage, consistent with the proposed major targets under the proposed UN Sustainable Development Goals (SDG) framework. Promoting and sustaining health and nutrition along with containing population growth are priorities in the human development strategy. </w:t>
      </w:r>
    </w:p>
    <w:p w14:paraId="0CA3F735" w14:textId="77777777" w:rsidR="00EB2EA1" w:rsidRDefault="00ED6B11">
      <w:r>
        <w:t xml:space="preserve">Vision 2041 envisions a High-income Bangladesh with no poverty and with 584 conditions that allows individuals to reach and maintain the highest attainable level of health. It incorporates appropriate strategies and activities for focused improvements in health service delivery for increasing access to, and quality of care and improving equity along with financial protection in order to meaningfully realize the objectives of universal health coverage (UHC) by 2030. At present, Bangladesh does not have adequate health insurance scheme that has made it very difficult for the poor and lower middle class to finance any health shock. Both issues will be given top priority in the 8FYP. </w:t>
      </w:r>
    </w:p>
    <w:p w14:paraId="4340EFD1" w14:textId="77777777" w:rsidR="00EB2EA1" w:rsidRDefault="00ED6B11">
      <w:r>
        <w:t xml:space="preserve">Goal: The goal is to ensure that all citizens enjoy health and well-being by expanding access to quality and equitable health care in a healthy environment. </w:t>
      </w:r>
    </w:p>
    <w:p w14:paraId="698715FF" w14:textId="10E18CA5" w:rsidR="008C6420" w:rsidRDefault="00ED6B11">
      <w:r>
        <w:t>Objective: The main objective is to build on existing achievement to improve equity, quality and efficiency with a view to gradually moving towards UHC and achieving the HPN related SDGs.</w:t>
      </w:r>
    </w:p>
    <w:p w14:paraId="70BC0C78" w14:textId="7346430C" w:rsidR="00EB2EA1" w:rsidRDefault="00ED6B11">
      <w:r>
        <w:t xml:space="preserve">Targets: Past and ongoing </w:t>
      </w:r>
      <w:proofErr w:type="spellStart"/>
      <w:r>
        <w:t>programmes</w:t>
      </w:r>
      <w:proofErr w:type="spellEnd"/>
      <w:r>
        <w:t xml:space="preserve"> have promoted good health, nutrition while managing population growth. In order to carry on with the progress achieved and address areas of deficiency, some of the specific targets for the HPN sector under the 8FYP are shown in</w:t>
      </w:r>
    </w:p>
    <w:p w14:paraId="5672F56E" w14:textId="77777777" w:rsidR="00EB2EA1" w:rsidRDefault="00ED6B11">
      <w:r>
        <w:t xml:space="preserve"> Table 10.2. Table 10.2: Health, Population and Nutrition Targets for the 8FYP Sl. Indicator Baseline and Source 8FYP Target (2025)</w:t>
      </w:r>
    </w:p>
    <w:p w14:paraId="5C7A66C7" w14:textId="77777777" w:rsidR="00EB2EA1" w:rsidRDefault="00ED6B11">
      <w:r>
        <w:t xml:space="preserve"> 1 Life expectancy at birth 72.6 (SVRS,2019) 74</w:t>
      </w:r>
    </w:p>
    <w:p w14:paraId="6414E9EA" w14:textId="77777777" w:rsidR="00EB2EA1" w:rsidRDefault="00ED6B11">
      <w:r>
        <w:t xml:space="preserve"> 2 Proportion of stunting among under-five children (%) 28% (MICS, 2019) 20% </w:t>
      </w:r>
    </w:p>
    <w:p w14:paraId="79364AA6" w14:textId="77777777" w:rsidR="00EB2EA1" w:rsidRDefault="00ED6B11">
      <w:r>
        <w:t>3 Prevalence of other aspects of malnutrition among children under five a. proportion of wasting b. proportion of underweight c. proportion of overweight a) Wasting: 9.8% b) Underweight 22.6% c) Over weight: 2.4% (MICS,2019) a) 7% b)15% c) 1%</w:t>
      </w:r>
    </w:p>
    <w:p w14:paraId="0C22D576" w14:textId="77777777" w:rsidR="00EB2EA1" w:rsidRDefault="00ED6B11">
      <w:r>
        <w:t xml:space="preserve"> 4 Maternal mortality </w:t>
      </w:r>
      <w:proofErr w:type="gramStart"/>
      <w:r>
        <w:t>ratio</w:t>
      </w:r>
      <w:proofErr w:type="gramEnd"/>
      <w:r>
        <w:t xml:space="preserve"> (per 100,000 live births) 165 (SVRS, 2019) 100</w:t>
      </w:r>
    </w:p>
    <w:p w14:paraId="2271EB52" w14:textId="77777777" w:rsidR="00EB2EA1" w:rsidRDefault="00ED6B11">
      <w:r>
        <w:t xml:space="preserve"> 5 Proportion of births attended by skilled health personnel 59% (MICS, 2019) 72%</w:t>
      </w:r>
    </w:p>
    <w:p w14:paraId="28F91135" w14:textId="77777777" w:rsidR="00EB2EA1" w:rsidRDefault="00ED6B11">
      <w:r>
        <w:t xml:space="preserve"> 6 Neonatal mortality </w:t>
      </w:r>
      <w:proofErr w:type="gramStart"/>
      <w:r>
        <w:t>rate</w:t>
      </w:r>
      <w:proofErr w:type="gramEnd"/>
      <w:r>
        <w:t xml:space="preserve"> (per 1,000 live births) 15 (SVRS,2019) 14</w:t>
      </w:r>
    </w:p>
    <w:p w14:paraId="3F2158D6" w14:textId="77777777" w:rsidR="00EB2EA1" w:rsidRDefault="00ED6B11">
      <w:r>
        <w:t xml:space="preserve"> 7 Infant mortality Rate (per 1,000 live births) 21 (SVRS,2019) 18</w:t>
      </w:r>
    </w:p>
    <w:p w14:paraId="7DB8CE92" w14:textId="77777777" w:rsidR="00EB2EA1" w:rsidRDefault="00ED6B11">
      <w:r>
        <w:t xml:space="preserve"> 8 Under-five mortality </w:t>
      </w:r>
      <w:proofErr w:type="gramStart"/>
      <w:r>
        <w:t>rate</w:t>
      </w:r>
      <w:proofErr w:type="gramEnd"/>
      <w:r>
        <w:t xml:space="preserve"> (per 1,000 live births) 28 (SVRS, 2019) 27 </w:t>
      </w:r>
    </w:p>
    <w:p w14:paraId="7D548BE3" w14:textId="77777777" w:rsidR="00EB2EA1" w:rsidRDefault="00ED6B11">
      <w:r>
        <w:t xml:space="preserve">9 Tuberculosis </w:t>
      </w:r>
      <w:proofErr w:type="gramStart"/>
      <w:r>
        <w:t>incidence</w:t>
      </w:r>
      <w:proofErr w:type="gramEnd"/>
      <w:r>
        <w:t xml:space="preserve"> per 100,000 population 221 (Global Tuberculosis Report, WHO, 2019) 112 </w:t>
      </w:r>
    </w:p>
    <w:p w14:paraId="7B323BB1" w14:textId="77777777" w:rsidR="00EB2EA1" w:rsidRDefault="00ED6B11">
      <w:r>
        <w:t xml:space="preserve">10 Mortality </w:t>
      </w:r>
      <w:proofErr w:type="gramStart"/>
      <w:r>
        <w:t>rate</w:t>
      </w:r>
      <w:proofErr w:type="gramEnd"/>
      <w:r>
        <w:t xml:space="preserve"> attributed to NCDs (cardiovascular disease, cancer, diabetes or chronic respiratory disease) 21.6% (Health SDG Profile: Bangladesh, WHO,2019) 16.8% </w:t>
      </w:r>
    </w:p>
    <w:p w14:paraId="2AF4CC79" w14:textId="77777777" w:rsidR="00EB2EA1" w:rsidRDefault="00ED6B11">
      <w:r>
        <w:t>11 Proportion of children fully vaccinated by 12 months (%) 86% (BDHS, 2017-2018) 98%</w:t>
      </w:r>
    </w:p>
    <w:p w14:paraId="339F0B66" w14:textId="77777777" w:rsidR="00EB2EA1" w:rsidRDefault="00ED6B11">
      <w:r>
        <w:lastRenderedPageBreak/>
        <w:t xml:space="preserve"> 12 Proportion of births in health facilities by wealth quintiles (ratio of lowest and highest quintiles) 1:3 (BDHS, 2017-2018) 1:1.5 </w:t>
      </w:r>
    </w:p>
    <w:p w14:paraId="49B9FCA1" w14:textId="77777777" w:rsidR="00EB2EA1" w:rsidRDefault="00ED6B11">
      <w:r>
        <w:t>13 Total Fertility Rate (TFR) 2.04 (SVRS, 2019) 2.0</w:t>
      </w:r>
    </w:p>
    <w:p w14:paraId="2C778204" w14:textId="77777777" w:rsidR="00EB2EA1" w:rsidRDefault="00ED6B11">
      <w:r>
        <w:t xml:space="preserve"> 14 Contraceptive Prevalence Rate (%) 63.4% (SVRS, 2019) 75% </w:t>
      </w:r>
    </w:p>
    <w:p w14:paraId="0C751A9E" w14:textId="77777777" w:rsidR="00EB2EA1" w:rsidRDefault="00ED6B11">
      <w:r>
        <w:t>15 Proportion of women of reproductive age (aged 15-49 years) who have their need for family planning satisfied with modern methods (%) 77.4% (MICS, 2019) 80%</w:t>
      </w:r>
    </w:p>
    <w:p w14:paraId="005E2653" w14:textId="77777777" w:rsidR="00EB2EA1" w:rsidRDefault="00ED6B11">
      <w:r>
        <w:t xml:space="preserve"> 16 Adolescent birth rate 74 (SVRS, 2019) 60</w:t>
      </w:r>
    </w:p>
    <w:p w14:paraId="63AF821D" w14:textId="0EF7CF71" w:rsidR="0057303B" w:rsidRDefault="00ED6B11" w:rsidP="008C6420">
      <w:r>
        <w:t xml:space="preserve"> 585 HPN Strategies On the basis of experience in the previous </w:t>
      </w:r>
      <w:proofErr w:type="spellStart"/>
      <w:r>
        <w:t>SWAp</w:t>
      </w:r>
      <w:proofErr w:type="spellEnd"/>
      <w:r>
        <w:t xml:space="preserve"> periods a set of strategies will be followed to achieve the 8FYP targets: - </w:t>
      </w:r>
      <w:r>
        <w:sym w:font="Symbol" w:char="F0B7"/>
      </w:r>
      <w:r>
        <w:t xml:space="preserve"> Focusing on the oversight of service delivery and strengthening the regulatory functions and stewardship role for ensuring universal health coverage. </w:t>
      </w:r>
      <w:r>
        <w:sym w:font="Symbol" w:char="F0B7"/>
      </w:r>
      <w:r>
        <w:t xml:space="preserve"> Exploring various innovative approaches (e.g., purchasing service to offset inadequate service provision to disadvantaged groups) for improving service delivery particularly for hard-to-reach areas. </w:t>
      </w:r>
      <w:r>
        <w:sym w:font="Symbol" w:char="F0B7"/>
      </w:r>
      <w:r>
        <w:t xml:space="preserve"> Increasing access to and utilization of quality services by adopting more inclusive approach – engaging the private sector for ESP delivery, public – private partnership (PPP) and NGOs. </w:t>
      </w:r>
      <w:r>
        <w:sym w:font="Symbol" w:char="F0B7"/>
      </w:r>
      <w:r>
        <w:t xml:space="preserve"> Ensuring SBAs at birth; newborn care; adolescent care; etc. and accelerating initiatives in lowperforming and hard-to-reach areas. </w:t>
      </w:r>
      <w:r>
        <w:sym w:font="Symbol" w:char="F0B7"/>
      </w:r>
      <w:r>
        <w:t xml:space="preserve"> Expanding regular nutritional services and EPI </w:t>
      </w:r>
      <w:proofErr w:type="spellStart"/>
      <w:r>
        <w:t>programmes</w:t>
      </w:r>
      <w:proofErr w:type="spellEnd"/>
      <w:r>
        <w:t xml:space="preserve"> at the CC level in collaboration with DGFP. </w:t>
      </w:r>
      <w:r>
        <w:sym w:font="Symbol" w:char="F0B7"/>
      </w:r>
      <w:r>
        <w:t xml:space="preserve"> Continue to strengthen HPN system that may require reorganizing various systems and institutions based on needs of the day. </w:t>
      </w:r>
      <w:r>
        <w:sym w:font="Symbol" w:char="F0B7"/>
      </w:r>
      <w:r>
        <w:t xml:space="preserve"> Adopting new technologies to strengthen surveillance, data quality and information systems. </w:t>
      </w:r>
      <w:r>
        <w:sym w:font="Symbol" w:char="F0B7"/>
      </w:r>
      <w:r>
        <w:t xml:space="preserve"> Increasing efficiency as well as absolute funding and strengthening M&amp;E activities. </w:t>
      </w:r>
      <w:r>
        <w:sym w:font="Symbol" w:char="F0B7"/>
      </w:r>
      <w:r>
        <w:t xml:space="preserve"> Incorporating activities in relevant OPs on women’s right and voice and conducting orientation training, workshops, focus group discussions, etc. for ensuring gender equality. </w:t>
      </w:r>
      <w:r>
        <w:sym w:font="Symbol" w:char="F0B7"/>
      </w:r>
      <w:r>
        <w:t xml:space="preserve"> Promote development of human capital through investment in health sector throughout the life cycle. In this context, take into account the changing needs of people as they age, as well as the different needs of children, women and men; internal and international migrants; and rural and urban populations; etc. </w:t>
      </w:r>
      <w:r>
        <w:sym w:font="Symbol" w:char="F0B7"/>
      </w:r>
      <w:r>
        <w:t xml:space="preserve"> Provide targeted health support to the most socially and economically disadvantaged and vulnerable populations, including those affected by climate change and natural disasters; and help to strengthen their resilience to social, economic and environmental shocks. </w:t>
      </w:r>
      <w:r>
        <w:sym w:font="Symbol" w:char="F0B7"/>
      </w:r>
      <w:r>
        <w:t xml:space="preserve"> Provide universal access to reproductive and maternal health care as well as NCDC, HIV/AIDS prevention, treatment, care and support. </w:t>
      </w:r>
      <w:r>
        <w:sym w:font="Symbol" w:char="F0B7"/>
      </w:r>
      <w:r>
        <w:t xml:space="preserve"> Provide higher coverage and adequate levels of health care including social protections, and ensure a balanced distribution of the human and financial costs of care. </w:t>
      </w:r>
      <w:r>
        <w:sym w:font="Symbol" w:char="F0B7"/>
      </w:r>
      <w:r>
        <w:t xml:space="preserve"> Develop appropriate technologies, care services and infrastructure to accommodate the needs of older persons, commensurate to the stage of economic development and societal norms, structures, etc. </w:t>
      </w:r>
      <w:r>
        <w:sym w:font="Symbol" w:char="F0B7"/>
      </w:r>
      <w:r>
        <w:t xml:space="preserve"> Plan to ensure that the growing number of urban residents, including the poor, have secured access to primary health care services including water, sanitation, etc. by addressing the safety concerns of women, girls, children and older persons, and by ensuring more coherent and coordinated service delivery at the national level. </w:t>
      </w:r>
      <w:r>
        <w:sym w:font="Symbol" w:char="F0B7"/>
      </w:r>
      <w:r>
        <w:t xml:space="preserve"> Respond orderly to the conventional as well as new health challenges given the expected mismatch between demand for and the supply of resources. 586 10.4.1 Health Program in the 8FYP MoHFW has been pursuing focused improvements in increasing access to quality health services and improving equity along with financial protection in order to achieve universal health coverage (UHC) by 2030. Notable future activities are highlighted below: </w:t>
      </w:r>
      <w:r>
        <w:sym w:font="Symbol" w:char="F0B7"/>
      </w:r>
      <w:r>
        <w:t xml:space="preserve"> Expansion and consolidation of community based primary health care services. </w:t>
      </w:r>
      <w:r>
        <w:sym w:font="Symbol" w:char="F0B7"/>
      </w:r>
      <w:r>
        <w:t xml:space="preserve"> The UHFWCs will be upgraded with increased human resources for provision of 24/7 services. </w:t>
      </w:r>
      <w:r>
        <w:sym w:font="Symbol" w:char="F0B7"/>
      </w:r>
      <w:r>
        <w:t xml:space="preserve"> Quality </w:t>
      </w:r>
      <w:r>
        <w:lastRenderedPageBreak/>
        <w:t xml:space="preserve">of medical education &amp; training and HPN services will be ensured through upgradation of the educational facilities/institutes and service facilities, modernization of examination process, inclusion of new subjects in curricula, provision of specialty and sub-specialty positions etc. </w:t>
      </w:r>
      <w:r>
        <w:sym w:font="Symbol" w:char="F0B7"/>
      </w:r>
      <w:r>
        <w:t xml:space="preserve"> Reviewing and restructuring of urban primary health care services for catering to the needs of rapidly expanding urban population. </w:t>
      </w:r>
      <w:r>
        <w:sym w:font="Symbol" w:char="F0B7"/>
      </w:r>
      <w:r>
        <w:t xml:space="preserve"> Up-gradation of existing and creation of new facilities for service expansion with a view to bringing in more people under universal coverage and reducing individual out-of-pocket expenditure. </w:t>
      </w:r>
      <w:r>
        <w:sym w:font="Symbol" w:char="F0B7"/>
      </w:r>
      <w:r>
        <w:t xml:space="preserve"> Expansion of health protection schemes (e.g., SSK, MHVS) for wider coverage of the poor. </w:t>
      </w:r>
      <w:r>
        <w:sym w:font="Symbol" w:char="F0B7"/>
      </w:r>
      <w:r>
        <w:t xml:space="preserve"> Extensive digitalization at all levels of MOHFW and development of digital data management, incremental use of IT in health, population and nutrition services. </w:t>
      </w:r>
      <w:r>
        <w:sym w:font="Symbol" w:char="F0B7"/>
      </w:r>
      <w:r>
        <w:t xml:space="preserve"> Establishment of laws, rules and formulation of new policies, updating existing policies, etc. for improved governance, equity and inclusiveness. The 8FYP will need to lay emphasis on the continuation of efforts to strengthen core systems to support overall improvement in service efficiency, e.g., the reorganization of the financial management, restructuring of CMSD as the major procurement unit and other agencies/institutes. It will continue to emphasize on PHC, EPI, MNCH, NCD, nutrition etc. on consideration of achieving the equity goal and to implement the updated ESP as part of its strategy to achieve the UHC as proposed in SDG (Goal-3). The health sector Program under the 8FYP period will therefore need adequate financial and technical support to implement, monitor and manage the multifarious challenges posed by the ambitious health goals within the dynamic development process of Bangladesh. With a view to realizing the cherished goal of SDGs by the MoHFW, future activities/</w:t>
      </w:r>
      <w:proofErr w:type="spellStart"/>
      <w:r>
        <w:t>programmes</w:t>
      </w:r>
      <w:proofErr w:type="spellEnd"/>
      <w:r>
        <w:t xml:space="preserve"> including expansion of the on-going ones need to be developed, which are giving good results. However, area-wise future activities of MoHFW to be pursued during the 8FYP are highlighted below. Pathways to achieving Universal Health Care and reducing Out of Pocket Expenditure According to WHO recommendations, to achieve Universal Health Care (UHC), countries must advance in at least three dimensions- expand priority services, include more people, and reduce out-of-pocket payments. Expanding coverage for high-priority services to everyone includes eliminating out-of-pocket payments while increasing mandatory, progressive prepayment with pooling of funds. Bangladesh had always prioritized a focus on making public health services available and accessible to all its citizens through Health for All (HFA), Primary Health Care (PHC), Essential Service Package (ESP), etc. The ESP, being implemented from the levels of CCs to district hospitals as priority intervention for providing PHC services, represents Government’s commitment to ensure the right to health and that the whole population has access to the most essential health services. The CC based service provision at the doorstep of the 587 people is a step forward towards achieving the UHC. The CCs are also contributing to reducing the gap between rich and poor with respect to health outcomes in rural areas. The 4th HPNSP has been serving as the first, and the foundation stone, of three subsequent </w:t>
      </w:r>
      <w:proofErr w:type="spellStart"/>
      <w:r>
        <w:t>SWAps</w:t>
      </w:r>
      <w:proofErr w:type="spellEnd"/>
      <w:r>
        <w:t xml:space="preserve"> and is aligned to the goal of achieving UHC by 2030, which highlights the right of every citizen to gain access to quality health care (whether these are obtained from the public or private) without incurring economic hardship. Furthermore, during the 8FYP period, exploration of various innovative approaches will be continued for expanding PHC services along with improving service quality, which would include review of existing field-based service delivery; diversification of service provision (inclusive of public-private partnership) particularly for Hard to Reach (HTR) areas; development of functional referral systems involving all levels of facilities; ensuring quality of care, etc. Public hospitals at all levels will be upgraded with additional beds and modern equipment for ensuring access and utilization of quality health services by the people. Assistance will be provided in the Hill District Councils (HDCs) in the Chittagong Hill Tracts (CHT) to develop district-specific health service in co-operation with </w:t>
      </w:r>
      <w:proofErr w:type="spellStart"/>
      <w:r>
        <w:t>MoCHTA</w:t>
      </w:r>
      <w:proofErr w:type="spellEnd"/>
      <w:r>
        <w:t xml:space="preserve"> and with interested DPs. Steps will be taken for providing improved health services to the </w:t>
      </w:r>
      <w:r>
        <w:lastRenderedPageBreak/>
        <w:t>geriatric populations, the ethnic minorities and the other categories. Disability issues (autism, mental health, etc.) will also be properly addressed in collaboration with various actors (public, private, NGOs) through preventive and curative services including expansion of services to cater the need of those who are physically or mentally challenged with a view to bringing in more people under universal coverage and reducing individual out-of-pocket expenditure (OOPE). The social health protection scheme in the name of “</w:t>
      </w:r>
      <w:proofErr w:type="spellStart"/>
      <w:r>
        <w:t>Shasthyo</w:t>
      </w:r>
      <w:proofErr w:type="spellEnd"/>
      <w:r>
        <w:t xml:space="preserve"> </w:t>
      </w:r>
      <w:proofErr w:type="spellStart"/>
      <w:r>
        <w:t>Shuroksha</w:t>
      </w:r>
      <w:proofErr w:type="spellEnd"/>
      <w:r>
        <w:t xml:space="preserve"> </w:t>
      </w:r>
      <w:proofErr w:type="spellStart"/>
      <w:r>
        <w:t>Karmasuchi</w:t>
      </w:r>
      <w:proofErr w:type="spellEnd"/>
      <w:r>
        <w:t xml:space="preserve"> (SSK) is providing free hospital services to the poor and vulnerable people. The Maternal Health Voucher Scheme (MHVS), in operation in 55 </w:t>
      </w:r>
      <w:proofErr w:type="spellStart"/>
      <w:r>
        <w:t>upazilas</w:t>
      </w:r>
      <w:proofErr w:type="spellEnd"/>
      <w:r>
        <w:t xml:space="preserve">, is another health protection scheme for ensuring safe delivery of poor pregnant mothers. During the 8FYP period, coverage of the above-mentioned schemes will be expanded further. Besides, new areas of health protection will be explored including taking up health insurance schemes for different income groups. Urban Health Service: Bangladesh is going through significant social and demographic changes, including rapid urbanization, expanding industrialization, rising incomes and increase in non-communicable diseases, partly due to poor nutrition related to lifestyle changes. Population growth in urban areas is 2.5% whereas the national population growth rate is less than 1.4%. The biggest city, Dhaka alone accounts for 40% urban population. Rapid influx of migrants and increased numbers of people living in urban slums in large cities are creating continuous pressure on urban health and nutrition care service. The urban areas provide a contrasting picture of availability of different facilities and services for secondary and tertiary level health care, while primary health care and nutrition facilities and services for the urban population at large and the urban poor in particular are inadequate. With the implementation of three urban primary health care projects (UPHCPs) since 1998, services have been delivered by the City Corporations and Municipalities through contracted NGOs under </w:t>
      </w:r>
      <w:proofErr w:type="spellStart"/>
      <w:r>
        <w:t>MoLGRD&amp;C</w:t>
      </w:r>
      <w:proofErr w:type="spellEnd"/>
      <w:r>
        <w:t xml:space="preserve"> in the project’s areas, but without any sustained arrangement for continuation of urban primary health care (UPHC) service after project completion. Besides public institutions, private health and nutrition care facilities as well as school health clinics play an important role in the provision of 588 health and nutrition services in urban areas which requires increased efforts for coordination and quality control through sustained regulatory mechanisms. There is need to establish a permanent coordination structure between the two Ministries to take up the mutual mandated responsibility in a sustained and effective manner. MoHFW will join in tackling this challenge through a consultative process with </w:t>
      </w:r>
      <w:proofErr w:type="spellStart"/>
      <w:r>
        <w:t>MoLGRD&amp;C</w:t>
      </w:r>
      <w:proofErr w:type="spellEnd"/>
      <w:r>
        <w:t xml:space="preserve">, city corporations and concerned stakeholders to jointly assess, map, project and plan HPN services in urban areas. The emphasis on coordination of urban health and nutrition will be a new (and very different) element compared to past </w:t>
      </w:r>
      <w:proofErr w:type="spellStart"/>
      <w:r>
        <w:t>programmes</w:t>
      </w:r>
      <w:proofErr w:type="spellEnd"/>
      <w:r>
        <w:t xml:space="preserve">. It will involve MoHFW working in new ways with its partners, notably </w:t>
      </w:r>
      <w:proofErr w:type="spellStart"/>
      <w:r>
        <w:t>MoLGRD&amp;C</w:t>
      </w:r>
      <w:proofErr w:type="spellEnd"/>
      <w:r>
        <w:t xml:space="preserve">, NGOs, Private sector service providers and others. MoHFW will seek to extend the coverage of UPHC services through the urban dispensaries under the DGHS, which are in the process of improvement by strengthening referral system in the facilities, so that the population receives better health and nutrition services. MoHFW will also provide UPHC services through the outdoors of secondary and tertiary hospitals of urban areas that will continue to be strengthened. Moreover, the UPHC service will be strengthened through introducing evening shifts in terms of coverage, quality and equity of service delivery in response to demand. However, some other priority activities will include: </w:t>
      </w:r>
      <w:r>
        <w:sym w:font="Symbol" w:char="F0B7"/>
      </w:r>
      <w:r>
        <w:t xml:space="preserve"> Developing an urban health and nutrition strategy with time bound action plan in collaboration with </w:t>
      </w:r>
      <w:proofErr w:type="spellStart"/>
      <w:r>
        <w:t>MoLGRD&amp;C</w:t>
      </w:r>
      <w:proofErr w:type="spellEnd"/>
      <w:r>
        <w:t xml:space="preserve">. </w:t>
      </w:r>
      <w:r>
        <w:sym w:font="Symbol" w:char="F0B7"/>
      </w:r>
      <w:r>
        <w:t xml:space="preserve"> Commissioning a study to review and determine how the urban population can be best served and the two Ministries can jointly work together to provide quality HPN services. </w:t>
      </w:r>
      <w:r>
        <w:sym w:font="Symbol" w:char="F0B7"/>
      </w:r>
      <w:r>
        <w:t xml:space="preserve"> Establishing a permanent institutional arrangement and governance mechanism incorporating relevant ministries, agencies and institutions with responsibility to urban health and nutrition. </w:t>
      </w:r>
      <w:r>
        <w:sym w:font="Symbol" w:char="F0B7"/>
      </w:r>
      <w:r>
        <w:t xml:space="preserve"> Expanding/upgrading urban dispensaries for quality PHC services (including services for </w:t>
      </w:r>
      <w:r>
        <w:lastRenderedPageBreak/>
        <w:t xml:space="preserve">reproductive health, nutrition, health education and screening of diabetes and hypertension). </w:t>
      </w:r>
      <w:r>
        <w:sym w:font="Symbol" w:char="F0B7"/>
      </w:r>
      <w:r>
        <w:t xml:space="preserve"> Defining an adequate referral system between the various urban dispensaries and the second and third level hospitals, and exploring feasibility of introducing General Physician (GP) system. </w:t>
      </w:r>
      <w:r>
        <w:sym w:font="Symbol" w:char="F0B7"/>
      </w:r>
      <w:r>
        <w:t xml:space="preserve"> Developing and utilizing urban HIS for effective management of urban health care. </w:t>
      </w:r>
      <w:r>
        <w:sym w:font="Symbol" w:char="F0B7"/>
      </w:r>
      <w:r>
        <w:t xml:space="preserve"> Building capacity of the various service providers under MoHFW and </w:t>
      </w:r>
      <w:proofErr w:type="spellStart"/>
      <w:r>
        <w:t>MoLGRD&amp;C</w:t>
      </w:r>
      <w:proofErr w:type="spellEnd"/>
      <w:r>
        <w:t xml:space="preserve">. </w:t>
      </w:r>
      <w:r>
        <w:sym w:font="Symbol" w:char="F0B7"/>
      </w:r>
      <w:r>
        <w:t xml:space="preserve"> Determining the role and accountability of different NGOs and the private sector in the delivery of urban health. </w:t>
      </w:r>
      <w:r>
        <w:sym w:font="Symbol" w:char="F0B7"/>
      </w:r>
      <w:r>
        <w:t xml:space="preserve"> Expanding health service delivery through PPPs and through diversification of strategies. Maternal, Neonatal, Child and Reproductive &amp; Adolescent Health Maternal and newborn health (MNH) services are inter-related and need to be delivered simultaneously covering preconception, pregnancy, childbirth and the immediate postpartum periods. The services need to be delivered by skilled providers along with prompt and appropriate management of complications in adequately staffed and equipped </w:t>
      </w:r>
      <w:proofErr w:type="spellStart"/>
      <w:r>
        <w:t>EmOC</w:t>
      </w:r>
      <w:proofErr w:type="spellEnd"/>
      <w:r>
        <w:t xml:space="preserve"> facilities, functioning at 24/7 levels gradually. As such a twopronged strategy will be followed: (</w:t>
      </w:r>
      <w:proofErr w:type="spellStart"/>
      <w:r>
        <w:t>i</w:t>
      </w:r>
      <w:proofErr w:type="spellEnd"/>
      <w:r>
        <w:t xml:space="preserve">) promotion of institutional services in all districts and </w:t>
      </w:r>
      <w:proofErr w:type="spellStart"/>
      <w:r>
        <w:t>upazilas</w:t>
      </w:r>
      <w:proofErr w:type="spellEnd"/>
      <w:r>
        <w:t xml:space="preserve"> and (ii) sustaining and expanding home-based services, in varying degrees based on local needs, particularly in places with geographic or social restrictions on seeking care from facilities. 589 Institutional births will be promoted actively through BCC at personal, group and national levels through innovative strategies incorporating the mass and electronic media. Preconception and pregnancy related services will be provided by trained providers at the CC level and by NGOs where found feasible and appropriate. Priority will be given to areas with high rates of MMR and to the economically, geographically and socially disadvantaged. Strategies to improve effectiveness of referrals will be developed and implemented. There is great need to strengthen regulation of the private sector, given the high levels of cesarean sections in these facilities. Specific attention will be given to promote essential newborn care services with emphasis on prevention and management of asphyxia and neonatal infections, and care for the Low Birth Weight and pre-term babies. This will require extensive training of the existing community-based workers and the new community health care providers (CHCP) and supporting them through operational guidelines. Sick newborn services will be strengthened at the UHCs and district hospitals with rapid referral systems of sick newborns to these facilities. However, some other priority activities will include: </w:t>
      </w:r>
      <w:r>
        <w:sym w:font="Symbol" w:char="F0B7"/>
      </w:r>
      <w:r>
        <w:t xml:space="preserve"> Promoting MNH services nationwide including the urban slums, in collaboration with other health care providers including NGOs and using mass media. </w:t>
      </w:r>
      <w:r>
        <w:sym w:font="Symbol" w:char="F0B7"/>
      </w:r>
      <w:r>
        <w:t xml:space="preserve"> Improving quality of maternal and neonatal health services from preconception to the postnatal period in facilities from the medical colleges to CCs and including evidence-based interventions, notably to address hemorrhage and eclampsia. </w:t>
      </w:r>
      <w:r>
        <w:sym w:font="Symbol" w:char="F0B7"/>
      </w:r>
      <w:r>
        <w:t xml:space="preserve"> Strengthening 24/7 </w:t>
      </w:r>
      <w:proofErr w:type="spellStart"/>
      <w:r>
        <w:t>EmOC</w:t>
      </w:r>
      <w:proofErr w:type="spellEnd"/>
      <w:r>
        <w:t xml:space="preserve"> services gradually through improving HR development, placement and retention with skill mix at various tiers of service delivery and in identified facilities through a detailed mapping exercise considering emergency referrals, communication and transportation. </w:t>
      </w:r>
      <w:r>
        <w:sym w:font="Symbol" w:char="F0B7"/>
      </w:r>
      <w:r>
        <w:t xml:space="preserve"> Improving strategies to expand skilled birth attendance at institutional level and at home through continued CSBA training program. </w:t>
      </w:r>
      <w:r>
        <w:sym w:font="Symbol" w:char="F0B7"/>
      </w:r>
      <w:r>
        <w:t xml:space="preserve"> Expanding the maternal voucher scheme and other health protection schemes. </w:t>
      </w:r>
      <w:r>
        <w:sym w:font="Symbol" w:char="F0B7"/>
      </w:r>
      <w:r>
        <w:t xml:space="preserve"> Strengthening the maternal morbidity (Obstetric Fistula, Cervical Cancer, Breast Cancer, Uterine Prolapsed) related treatment, prevention and rehabilitation services with referral mechanism. Building on the current success, efforts will be strengthened to maintain and increase coverage of the immunization program, incorporating vaccines for greater number of diseases with especial focus on low performing areas. The next sector program (during 8FYP) will sustain and expand all the on-going child health and nutrition initiatives with special emphasis on reaching the poorer and disadvantaged children more effectively and through partnering with NGOs following a mapping exercise, where appropriate. Key activities to improve Child Health will include: </w:t>
      </w:r>
      <w:r>
        <w:sym w:font="Symbol" w:char="F0B7"/>
      </w:r>
      <w:r>
        <w:t xml:space="preserve"> Expanding IMCI particularly community based IMCI including child nutrition services. </w:t>
      </w:r>
      <w:r>
        <w:sym w:font="Symbol" w:char="F0B7"/>
      </w:r>
      <w:r>
        <w:t xml:space="preserve"> </w:t>
      </w:r>
      <w:r>
        <w:lastRenderedPageBreak/>
        <w:t xml:space="preserve">Tackling ARI and diarrhea through expansion of IMCI particularly at the community level to cover the whole country with special emphasis on hard to reach areas. </w:t>
      </w:r>
      <w:r>
        <w:sym w:font="Symbol" w:char="F0B7"/>
      </w:r>
      <w:r>
        <w:t xml:space="preserve"> Ensuring growth promotion with counseling on exclusive breast feeding. </w:t>
      </w:r>
      <w:r>
        <w:sym w:font="Symbol" w:char="F0B7"/>
      </w:r>
      <w:r>
        <w:t xml:space="preserve"> Strengthening and sustaining of routine immunization and disease surveillance along with Supplementary Immunization Activities, NID, Measles/ MNT Campaigns etc. </w:t>
      </w:r>
      <w:r>
        <w:sym w:font="Symbol" w:char="F0B7"/>
      </w:r>
      <w:r>
        <w:t xml:space="preserve"> Developing and implementing strategies to prevent childhood injuries including drowning, accidental poisoning and other injuries. 590 </w:t>
      </w:r>
      <w:r>
        <w:sym w:font="Symbol" w:char="F0B7"/>
      </w:r>
      <w:r>
        <w:t xml:space="preserve"> Sustaining and expanding the ongoing School Health Teachers’ Training activities including promotion of healthy school environment and practices, nutrition education etc. </w:t>
      </w:r>
      <w:r>
        <w:sym w:font="Symbol" w:char="F0B7"/>
      </w:r>
      <w:r>
        <w:t xml:space="preserve"> Carrying out appropriate training of the doctors, nurses, paramedics and field and community workers as per need. The National Reproductive Health Strategy and the Adolescent Health Strategy including national standards guide the services to be provided. Based on these strategies, the reproductive and adolescent health improvement related activities will include: </w:t>
      </w:r>
      <w:r>
        <w:sym w:font="Symbol" w:char="F0B7"/>
      </w:r>
      <w:r>
        <w:t xml:space="preserve"> Improving knowledge of women, men and particularly the adolescents, on reproductive health (RTI/ STI, abortion, infertility, etc.) including HIV/AIDS, relevant legal and gender equity issues through the activities of DGHS, DGFP, </w:t>
      </w:r>
      <w:proofErr w:type="spellStart"/>
      <w:r>
        <w:t>MoWCA</w:t>
      </w:r>
      <w:proofErr w:type="spellEnd"/>
      <w:r>
        <w:t xml:space="preserve">, </w:t>
      </w:r>
      <w:proofErr w:type="spellStart"/>
      <w:r>
        <w:t>MoY&amp;S</w:t>
      </w:r>
      <w:proofErr w:type="spellEnd"/>
      <w:r>
        <w:t xml:space="preserve">, </w:t>
      </w:r>
      <w:proofErr w:type="spellStart"/>
      <w:r>
        <w:t>MoE</w:t>
      </w:r>
      <w:proofErr w:type="spellEnd"/>
      <w:r>
        <w:t xml:space="preserve"> and NGOs. </w:t>
      </w:r>
      <w:r>
        <w:sym w:font="Symbol" w:char="F0B7"/>
      </w:r>
      <w:r>
        <w:t xml:space="preserve"> Increasing access to reproductive and adolescent friendly health services through the frontline health personnel and appropriate NGO workers at individual level, school-based </w:t>
      </w:r>
      <w:proofErr w:type="spellStart"/>
      <w:r>
        <w:t>programmes</w:t>
      </w:r>
      <w:proofErr w:type="spellEnd"/>
      <w:r>
        <w:t xml:space="preserve">, CCs, strong social/community mobilization and opening up adolescent corners. </w:t>
      </w:r>
      <w:r>
        <w:sym w:font="Symbol" w:char="F0B7"/>
      </w:r>
      <w:r>
        <w:t xml:space="preserve"> Creating positive change in the behavior and attitude of the protectors of adolescents (parents, guardians, teachers, religious leaders, Peers, etc.) towards adolescent RH issues. </w:t>
      </w:r>
      <w:r>
        <w:sym w:font="Symbol" w:char="F0B7"/>
      </w:r>
      <w:r>
        <w:t xml:space="preserve"> Carrying out appropriate training of service providers of health and community health workers. Diseases Control Program (a) Communicable Disease Control (CDC) Priority Communicable diseases are poverty-related diseases and improvements in overall living conditions and nutrition status, increase in household income, etc. impact on reducing the burden of communicable diseases, including the neglected tropical diseases (NTDs). TB control is an active public health program which will be maintained to reduce all forms of TB prevalence and incidence rates by emphasizing DOTS implementation with effective referral. About 12 million people in 13 districts of the north-eastern border belt and Chittagong Hill Tracts, live in malaria high-risk areas and account for about 98% of malaria cases. For this, further strengthening of diagnostic procedures, RDT and emphasized training of staff will be made during the 8FYP. Bangladesh has low prevalence of HIV, but an increasingly large number of laborers live abroad and therefore risk of spread of HIV is significantly high and requires constant vigilance. For this, the national AIDS/STD program (NASP) will be rolled over to the 8FYP as well with the objective to minimize the impact of the HIV/AIDS epidemic. Leprosy was practically eliminated (prevalence of less than 1 per 10,000 people) nationally in 1998 except in 5 districts. Leprosy elimination target is to be achieved for every district during the 8FYP through training of health care staff, raising awareness among the population, active detection and patient management in pockets of high leprosy prevalence. Bangladesh is among the first four countries (Bangladesh, Bhutan, Nepal and Thailand) in the South-East Asia region to achieve Hepatitis B control, with the disease dropping to less than 1% among under fiveyear-old children. However, control of Hepatitis B &amp; C remains a critical public health concern. Government interventions including establishment of a multi-sectoral approach for activities related to prevention and control; introduction of vaccine to high risk group and establishment of surveillance system for Hepatitis virus infected cases are continuing. During the 8FYP period, prevention and control of 591 Hepatitis B &amp; C related activities will be strengthened and intensified. Control of NTDs such as filariasis, kala-azar, soil transmitted helminths are some of the priority communicable diseases requiring further attention during the 8FYP. Strategies for controlling and eliminating the NTDs will be revisited and updated in collaboration with relevant private sector and NGO actors. Other communicable diseases, </w:t>
      </w:r>
      <w:r>
        <w:lastRenderedPageBreak/>
        <w:t xml:space="preserve">like dengue, chikungunya, avian flu, swine flu, </w:t>
      </w:r>
      <w:proofErr w:type="spellStart"/>
      <w:r>
        <w:t>Nipah</w:t>
      </w:r>
      <w:proofErr w:type="spellEnd"/>
      <w:r>
        <w:t xml:space="preserve"> virus, anthrax, mass psychogenic illness and Hepatitis etc. as emerging and re-emerging diseases will also be addressed. For this, as per the global standard Infection, Prevention and Control Unit (IPCU) is needed to be established. (b) Non-Communicable Disease Control (NCDC) Reduction of morbidity and premature mortality due to the ‘conventional’ NCDs require appropriate actions at all levels and in an integrated manner from primary prevention to treatment and rehabilitation. The government, in partnership with local government bodies and the private sector, will create greater awareness with the assistance of Bureau of Health Education and provide services for the control of unhealthy diet and lifestyle related major NCDs such as cardio-vascular diseases, cancer and diabetes. Existing preventive and curative measures for the NCDs will be further strengthened and expanded to increase access through providing effective number of personnel, training, logistics and funding. Moreover, NCD corners will be established in each UHFWC in phases during the 8FYP period. Eye Care: Studies have shown that 4 to 11% of the Bangladeshis suffer from permanent disability due to blindness. To facilitate prevention, case identification, referral, management, treatment and rehabilitation, the relevant activities need to be integrated with primary health care (PHC) especially through the services of the community clinics. School Sight testing will be included in primary schools and the past emphasis on successful vitamin A administration will be continued. More attention will be given to postnatal vitamin A administration through CC staff, in collaboration with school teachers and senior students as relevant. The National Eye Care Plan will be upgraded and implemented in the 8FYP. Mental and Autism Health Care: Mental health problems are increasing amid changing life styles. COVID-19 has aggravated the situation. In pursuance of the government's strong commitment for adequately addressing the counseling and treatment of mental health, partnerships with the media and NGOs will be developed to raise public awareness about appropriate attitude and behavior towards mental patients. Public sector, NGO/ CBO workers and school and religious teachers, will be trained to identify and counsel substance abuse and mental and emotional cases, provide and follow up simple treatment as feasible, life skill training and refer serious cases to public facility, where treatment facilities will also be expanded. For autism health care development, autism corners and child development centers will be established in medical colleges and </w:t>
      </w:r>
      <w:proofErr w:type="spellStart"/>
      <w:r>
        <w:t>upazila</w:t>
      </w:r>
      <w:proofErr w:type="spellEnd"/>
      <w:r>
        <w:t xml:space="preserve"> and district level hospitals. Genetic testing facilities for autism (in genetic origin) will be developed in every medical college hospital. Elderly and Palliative Care: Life expectancy is gradually increasing and is now 72.6 years and as a result the proportion of elderly people has also been increased. There is a need for reorienting the existing institutional arrangements for health service delivery and to increase investment – both financial and human resources – in developing an appropriate Elderly and Palliative Health Care (EPHC) service system. MoHFW will promote multi-sector collaboration with other ministries (e.g., Ministry of Social Welfare), private sector, NGOs, CSOs, etc. for providing EPHC- friendly health care in the country. During the 8FYP period, awareness building, establishing palliative care units in all medical college hospitals, introducing modern medicines and advance equipment to all medical college 592 hospitals, capacity development of health personnel, etc. steps will be taken up regarding palliative care. Special card for the elderly people to reduce health expenditure in hospitals will be introduced. Capacity of the health workforce regarding handling the geriatric patient will be enhanced. Hearing Disability (Deafness): About 13 million people are suffering from variable degree of hearing loss (HL) in Bangladesh of which 3 million have severe to profound HL and are major but neglected causes of disability. Early detection of impaired hearing and proper management could prevent permanent hearing disability. Early detection at the primary level and management of these cases at the secondary and tertiary level will be initiated for control of hearing </w:t>
      </w:r>
      <w:r>
        <w:lastRenderedPageBreak/>
        <w:t xml:space="preserve">disability (Deafness) during the 8FYP. Oral Health: Lack of knowledge and awareness regarding oral hygiene are the main issues which cause oral diseases to be a public health problem. Preventive approach through mass education and raising awareness will be prioritized. Adoption of proper cleaning procedure of the oral cavity and bringing strict restrictions in bad habits (such as smoking, chewing </w:t>
      </w:r>
      <w:proofErr w:type="spellStart"/>
      <w:r>
        <w:t>paan</w:t>
      </w:r>
      <w:proofErr w:type="spellEnd"/>
      <w:r>
        <w:t xml:space="preserve">, eating excessive sugary food) can reduce most of the common and complicated oral diseases. Oral health awareness should start early in life and this best done both through parent counselling and care and through integration in the school curriculum. Mass media public campaigns are also useful tool for improving public knowledge and awareness. Non-conventional Non-Communicable Diseases Road Safety and Injury Prevention: Approximately 70,000 deaths occur each year due to injury (burning, drowning, acid and accidents at work). Some 40 to 45% of injuries are due to road traffic accidents in urban areas and 54% of them involve pedestrians. Dialogue with the Ministry of Road Transport and </w:t>
      </w:r>
      <w:proofErr w:type="spellStart"/>
      <w:r>
        <w:t>Bridgesfor</w:t>
      </w:r>
      <w:proofErr w:type="spellEnd"/>
      <w:r>
        <w:t xml:space="preserve"> safety policies and regulation, enhance skills of DGHS service providers to handle injury patients, build up awareness of the people on pedestrian safety measures will be emphasized by HSD during 8FYP. Community mobilization will be done in collaboration with urban NGOs and city corporation authorities to keep walkway free of any hindrance which discourage people from using walkways. Violence against Women: Violence against women and girls devastates lives, fractures communities, and stalls development. In collaboration with the Ministry of Women and Children Affairs (</w:t>
      </w:r>
      <w:proofErr w:type="spellStart"/>
      <w:r>
        <w:t>MoWCA</w:t>
      </w:r>
      <w:proofErr w:type="spellEnd"/>
      <w:r>
        <w:t>) and Ministry of Social Welfare (</w:t>
      </w:r>
      <w:proofErr w:type="spellStart"/>
      <w:r>
        <w:t>MoSW</w:t>
      </w:r>
      <w:proofErr w:type="spellEnd"/>
      <w:r>
        <w:t xml:space="preserve">), HSD will carry out expansion and strengthening of the one stop crisis centers to serve the affected women. Besides, all health care providers will be sensitized through relevant </w:t>
      </w:r>
      <w:proofErr w:type="spellStart"/>
      <w:r>
        <w:t>programmes</w:t>
      </w:r>
      <w:proofErr w:type="spellEnd"/>
      <w:r>
        <w:t xml:space="preserve"> to pay special attention and prioritize women violence survivors in all public health facilities. Emergency Preparedness and Response: Based on past experience, during 8FYP the main strategic aims are to increase the level of readiness at all tiers of the health system and improve the capacity of the sector for coordinated post-disaster management. Standard national guidelines for mass casualty management as well as manual for local level health response will be issued and necessary training will be conducted. Occupational Health and Safety: The occupational health and safety services in Bangladesh are inadequate, both in terms of quality and quantity. A major portion of workers in the informal sectors are at risk of developing acute and chronic toxicity due to exposure to toxic pesticides, chemicals and fertilizers, occurrence of occupational diseases and injuries. During 8FYP, HSD will continue its preventive and control measures in collaboration with other relevant ministries (e.g., Ministry of Industries, Ministry of Labor and Employment) to address occupational health hazards, diseases and risks in a cost-effective manner. 593 Tobacco Control and Substance </w:t>
      </w:r>
      <w:proofErr w:type="spellStart"/>
      <w:r>
        <w:t>Abus</w:t>
      </w:r>
      <w:proofErr w:type="spellEnd"/>
    </w:p>
    <w:p w14:paraId="53DDCD6F" w14:textId="7F1EFBAE" w:rsidR="004704F2" w:rsidRDefault="004704F2" w:rsidP="008C6420"/>
    <w:p w14:paraId="62AA32AD" w14:textId="3667096A" w:rsidR="004704F2" w:rsidRDefault="004704F2" w:rsidP="008C6420"/>
    <w:p w14:paraId="29E0F6EF" w14:textId="366DF6FB" w:rsidR="004704F2" w:rsidRDefault="004704F2" w:rsidP="008C6420"/>
    <w:p w14:paraId="33A8D1F4" w14:textId="6E8B3E27" w:rsidR="004704F2" w:rsidRDefault="004704F2" w:rsidP="008C6420"/>
    <w:p w14:paraId="6EDC4711" w14:textId="139F3C68" w:rsidR="004704F2" w:rsidRDefault="004704F2" w:rsidP="008C6420"/>
    <w:p w14:paraId="5EDD248A" w14:textId="64CFBC44" w:rsidR="004704F2" w:rsidRDefault="004704F2" w:rsidP="008C6420"/>
    <w:p w14:paraId="10765965" w14:textId="77777777" w:rsidR="004704F2" w:rsidRDefault="004704F2" w:rsidP="008C6420"/>
    <w:p w14:paraId="47CBD6DB" w14:textId="77777777" w:rsidR="004704F2" w:rsidRDefault="004704F2" w:rsidP="0057303B">
      <w:pPr>
        <w:spacing w:after="0" w:line="240" w:lineRule="auto"/>
        <w:jc w:val="both"/>
      </w:pPr>
      <w:bookmarkStart w:id="1" w:name="_Hlk122442196"/>
    </w:p>
    <w:p w14:paraId="6D00D18F" w14:textId="537440C7" w:rsidR="004704F2" w:rsidRDefault="004704F2" w:rsidP="0057303B">
      <w:pPr>
        <w:spacing w:after="0" w:line="240" w:lineRule="auto"/>
        <w:jc w:val="both"/>
      </w:pPr>
    </w:p>
    <w:p w14:paraId="2DE5E670" w14:textId="14F96303" w:rsidR="004704F2" w:rsidRPr="004704F2" w:rsidRDefault="004704F2" w:rsidP="0057303B">
      <w:pPr>
        <w:spacing w:after="0" w:line="240" w:lineRule="auto"/>
        <w:jc w:val="both"/>
        <w:rPr>
          <w:sz w:val="32"/>
          <w:szCs w:val="32"/>
        </w:rPr>
      </w:pPr>
      <w:r w:rsidRPr="004704F2">
        <w:rPr>
          <w:sz w:val="32"/>
          <w:szCs w:val="32"/>
        </w:rPr>
        <w:lastRenderedPageBreak/>
        <w:t xml:space="preserve">                                        5</w:t>
      </w:r>
      <w:r w:rsidRPr="004704F2">
        <w:rPr>
          <w:sz w:val="32"/>
          <w:szCs w:val="32"/>
          <w:vertAlign w:val="superscript"/>
        </w:rPr>
        <w:t>Th</w:t>
      </w:r>
      <w:r w:rsidRPr="004704F2">
        <w:rPr>
          <w:sz w:val="32"/>
          <w:szCs w:val="32"/>
        </w:rPr>
        <w:t xml:space="preserve"> Five Year Plan.</w:t>
      </w:r>
    </w:p>
    <w:p w14:paraId="39269DE1" w14:textId="77777777" w:rsidR="004704F2" w:rsidRPr="004704F2" w:rsidRDefault="004704F2" w:rsidP="0057303B">
      <w:pPr>
        <w:spacing w:after="0" w:line="240" w:lineRule="auto"/>
        <w:jc w:val="both"/>
        <w:rPr>
          <w:sz w:val="40"/>
          <w:szCs w:val="40"/>
        </w:rPr>
      </w:pPr>
    </w:p>
    <w:p w14:paraId="44BC54BA" w14:textId="5F201635" w:rsidR="008C6420" w:rsidRDefault="008C6420" w:rsidP="0057303B">
      <w:pPr>
        <w:spacing w:after="0" w:line="240" w:lineRule="auto"/>
        <w:jc w:val="both"/>
        <w:rPr>
          <w:sz w:val="24"/>
          <w:szCs w:val="24"/>
        </w:rPr>
      </w:pPr>
      <w:r w:rsidRPr="0057303B">
        <w:rPr>
          <w:sz w:val="24"/>
          <w:szCs w:val="24"/>
        </w:rPr>
        <w:t xml:space="preserve">Vision 2041 envisions a High-income Bangladesh with no poverty and with 584 conditions that allows individuals to reach and maintain the highest attainable level of health. It incorporates appropriate strategies and activities for focused improvements in health service delivery for increasing access to, and quality of care and improving equity along with financial protection in order to meaningfully realize the objectives of universal health coverage (UHC) by 2030. At present, Bangladesh does not have adequate health insurance scheme that has made it very difficult for the poor and lower middle class to finance any health shock. Both issues will be given top priority in the 8FYP. </w:t>
      </w:r>
    </w:p>
    <w:p w14:paraId="6455D2F0" w14:textId="77777777" w:rsidR="0057303B" w:rsidRPr="0057303B" w:rsidRDefault="0057303B" w:rsidP="0057303B">
      <w:pPr>
        <w:spacing w:after="0" w:line="240" w:lineRule="auto"/>
        <w:jc w:val="both"/>
        <w:rPr>
          <w:sz w:val="24"/>
          <w:szCs w:val="24"/>
        </w:rPr>
      </w:pPr>
    </w:p>
    <w:p w14:paraId="080B2CEE" w14:textId="77777777" w:rsidR="008C6420" w:rsidRPr="0057303B" w:rsidRDefault="008C6420" w:rsidP="0057303B">
      <w:pPr>
        <w:spacing w:after="0" w:line="240" w:lineRule="auto"/>
        <w:jc w:val="both"/>
        <w:rPr>
          <w:sz w:val="24"/>
          <w:szCs w:val="24"/>
        </w:rPr>
      </w:pPr>
      <w:r w:rsidRPr="0057303B">
        <w:rPr>
          <w:sz w:val="24"/>
          <w:szCs w:val="24"/>
        </w:rPr>
        <w:t xml:space="preserve">Goal: The goal is to ensure that all citizens enjoy health and well-being by expanding access to quality and equitable health care in a healthy environment. </w:t>
      </w:r>
    </w:p>
    <w:p w14:paraId="2FC75345" w14:textId="77777777" w:rsidR="008C6420" w:rsidRPr="0057303B" w:rsidRDefault="008C6420" w:rsidP="0057303B">
      <w:pPr>
        <w:spacing w:after="0" w:line="240" w:lineRule="auto"/>
        <w:jc w:val="both"/>
        <w:rPr>
          <w:sz w:val="24"/>
          <w:szCs w:val="24"/>
        </w:rPr>
      </w:pPr>
      <w:r w:rsidRPr="0057303B">
        <w:rPr>
          <w:sz w:val="24"/>
          <w:szCs w:val="24"/>
        </w:rPr>
        <w:t>Objective: The main objective is to build on existing achievement to improve equity, quality and efficiency with a view to gradually moving towards UHC and achieving the HPN related SDGs.</w:t>
      </w:r>
    </w:p>
    <w:p w14:paraId="1AF4AB5E" w14:textId="30D8B8E2" w:rsidR="0057303B" w:rsidRPr="0057303B" w:rsidRDefault="008C6420" w:rsidP="0057303B">
      <w:pPr>
        <w:spacing w:after="0" w:line="240" w:lineRule="auto"/>
        <w:jc w:val="both"/>
        <w:rPr>
          <w:sz w:val="24"/>
          <w:szCs w:val="24"/>
        </w:rPr>
      </w:pPr>
      <w:r w:rsidRPr="0057303B">
        <w:rPr>
          <w:sz w:val="24"/>
          <w:szCs w:val="24"/>
        </w:rPr>
        <w:t>Targets: Past and ongoing program</w:t>
      </w:r>
      <w:r w:rsidR="004704F2">
        <w:rPr>
          <w:sz w:val="24"/>
          <w:szCs w:val="24"/>
        </w:rPr>
        <w:t>s</w:t>
      </w:r>
      <w:r w:rsidRPr="0057303B">
        <w:rPr>
          <w:sz w:val="24"/>
          <w:szCs w:val="24"/>
        </w:rPr>
        <w:t xml:space="preserve"> have promoted good health, nutrition while managing population growth. In order to carry on with the progress achieved and address areas of deficiency, some of the specific targets for the HPN sector under the 8FYP are shown in</w:t>
      </w:r>
    </w:p>
    <w:p w14:paraId="7131E283" w14:textId="77777777" w:rsidR="0057303B" w:rsidRDefault="0057303B" w:rsidP="0057303B">
      <w:pPr>
        <w:spacing w:after="0" w:line="240" w:lineRule="auto"/>
        <w:jc w:val="both"/>
        <w:rPr>
          <w:sz w:val="24"/>
          <w:szCs w:val="24"/>
        </w:rPr>
      </w:pPr>
    </w:p>
    <w:p w14:paraId="7A558A0A" w14:textId="12E1882D" w:rsidR="008C6420" w:rsidRPr="0057303B" w:rsidRDefault="008C6420" w:rsidP="0057303B">
      <w:pPr>
        <w:spacing w:after="0" w:line="240" w:lineRule="auto"/>
        <w:jc w:val="both"/>
        <w:rPr>
          <w:sz w:val="24"/>
          <w:szCs w:val="24"/>
        </w:rPr>
      </w:pPr>
      <w:r w:rsidRPr="0057303B">
        <w:rPr>
          <w:sz w:val="24"/>
          <w:szCs w:val="24"/>
        </w:rPr>
        <w:t>Table 10.2: Health, Population and Nutrition Targets for the 8FYP Sl. Indicator Baseline and Source 8FYP Target (2025)</w:t>
      </w:r>
    </w:p>
    <w:p w14:paraId="4A4E8C3F" w14:textId="1040759F" w:rsidR="00A601BD" w:rsidRDefault="008C6420" w:rsidP="0057303B">
      <w:pPr>
        <w:spacing w:after="0" w:line="240" w:lineRule="auto"/>
        <w:jc w:val="both"/>
        <w:rPr>
          <w:sz w:val="24"/>
          <w:szCs w:val="24"/>
        </w:rPr>
      </w:pPr>
      <w:r w:rsidRPr="0057303B">
        <w:rPr>
          <w:sz w:val="24"/>
          <w:szCs w:val="24"/>
        </w:rPr>
        <w:t>1</w:t>
      </w:r>
      <w:r w:rsidR="004704F2">
        <w:rPr>
          <w:sz w:val="24"/>
          <w:szCs w:val="24"/>
        </w:rPr>
        <w:t>.</w:t>
      </w:r>
      <w:r w:rsidRPr="0057303B">
        <w:rPr>
          <w:sz w:val="24"/>
          <w:szCs w:val="24"/>
        </w:rPr>
        <w:t xml:space="preserve">Life expectancy at birth 72.6 (SVRS,2019) 74 </w:t>
      </w:r>
    </w:p>
    <w:p w14:paraId="3F596BDF" w14:textId="6F5F06BA" w:rsidR="008C6420" w:rsidRPr="0057303B" w:rsidRDefault="008C6420" w:rsidP="0057303B">
      <w:pPr>
        <w:spacing w:after="0" w:line="240" w:lineRule="auto"/>
        <w:jc w:val="both"/>
        <w:rPr>
          <w:sz w:val="24"/>
          <w:szCs w:val="24"/>
        </w:rPr>
      </w:pPr>
      <w:r w:rsidRPr="0057303B">
        <w:rPr>
          <w:sz w:val="24"/>
          <w:szCs w:val="24"/>
        </w:rPr>
        <w:t>2</w:t>
      </w:r>
      <w:r w:rsidR="004704F2">
        <w:rPr>
          <w:sz w:val="24"/>
          <w:szCs w:val="24"/>
        </w:rPr>
        <w:t>.</w:t>
      </w:r>
      <w:r w:rsidRPr="0057303B">
        <w:rPr>
          <w:sz w:val="24"/>
          <w:szCs w:val="24"/>
        </w:rPr>
        <w:t xml:space="preserve">Proportion of stunting among under-five children (%) 28% (MICS, 2019) 20% </w:t>
      </w:r>
    </w:p>
    <w:p w14:paraId="648C1563" w14:textId="6364C3D9" w:rsidR="008C6420" w:rsidRPr="0057303B" w:rsidRDefault="008C6420" w:rsidP="0057303B">
      <w:pPr>
        <w:spacing w:after="0" w:line="240" w:lineRule="auto"/>
        <w:jc w:val="both"/>
        <w:rPr>
          <w:sz w:val="24"/>
          <w:szCs w:val="24"/>
        </w:rPr>
      </w:pPr>
      <w:r w:rsidRPr="0057303B">
        <w:rPr>
          <w:sz w:val="24"/>
          <w:szCs w:val="24"/>
        </w:rPr>
        <w:t>3</w:t>
      </w:r>
      <w:r w:rsidR="004704F2">
        <w:rPr>
          <w:sz w:val="24"/>
          <w:szCs w:val="24"/>
        </w:rPr>
        <w:t>.</w:t>
      </w:r>
      <w:r w:rsidRPr="0057303B">
        <w:rPr>
          <w:sz w:val="24"/>
          <w:szCs w:val="24"/>
        </w:rPr>
        <w:t>Prevalence of other aspects of malnutrition among children under five a. proportion of wasting b. proportion of underweight c. proportion of overweight a) Wasting: 9.8% b) Underweight 22.6% c) Over weight: 2.4% (MICS,2019) a) 7% b)15% c) 1%</w:t>
      </w:r>
    </w:p>
    <w:p w14:paraId="6D1D6CD3" w14:textId="55DDA16C" w:rsidR="008C6420" w:rsidRPr="0057303B" w:rsidRDefault="008C6420" w:rsidP="0057303B">
      <w:pPr>
        <w:spacing w:after="0" w:line="240" w:lineRule="auto"/>
        <w:jc w:val="both"/>
        <w:rPr>
          <w:sz w:val="24"/>
          <w:szCs w:val="24"/>
        </w:rPr>
      </w:pPr>
      <w:r w:rsidRPr="0057303B">
        <w:rPr>
          <w:sz w:val="24"/>
          <w:szCs w:val="24"/>
        </w:rPr>
        <w:t>4</w:t>
      </w:r>
      <w:r w:rsidR="004704F2">
        <w:rPr>
          <w:sz w:val="24"/>
          <w:szCs w:val="24"/>
        </w:rPr>
        <w:t>.</w:t>
      </w:r>
      <w:r w:rsidRPr="0057303B">
        <w:rPr>
          <w:sz w:val="24"/>
          <w:szCs w:val="24"/>
        </w:rPr>
        <w:t>Maternal mortality ratio (per 100,000 live births) 165 (SVRS, 2019) 100</w:t>
      </w:r>
    </w:p>
    <w:p w14:paraId="1CE4D024" w14:textId="2C87192D" w:rsidR="008C6420" w:rsidRPr="0057303B" w:rsidRDefault="008C6420" w:rsidP="0057303B">
      <w:pPr>
        <w:spacing w:after="0" w:line="240" w:lineRule="auto"/>
        <w:jc w:val="both"/>
        <w:rPr>
          <w:sz w:val="24"/>
          <w:szCs w:val="24"/>
        </w:rPr>
      </w:pPr>
      <w:r w:rsidRPr="0057303B">
        <w:rPr>
          <w:sz w:val="24"/>
          <w:szCs w:val="24"/>
        </w:rPr>
        <w:t>5</w:t>
      </w:r>
      <w:r w:rsidR="004704F2">
        <w:rPr>
          <w:sz w:val="24"/>
          <w:szCs w:val="24"/>
        </w:rPr>
        <w:t>.</w:t>
      </w:r>
      <w:r w:rsidRPr="0057303B">
        <w:rPr>
          <w:sz w:val="24"/>
          <w:szCs w:val="24"/>
        </w:rPr>
        <w:t>Proportion of births attended by skilled health personnel 59% (MICS, 2019) 72%</w:t>
      </w:r>
    </w:p>
    <w:p w14:paraId="1111C7BA" w14:textId="3764AE7F" w:rsidR="008C6420" w:rsidRPr="0057303B" w:rsidRDefault="008C6420" w:rsidP="0057303B">
      <w:pPr>
        <w:spacing w:after="0" w:line="240" w:lineRule="auto"/>
        <w:jc w:val="both"/>
        <w:rPr>
          <w:sz w:val="24"/>
          <w:szCs w:val="24"/>
        </w:rPr>
      </w:pPr>
      <w:r w:rsidRPr="0057303B">
        <w:rPr>
          <w:sz w:val="24"/>
          <w:szCs w:val="24"/>
        </w:rPr>
        <w:t>6</w:t>
      </w:r>
      <w:r w:rsidR="004704F2">
        <w:rPr>
          <w:sz w:val="24"/>
          <w:szCs w:val="24"/>
        </w:rPr>
        <w:t>.</w:t>
      </w:r>
      <w:r w:rsidRPr="0057303B">
        <w:rPr>
          <w:sz w:val="24"/>
          <w:szCs w:val="24"/>
        </w:rPr>
        <w:t>Neonatal mortality rate (per 1,000 live births) 15 (SVRS,2019) 14</w:t>
      </w:r>
    </w:p>
    <w:p w14:paraId="7227EB75" w14:textId="7DC63177" w:rsidR="008C6420" w:rsidRPr="0057303B" w:rsidRDefault="008C6420" w:rsidP="0057303B">
      <w:pPr>
        <w:spacing w:after="0" w:line="240" w:lineRule="auto"/>
        <w:jc w:val="both"/>
        <w:rPr>
          <w:sz w:val="24"/>
          <w:szCs w:val="24"/>
        </w:rPr>
      </w:pPr>
      <w:r w:rsidRPr="0057303B">
        <w:rPr>
          <w:sz w:val="24"/>
          <w:szCs w:val="24"/>
        </w:rPr>
        <w:t>7</w:t>
      </w:r>
      <w:r w:rsidR="004704F2">
        <w:rPr>
          <w:sz w:val="24"/>
          <w:szCs w:val="24"/>
        </w:rPr>
        <w:t>.</w:t>
      </w:r>
      <w:r w:rsidRPr="0057303B">
        <w:rPr>
          <w:sz w:val="24"/>
          <w:szCs w:val="24"/>
        </w:rPr>
        <w:t>Infant mortality Rate (per 1,000 live births) 21 (SVRS,2019) 18</w:t>
      </w:r>
    </w:p>
    <w:p w14:paraId="0080CCE3" w14:textId="49C3F621" w:rsidR="008C6420" w:rsidRPr="0057303B" w:rsidRDefault="008C6420" w:rsidP="0057303B">
      <w:pPr>
        <w:spacing w:after="0" w:line="240" w:lineRule="auto"/>
        <w:jc w:val="both"/>
        <w:rPr>
          <w:sz w:val="24"/>
          <w:szCs w:val="24"/>
        </w:rPr>
      </w:pPr>
      <w:r w:rsidRPr="0057303B">
        <w:rPr>
          <w:sz w:val="24"/>
          <w:szCs w:val="24"/>
        </w:rPr>
        <w:t>8</w:t>
      </w:r>
      <w:r w:rsidR="00A601BD">
        <w:rPr>
          <w:sz w:val="24"/>
          <w:szCs w:val="24"/>
        </w:rPr>
        <w:t>.</w:t>
      </w:r>
      <w:r w:rsidRPr="0057303B">
        <w:rPr>
          <w:sz w:val="24"/>
          <w:szCs w:val="24"/>
        </w:rPr>
        <w:t xml:space="preserve">Under-five mortality rate (per 1,000 live births) 28 (SVRS, 2019) 27 </w:t>
      </w:r>
    </w:p>
    <w:p w14:paraId="18B0E601" w14:textId="7A6D5D58" w:rsidR="008C6420" w:rsidRPr="0057303B" w:rsidRDefault="008C6420" w:rsidP="0057303B">
      <w:pPr>
        <w:spacing w:after="0" w:line="240" w:lineRule="auto"/>
        <w:jc w:val="both"/>
        <w:rPr>
          <w:sz w:val="24"/>
          <w:szCs w:val="24"/>
        </w:rPr>
      </w:pPr>
      <w:r w:rsidRPr="0057303B">
        <w:rPr>
          <w:sz w:val="24"/>
          <w:szCs w:val="24"/>
        </w:rPr>
        <w:t>9</w:t>
      </w:r>
      <w:r w:rsidR="00A601BD">
        <w:rPr>
          <w:sz w:val="24"/>
          <w:szCs w:val="24"/>
        </w:rPr>
        <w:t>.</w:t>
      </w:r>
      <w:r w:rsidRPr="0057303B">
        <w:rPr>
          <w:sz w:val="24"/>
          <w:szCs w:val="24"/>
        </w:rPr>
        <w:t>Tuberculosis incidence per 100,000 population 221(</w:t>
      </w:r>
      <w:proofErr w:type="gramStart"/>
      <w:r w:rsidRPr="0057303B">
        <w:rPr>
          <w:sz w:val="24"/>
          <w:szCs w:val="24"/>
        </w:rPr>
        <w:t>GlobalTuberculosisReport,WHO</w:t>
      </w:r>
      <w:proofErr w:type="gramEnd"/>
      <w:r w:rsidRPr="0057303B">
        <w:rPr>
          <w:sz w:val="24"/>
          <w:szCs w:val="24"/>
        </w:rPr>
        <w:t>,2019) 112 10</w:t>
      </w:r>
      <w:r w:rsidR="00A601BD">
        <w:rPr>
          <w:sz w:val="24"/>
          <w:szCs w:val="24"/>
        </w:rPr>
        <w:t>.</w:t>
      </w:r>
      <w:r w:rsidRPr="0057303B">
        <w:rPr>
          <w:sz w:val="24"/>
          <w:szCs w:val="24"/>
        </w:rPr>
        <w:t xml:space="preserve">Mortality rate attributed to NCDs (cardiovascular disease, cancer, diabetes or chronic respiratory disease) 21.6% (Health SDG Profile: Bangladesh, WHO,2019) 16.8% </w:t>
      </w:r>
    </w:p>
    <w:p w14:paraId="557476E6" w14:textId="15D96EC5" w:rsidR="008C6420" w:rsidRPr="0057303B" w:rsidRDefault="008C6420" w:rsidP="0057303B">
      <w:pPr>
        <w:spacing w:after="0" w:line="240" w:lineRule="auto"/>
        <w:jc w:val="both"/>
        <w:rPr>
          <w:sz w:val="24"/>
          <w:szCs w:val="24"/>
        </w:rPr>
      </w:pPr>
      <w:r w:rsidRPr="0057303B">
        <w:rPr>
          <w:sz w:val="24"/>
          <w:szCs w:val="24"/>
        </w:rPr>
        <w:t>11</w:t>
      </w:r>
      <w:r w:rsidR="00A601BD">
        <w:rPr>
          <w:sz w:val="24"/>
          <w:szCs w:val="24"/>
        </w:rPr>
        <w:t>.</w:t>
      </w:r>
      <w:r w:rsidRPr="0057303B">
        <w:rPr>
          <w:sz w:val="24"/>
          <w:szCs w:val="24"/>
        </w:rPr>
        <w:t>Proportion of children fully vaccinated by 12 months (%) 86% (BDHS, 2017-2018) 98%</w:t>
      </w:r>
    </w:p>
    <w:p w14:paraId="70023AC8" w14:textId="7C1B98DB" w:rsidR="008C6420" w:rsidRPr="0057303B" w:rsidRDefault="008C6420" w:rsidP="0057303B">
      <w:pPr>
        <w:spacing w:after="0" w:line="240" w:lineRule="auto"/>
        <w:jc w:val="both"/>
        <w:rPr>
          <w:sz w:val="24"/>
          <w:szCs w:val="24"/>
        </w:rPr>
      </w:pPr>
      <w:r w:rsidRPr="0057303B">
        <w:rPr>
          <w:sz w:val="24"/>
          <w:szCs w:val="24"/>
        </w:rPr>
        <w:t>12</w:t>
      </w:r>
      <w:r w:rsidR="00A601BD">
        <w:rPr>
          <w:sz w:val="24"/>
          <w:szCs w:val="24"/>
        </w:rPr>
        <w:t>.</w:t>
      </w:r>
      <w:r w:rsidRPr="0057303B">
        <w:rPr>
          <w:sz w:val="24"/>
          <w:szCs w:val="24"/>
        </w:rPr>
        <w:t xml:space="preserve">Proportion of births in health facilities by wealth quintiles (ratio of lowest and highest quintiles) 1:3 (BDHS, 2017-2018) 1:1.5 </w:t>
      </w:r>
    </w:p>
    <w:p w14:paraId="2095F3B5" w14:textId="303961B6" w:rsidR="008C6420" w:rsidRPr="0057303B" w:rsidRDefault="008C6420" w:rsidP="0057303B">
      <w:pPr>
        <w:spacing w:after="0" w:line="240" w:lineRule="auto"/>
        <w:jc w:val="both"/>
        <w:rPr>
          <w:sz w:val="24"/>
          <w:szCs w:val="24"/>
        </w:rPr>
      </w:pPr>
      <w:r w:rsidRPr="0057303B">
        <w:rPr>
          <w:sz w:val="24"/>
          <w:szCs w:val="24"/>
        </w:rPr>
        <w:t>13</w:t>
      </w:r>
      <w:r w:rsidR="00A601BD">
        <w:rPr>
          <w:sz w:val="24"/>
          <w:szCs w:val="24"/>
        </w:rPr>
        <w:t>.</w:t>
      </w:r>
      <w:r w:rsidRPr="0057303B">
        <w:rPr>
          <w:sz w:val="24"/>
          <w:szCs w:val="24"/>
        </w:rPr>
        <w:t>Total Fertility Rate (TFR) 2.04 (SVRS, 2019) 2.0</w:t>
      </w:r>
    </w:p>
    <w:p w14:paraId="33B333B5" w14:textId="792E3106" w:rsidR="008C6420" w:rsidRPr="0057303B" w:rsidRDefault="008C6420" w:rsidP="0057303B">
      <w:pPr>
        <w:spacing w:after="0" w:line="240" w:lineRule="auto"/>
        <w:jc w:val="both"/>
        <w:rPr>
          <w:sz w:val="24"/>
          <w:szCs w:val="24"/>
        </w:rPr>
      </w:pPr>
      <w:r w:rsidRPr="0057303B">
        <w:rPr>
          <w:sz w:val="24"/>
          <w:szCs w:val="24"/>
        </w:rPr>
        <w:t>14</w:t>
      </w:r>
      <w:r w:rsidR="00A601BD">
        <w:rPr>
          <w:sz w:val="24"/>
          <w:szCs w:val="24"/>
        </w:rPr>
        <w:t>.</w:t>
      </w:r>
      <w:r w:rsidRPr="0057303B">
        <w:rPr>
          <w:sz w:val="24"/>
          <w:szCs w:val="24"/>
        </w:rPr>
        <w:t xml:space="preserve">Contraceptive Prevalence Rate (%) 63.4% (SVRS, 2019) 75% </w:t>
      </w:r>
    </w:p>
    <w:p w14:paraId="7CD36F22" w14:textId="68394C3A" w:rsidR="008C6420" w:rsidRPr="0057303B" w:rsidRDefault="008C6420" w:rsidP="0057303B">
      <w:pPr>
        <w:spacing w:after="0" w:line="240" w:lineRule="auto"/>
        <w:rPr>
          <w:sz w:val="24"/>
          <w:szCs w:val="24"/>
        </w:rPr>
      </w:pPr>
      <w:r w:rsidRPr="0057303B">
        <w:rPr>
          <w:sz w:val="24"/>
          <w:szCs w:val="24"/>
        </w:rPr>
        <w:t>15</w:t>
      </w:r>
      <w:r w:rsidR="00A601BD">
        <w:rPr>
          <w:sz w:val="24"/>
          <w:szCs w:val="24"/>
        </w:rPr>
        <w:t>.R</w:t>
      </w:r>
      <w:r w:rsidRPr="0057303B">
        <w:rPr>
          <w:sz w:val="24"/>
          <w:szCs w:val="24"/>
        </w:rPr>
        <w:t>roportion of women of reproductive age (aged 15-49 years) who have their need for family planning satisfied with modern methods (%) 77.4% (MICS, 2019) 80%</w:t>
      </w:r>
    </w:p>
    <w:p w14:paraId="565B5706" w14:textId="6DBFDE72" w:rsidR="008C6420" w:rsidRPr="0057303B" w:rsidRDefault="008C6420" w:rsidP="0057303B">
      <w:pPr>
        <w:spacing w:after="0" w:line="240" w:lineRule="auto"/>
        <w:rPr>
          <w:sz w:val="24"/>
          <w:szCs w:val="24"/>
        </w:rPr>
      </w:pPr>
      <w:r w:rsidRPr="0057303B">
        <w:rPr>
          <w:sz w:val="24"/>
          <w:szCs w:val="24"/>
        </w:rPr>
        <w:t>16</w:t>
      </w:r>
      <w:r w:rsidR="00A601BD">
        <w:rPr>
          <w:sz w:val="24"/>
          <w:szCs w:val="24"/>
        </w:rPr>
        <w:t>.</w:t>
      </w:r>
      <w:r w:rsidRPr="0057303B">
        <w:rPr>
          <w:sz w:val="24"/>
          <w:szCs w:val="24"/>
        </w:rPr>
        <w:t>Adolescent birth rate 74 (SVRS, 2019) 60</w:t>
      </w:r>
    </w:p>
    <w:bookmarkEnd w:id="1"/>
    <w:p w14:paraId="09DA4162" w14:textId="0ABF1A29" w:rsidR="00B057AB" w:rsidRDefault="00B057AB" w:rsidP="008C6420">
      <w:r>
        <w:t xml:space="preserve">                                                                                             ***</w:t>
      </w:r>
      <w:bookmarkStart w:id="2" w:name="_GoBack"/>
      <w:bookmarkEnd w:id="2"/>
    </w:p>
    <w:p w14:paraId="3D61168A" w14:textId="77777777" w:rsidR="0057303B" w:rsidRDefault="0057303B" w:rsidP="008C6420"/>
    <w:p w14:paraId="3B01BAB0" w14:textId="77777777" w:rsidR="0057303B" w:rsidRDefault="0057303B" w:rsidP="008C6420"/>
    <w:p w14:paraId="29BE97CA" w14:textId="77777777" w:rsidR="0057303B" w:rsidRDefault="0057303B" w:rsidP="008C6420"/>
    <w:p w14:paraId="015A3DD8" w14:textId="77777777" w:rsidR="0057303B" w:rsidRDefault="0057303B" w:rsidP="008C6420"/>
    <w:p w14:paraId="5F57AC4C" w14:textId="77777777" w:rsidR="0057303B" w:rsidRDefault="0057303B" w:rsidP="008C6420"/>
    <w:p w14:paraId="79641910" w14:textId="77777777" w:rsidR="0057303B" w:rsidRDefault="0057303B" w:rsidP="008C6420"/>
    <w:p w14:paraId="71B35EF6" w14:textId="139CF3CF" w:rsidR="005A7989" w:rsidRDefault="008C6420">
      <w:r>
        <w:t xml:space="preserve"> </w:t>
      </w:r>
    </w:p>
    <w:bookmarkEnd w:id="0"/>
    <w:p w14:paraId="350423E9" w14:textId="77777777" w:rsidR="005A7989" w:rsidRDefault="005A7989"/>
    <w:sectPr w:rsidR="005A7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B11"/>
    <w:rsid w:val="000C6EE0"/>
    <w:rsid w:val="004704F2"/>
    <w:rsid w:val="0057303B"/>
    <w:rsid w:val="005A7989"/>
    <w:rsid w:val="008C6420"/>
    <w:rsid w:val="00A601BD"/>
    <w:rsid w:val="00B057AB"/>
    <w:rsid w:val="00D028C1"/>
    <w:rsid w:val="00EB2EA1"/>
    <w:rsid w:val="00ED6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1299C"/>
  <w15:chartTrackingRefBased/>
  <w15:docId w15:val="{54DDB290-BFD9-4BF7-A645-A09BA2D8E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5251</Words>
  <Characters>29935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MD EMDADUL HAQUE</cp:lastModifiedBy>
  <cp:revision>6</cp:revision>
  <dcterms:created xsi:type="dcterms:W3CDTF">2022-06-13T08:44:00Z</dcterms:created>
  <dcterms:modified xsi:type="dcterms:W3CDTF">2022-12-20T10:31:00Z</dcterms:modified>
</cp:coreProperties>
</file>