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95CC1" w14:textId="77777777" w:rsidR="0088168C" w:rsidRPr="0088168C" w:rsidRDefault="0088168C" w:rsidP="0088168C">
      <w:pPr>
        <w:rPr>
          <w:rFonts w:asciiTheme="majorBidi" w:hAnsiTheme="majorBidi" w:cstheme="majorBidi"/>
          <w:sz w:val="24"/>
          <w:szCs w:val="24"/>
        </w:rPr>
      </w:pPr>
      <w:r w:rsidRPr="0088168C">
        <w:rPr>
          <w:rFonts w:asciiTheme="majorBidi" w:hAnsiTheme="majorBidi" w:cstheme="majorBidi"/>
          <w:sz w:val="24"/>
          <w:szCs w:val="24"/>
        </w:rPr>
        <w:t>The Role of GIS in Accurate Comparisons</w:t>
      </w:r>
    </w:p>
    <w:p w14:paraId="410812A2" w14:textId="77777777" w:rsidR="0088168C" w:rsidRPr="0088168C" w:rsidRDefault="0088168C" w:rsidP="0088168C">
      <w:pPr>
        <w:rPr>
          <w:rFonts w:asciiTheme="majorBidi" w:hAnsiTheme="majorBidi" w:cstheme="majorBidi"/>
          <w:sz w:val="24"/>
          <w:szCs w:val="24"/>
        </w:rPr>
      </w:pPr>
      <w:r w:rsidRPr="0088168C">
        <w:rPr>
          <w:rFonts w:asciiTheme="majorBidi" w:hAnsiTheme="majorBidi" w:cstheme="majorBidi"/>
          <w:sz w:val="24"/>
          <w:szCs w:val="24"/>
        </w:rPr>
        <w:t>H3 geospatial indexing was crucial for making fair comparisons across these diverse urban environments. Our work demonstrates how H3 enables:</w:t>
      </w:r>
    </w:p>
    <w:p w14:paraId="6DBFA55E" w14:textId="77777777" w:rsidR="0088168C" w:rsidRPr="0088168C" w:rsidRDefault="0088168C" w:rsidP="0088168C">
      <w:pPr>
        <w:rPr>
          <w:rFonts w:asciiTheme="majorBidi" w:hAnsiTheme="majorBidi" w:cstheme="majorBidi"/>
          <w:sz w:val="24"/>
          <w:szCs w:val="24"/>
        </w:rPr>
      </w:pPr>
      <w:r w:rsidRPr="0088168C">
        <w:rPr>
          <w:rFonts w:asciiTheme="majorBidi" w:hAnsiTheme="majorBidi" w:cstheme="majorBidi"/>
          <w:sz w:val="24"/>
          <w:szCs w:val="24"/>
        </w:rPr>
        <w:t>1) Consistent spatial aggregation across different city structures.</w:t>
      </w:r>
    </w:p>
    <w:p w14:paraId="6C380327" w14:textId="77777777" w:rsidR="0088168C" w:rsidRPr="0088168C" w:rsidRDefault="0088168C" w:rsidP="0088168C">
      <w:pPr>
        <w:rPr>
          <w:rFonts w:asciiTheme="majorBidi" w:hAnsiTheme="majorBidi" w:cstheme="majorBidi"/>
          <w:sz w:val="24"/>
          <w:szCs w:val="24"/>
        </w:rPr>
      </w:pPr>
      <w:r w:rsidRPr="0088168C">
        <w:rPr>
          <w:rFonts w:asciiTheme="majorBidi" w:hAnsiTheme="majorBidi" w:cstheme="majorBidi"/>
          <w:sz w:val="24"/>
          <w:szCs w:val="24"/>
        </w:rPr>
        <w:t>2) Identification of pollution hotspots at equivalent spatial scales.</w:t>
      </w:r>
    </w:p>
    <w:p w14:paraId="3BDDE0AF" w14:textId="77777777" w:rsidR="0088168C" w:rsidRPr="0088168C" w:rsidRDefault="0088168C" w:rsidP="0088168C">
      <w:pPr>
        <w:rPr>
          <w:rFonts w:asciiTheme="majorBidi" w:hAnsiTheme="majorBidi" w:cstheme="majorBidi"/>
          <w:sz w:val="24"/>
          <w:szCs w:val="24"/>
        </w:rPr>
      </w:pPr>
      <w:r w:rsidRPr="0088168C">
        <w:rPr>
          <w:rFonts w:asciiTheme="majorBidi" w:hAnsiTheme="majorBidi" w:cstheme="majorBidi"/>
          <w:sz w:val="24"/>
          <w:szCs w:val="24"/>
        </w:rPr>
        <w:t>3) Integration of point measurements into comparable spatial units.</w:t>
      </w:r>
    </w:p>
    <w:p w14:paraId="4A017A9B" w14:textId="77777777" w:rsidR="0088168C" w:rsidRPr="0088168C" w:rsidRDefault="0088168C" w:rsidP="0088168C">
      <w:pPr>
        <w:rPr>
          <w:rFonts w:asciiTheme="majorBidi" w:hAnsiTheme="majorBidi" w:cstheme="majorBidi"/>
          <w:sz w:val="24"/>
          <w:szCs w:val="24"/>
        </w:rPr>
      </w:pPr>
      <w:r w:rsidRPr="0088168C">
        <w:rPr>
          <w:rFonts w:asciiTheme="majorBidi" w:hAnsiTheme="majorBidi" w:cstheme="majorBidi"/>
          <w:sz w:val="24"/>
          <w:szCs w:val="24"/>
        </w:rPr>
        <w:t>4) Clustering of spatially similar areas across different cities.</w:t>
      </w:r>
    </w:p>
    <w:p w14:paraId="35C96EC4" w14:textId="77777777" w:rsidR="0088168C" w:rsidRPr="0088168C" w:rsidRDefault="0088168C" w:rsidP="0088168C">
      <w:pPr>
        <w:rPr>
          <w:rFonts w:asciiTheme="majorBidi" w:hAnsiTheme="majorBidi" w:cstheme="majorBidi"/>
          <w:sz w:val="24"/>
          <w:szCs w:val="24"/>
        </w:rPr>
      </w:pPr>
      <w:r w:rsidRPr="0088168C">
        <w:rPr>
          <w:rFonts w:asciiTheme="majorBidi" w:hAnsiTheme="majorBidi" w:cstheme="majorBidi"/>
          <w:sz w:val="24"/>
          <w:szCs w:val="24"/>
        </w:rPr>
        <w:t>Without H3 indexing, direct comparisons would be challenging due to different sensor distributions, city layouts, and data collection methodologies. The H3 system provides a standardized spatial framework that enables fair cross-city comparison by ensuring that analyses are conducted on equivalent spatial units regardless of underlying urban structure.</w:t>
      </w:r>
    </w:p>
    <w:p w14:paraId="20DEED46" w14:textId="2F83F1A9" w:rsidR="0088168C" w:rsidRDefault="0088168C" w:rsidP="0088168C">
      <w:pPr>
        <w:rPr>
          <w:rFonts w:asciiTheme="majorBidi" w:hAnsiTheme="majorBidi" w:cstheme="majorBidi"/>
          <w:sz w:val="24"/>
          <w:szCs w:val="24"/>
        </w:rPr>
      </w:pPr>
      <w:r w:rsidRPr="0088168C">
        <w:rPr>
          <w:rFonts w:asciiTheme="majorBidi" w:hAnsiTheme="majorBidi" w:cstheme="majorBidi"/>
          <w:sz w:val="24"/>
          <w:szCs w:val="24"/>
        </w:rPr>
        <w:t>The clustering across cities based on H3 cells reveals pollution patterns that transcend individual city boundaries, suggesting that certain urban environments share pollution characteristics despite geographic separation.</w:t>
      </w:r>
    </w:p>
    <w:p w14:paraId="789A6B7F" w14:textId="490D5E13" w:rsidR="005F6C6A" w:rsidRPr="0088168C" w:rsidRDefault="00323FC3">
      <w:pPr>
        <w:rPr>
          <w:rFonts w:asciiTheme="majorBidi" w:hAnsiTheme="majorBidi" w:cstheme="majorBidi"/>
          <w:sz w:val="24"/>
          <w:szCs w:val="24"/>
        </w:rPr>
      </w:pPr>
      <w:r w:rsidRPr="0088168C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7656D1E" wp14:editId="71E88825">
            <wp:extent cx="5029200" cy="2591466"/>
            <wp:effectExtent l="0" t="0" r="0" b="0"/>
            <wp:docPr id="4" name="Picture 4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with a line and a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C6A" w:rsidRPr="008816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8BC32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107318">
    <w:abstractNumId w:val="8"/>
  </w:num>
  <w:num w:numId="2" w16cid:durableId="2006276807">
    <w:abstractNumId w:val="6"/>
  </w:num>
  <w:num w:numId="3" w16cid:durableId="344867984">
    <w:abstractNumId w:val="5"/>
  </w:num>
  <w:num w:numId="4" w16cid:durableId="1304315302">
    <w:abstractNumId w:val="4"/>
  </w:num>
  <w:num w:numId="5" w16cid:durableId="1892501271">
    <w:abstractNumId w:val="7"/>
  </w:num>
  <w:num w:numId="6" w16cid:durableId="1998613202">
    <w:abstractNumId w:val="3"/>
  </w:num>
  <w:num w:numId="7" w16cid:durableId="954798266">
    <w:abstractNumId w:val="2"/>
  </w:num>
  <w:num w:numId="8" w16cid:durableId="1996454139">
    <w:abstractNumId w:val="1"/>
  </w:num>
  <w:num w:numId="9" w16cid:durableId="155303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8F3"/>
    <w:rsid w:val="0015074B"/>
    <w:rsid w:val="0029639D"/>
    <w:rsid w:val="00323FC3"/>
    <w:rsid w:val="00326F90"/>
    <w:rsid w:val="00555651"/>
    <w:rsid w:val="00594633"/>
    <w:rsid w:val="005F6C6A"/>
    <w:rsid w:val="0088168C"/>
    <w:rsid w:val="00AA1D8D"/>
    <w:rsid w:val="00AE7D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F0A08"/>
  <w14:defaultImageDpi w14:val="300"/>
  <w15:docId w15:val="{F5E645A6-39BF-4AD1-B33F-344E2ABA9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نواف النقبي</cp:lastModifiedBy>
  <cp:revision>4</cp:revision>
  <dcterms:created xsi:type="dcterms:W3CDTF">2025-05-06T14:43:00Z</dcterms:created>
  <dcterms:modified xsi:type="dcterms:W3CDTF">2025-05-06T14:46:00Z</dcterms:modified>
  <cp:category/>
</cp:coreProperties>
</file>