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936D" w14:textId="657CA3B2" w:rsidR="006060C5" w:rsidRDefault="006060C5" w:rsidP="006060C5">
      <w:r w:rsidRPr="006060C5">
        <w:t xml:space="preserve">Our analysis revealed distinct air quality patterns across the three metropolitan areas. Chicago exhibited the highest average PM2.5 concentration at 16.8 µg/m³, exceeding both New York City (13.2 µg/m³) and Boston (9.7 µg/m³). These differences were statistically significant (p ¡ 0.001), suggesting fundamental variations in pollution sources and urban </w:t>
      </w:r>
      <w:r>
        <w:t>dynamics</w:t>
      </w:r>
      <w:r w:rsidRPr="006060C5">
        <w:t xml:space="preserve">. PM10 data, available only for New York City, showed considerable spatial variation with higher concentrations in Manhattan and parts of Brooklyn, likely due to traffic density and construction activities. </w:t>
      </w:r>
    </w:p>
    <w:p w14:paraId="4E41F352" w14:textId="77777777" w:rsidR="006060C5" w:rsidRDefault="006060C5" w:rsidP="006060C5"/>
    <w:p w14:paraId="1CF81C0D" w14:textId="0B2807D2" w:rsidR="006060C5" w:rsidRDefault="006060C5" w:rsidP="006060C5">
      <w:r w:rsidRPr="006060C5">
        <w:t xml:space="preserve">Cluster analysis identified three distinct pollution profiles in each city: low, moderate, and high exposure zones. The high-exposure cluster in Chicago encompassed 28% of the analyzed area, compared to 21% in New York and only 15% in Boston. Interestingly, these high-exposure clusters were not uniformly distributed but showed specific geographic patterns—concentrating along major transportation corridors and industrial zones in all three cities. The regression analysis demonstrated that meteorological factors explained a significant portion of PM2.5 variability, with R² values of 0.43, 0.38, and 0.51 for New York, Boston, and Chicago respectively. Temperature exhibited a positive correlation with PM2.5 levels in all cities, with a stronger effect in summer months. This may be attributed to increased photochemical reactions in warmer conditions, which </w:t>
      </w:r>
      <w:r w:rsidRPr="006060C5">
        <w:t>accel</w:t>
      </w:r>
      <w:r>
        <w:t>e</w:t>
      </w:r>
      <w:r w:rsidRPr="006060C5">
        <w:t>rate</w:t>
      </w:r>
      <w:r w:rsidRPr="006060C5">
        <w:t xml:space="preserve"> secondary aerosol formation. </w:t>
      </w:r>
    </w:p>
    <w:p w14:paraId="6EA0FC60" w14:textId="77777777" w:rsidR="006060C5" w:rsidRDefault="006060C5" w:rsidP="006060C5"/>
    <w:p w14:paraId="0D74628E" w14:textId="0EDADA0A" w:rsidR="006F36B7" w:rsidRDefault="006060C5" w:rsidP="006060C5">
      <w:r w:rsidRPr="006060C5">
        <w:t xml:space="preserve">Humidity showed a more complex relationship, with negative correlations during winter months but positive associations during summer, possibly reflecting seasonal differences in pollution formation </w:t>
      </w:r>
      <w:r w:rsidRPr="006060C5">
        <w:t>mech</w:t>
      </w:r>
      <w:r>
        <w:t>a</w:t>
      </w:r>
      <w:r w:rsidRPr="006060C5">
        <w:t>nisms</w:t>
      </w:r>
    </w:p>
    <w:sectPr w:rsidR="006F36B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C5"/>
    <w:rsid w:val="00104B61"/>
    <w:rsid w:val="002B6B55"/>
    <w:rsid w:val="006060C5"/>
    <w:rsid w:val="006F36B7"/>
    <w:rsid w:val="00A0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C5D8"/>
  <w15:chartTrackingRefBased/>
  <w15:docId w15:val="{D80208FF-8A22-4A23-B6D8-F9E5649E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Al Ali (Senior Programmer)</dc:creator>
  <cp:keywords/>
  <dc:description/>
  <cp:lastModifiedBy>Asma Al Ali (Senior Programmer)</cp:lastModifiedBy>
  <cp:revision>1</cp:revision>
  <dcterms:created xsi:type="dcterms:W3CDTF">2025-05-07T05:41:00Z</dcterms:created>
  <dcterms:modified xsi:type="dcterms:W3CDTF">2025-05-07T05:45:00Z</dcterms:modified>
</cp:coreProperties>
</file>