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46C74" w14:textId="566CFDA0" w:rsidR="009C1062" w:rsidRDefault="00000000">
      <w:pPr>
        <w:pStyle w:val="Heading1"/>
      </w:pPr>
      <w:r>
        <w:t xml:space="preserve"> (Phase Two: Forecast Scenario Analysis, 2023–2025)</w:t>
      </w:r>
    </w:p>
    <w:p w14:paraId="20B16BEB" w14:textId="77777777" w:rsidR="009C1062" w:rsidRDefault="00000000">
      <w:pPr>
        <w:pStyle w:val="Heading2"/>
      </w:pPr>
      <w:r>
        <w:t>Forecasted Pollution Patterns Across the UAE</w:t>
      </w:r>
    </w:p>
    <w:p w14:paraId="5185DEAD" w14:textId="77777777" w:rsidR="009C1062" w:rsidRDefault="00000000">
      <w:r>
        <w:t>In this phase, forecasted mobility data and pollution rasters were integrated to assess air quality trends through 2025. As shown in Figure 1, areas such as Dubai, Abu Dhabi, and Sharjah are expected to remain pollution hotspots under current trajectories.</w:t>
      </w:r>
    </w:p>
    <w:p w14:paraId="17BC778E" w14:textId="77777777" w:rsidR="009C1062" w:rsidRDefault="00000000">
      <w:r>
        <w:rPr>
          <w:noProof/>
        </w:rPr>
        <w:drawing>
          <wp:inline distT="0" distB="0" distL="0" distR="0" wp14:anchorId="6812F9D8" wp14:editId="3B07BE3E">
            <wp:extent cx="4572000" cy="3558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5.png"/>
                    <pic:cNvPicPr/>
                  </pic:nvPicPr>
                  <pic:blipFill>
                    <a:blip r:embed="rId6"/>
                    <a:stretch>
                      <a:fillRect/>
                    </a:stretch>
                  </pic:blipFill>
                  <pic:spPr>
                    <a:xfrm>
                      <a:off x="0" y="0"/>
                      <a:ext cx="4572000" cy="3558502"/>
                    </a:xfrm>
                    <a:prstGeom prst="rect">
                      <a:avLst/>
                    </a:prstGeom>
                  </pic:spPr>
                </pic:pic>
              </a:graphicData>
            </a:graphic>
          </wp:inline>
        </w:drawing>
      </w:r>
    </w:p>
    <w:p w14:paraId="34433ADC" w14:textId="77777777" w:rsidR="009C1062" w:rsidRDefault="00000000">
      <w:r>
        <w:t>Figure 1: Future Vulnerability Zones over UAE (2023–2025), highlighting areas of high projected pollution risk.</w:t>
      </w:r>
    </w:p>
    <w:p w14:paraId="1235CD36" w14:textId="77777777" w:rsidR="009C1062" w:rsidRDefault="00000000">
      <w:r>
        <w:t>Table 1: Datasets Used for Phase Two (Forecast Scenario Analysis, 2023–2025)</w:t>
      </w:r>
    </w:p>
    <w:tbl>
      <w:tblPr>
        <w:tblW w:w="0" w:type="auto"/>
        <w:tblLook w:val="04A0" w:firstRow="1" w:lastRow="0" w:firstColumn="1" w:lastColumn="0" w:noHBand="0" w:noVBand="1"/>
      </w:tblPr>
      <w:tblGrid>
        <w:gridCol w:w="4320"/>
        <w:gridCol w:w="4320"/>
      </w:tblGrid>
      <w:tr w:rsidR="009C1062" w14:paraId="4829B960" w14:textId="77777777">
        <w:tc>
          <w:tcPr>
            <w:tcW w:w="4320" w:type="dxa"/>
          </w:tcPr>
          <w:p w14:paraId="350E4871" w14:textId="77777777" w:rsidR="009C1062" w:rsidRDefault="00000000">
            <w:r>
              <w:t>Dataset</w:t>
            </w:r>
          </w:p>
        </w:tc>
        <w:tc>
          <w:tcPr>
            <w:tcW w:w="4320" w:type="dxa"/>
          </w:tcPr>
          <w:p w14:paraId="7FFDD6E3" w14:textId="77777777" w:rsidR="009C1062" w:rsidRDefault="00000000">
            <w:r>
              <w:t>Features / Variables</w:t>
            </w:r>
          </w:p>
        </w:tc>
      </w:tr>
      <w:tr w:rsidR="009C1062" w14:paraId="2B5431B0" w14:textId="77777777">
        <w:tc>
          <w:tcPr>
            <w:tcW w:w="4320" w:type="dxa"/>
          </w:tcPr>
          <w:p w14:paraId="03B97BE9" w14:textId="77777777" w:rsidR="009C1062" w:rsidRDefault="00000000">
            <w:r>
              <w:t>Ericsson Mobility Forecast</w:t>
            </w:r>
          </w:p>
        </w:tc>
        <w:tc>
          <w:tcPr>
            <w:tcW w:w="4320" w:type="dxa"/>
          </w:tcPr>
          <w:p w14:paraId="7DD3398F" w14:textId="77777777" w:rsidR="009C1062" w:rsidRDefault="00000000">
            <w:r>
              <w:t>Forecasted GB/user/month data for the Middle East and Africa, including UAE</w:t>
            </w:r>
          </w:p>
        </w:tc>
      </w:tr>
      <w:tr w:rsidR="009C1062" w14:paraId="25889497" w14:textId="77777777">
        <w:tc>
          <w:tcPr>
            <w:tcW w:w="4320" w:type="dxa"/>
          </w:tcPr>
          <w:p w14:paraId="580307D3" w14:textId="77777777" w:rsidR="009C1062" w:rsidRDefault="00000000">
            <w:r>
              <w:t>Sentinel-5P Pollution Raster</w:t>
            </w:r>
          </w:p>
        </w:tc>
        <w:tc>
          <w:tcPr>
            <w:tcW w:w="4320" w:type="dxa"/>
          </w:tcPr>
          <w:p w14:paraId="07501028" w14:textId="77777777" w:rsidR="009C1062" w:rsidRDefault="00000000">
            <w:r>
              <w:t>Predicted NO₂ Vertical Column Density, SO₂ Density, Aerosol Index (2023–2025)</w:t>
            </w:r>
          </w:p>
        </w:tc>
      </w:tr>
    </w:tbl>
    <w:p w14:paraId="03B93854" w14:textId="77777777" w:rsidR="009C1062" w:rsidRDefault="00000000">
      <w:pPr>
        <w:pStyle w:val="Heading2"/>
      </w:pPr>
      <w:r>
        <w:lastRenderedPageBreak/>
        <w:t>Prediction Model Accuracy and Residual Behavior</w:t>
      </w:r>
    </w:p>
    <w:p w14:paraId="73B2AF53" w14:textId="77777777" w:rsidR="009C1062" w:rsidRDefault="00000000">
      <w:r>
        <w:t>We applied a Gradient Boosting Regressor to predict future NO₂ levels using forecasted mobility and population data. The model produced strong predictive performance (Test R² = 0.959), with very low error margins. Table 2 summarizes key evaluation metrics.</w:t>
      </w:r>
    </w:p>
    <w:p w14:paraId="28FD07ED" w14:textId="77777777" w:rsidR="009C1062" w:rsidRDefault="00000000">
      <w:r>
        <w:t>Table 2: Prediction Error Summary (Phase Two Model)</w:t>
      </w:r>
    </w:p>
    <w:tbl>
      <w:tblPr>
        <w:tblW w:w="0" w:type="auto"/>
        <w:tblLook w:val="04A0" w:firstRow="1" w:lastRow="0" w:firstColumn="1" w:lastColumn="0" w:noHBand="0" w:noVBand="1"/>
      </w:tblPr>
      <w:tblGrid>
        <w:gridCol w:w="4320"/>
        <w:gridCol w:w="4320"/>
      </w:tblGrid>
      <w:tr w:rsidR="009C1062" w14:paraId="1EED80C0" w14:textId="77777777">
        <w:tc>
          <w:tcPr>
            <w:tcW w:w="4320" w:type="dxa"/>
          </w:tcPr>
          <w:p w14:paraId="0E25E3D8" w14:textId="77777777" w:rsidR="009C1062" w:rsidRDefault="00000000">
            <w:r>
              <w:t>Metric</w:t>
            </w:r>
          </w:p>
        </w:tc>
        <w:tc>
          <w:tcPr>
            <w:tcW w:w="4320" w:type="dxa"/>
          </w:tcPr>
          <w:p w14:paraId="5EA299A7" w14:textId="77777777" w:rsidR="009C1062" w:rsidRDefault="00000000">
            <w:r>
              <w:t>Value</w:t>
            </w:r>
          </w:p>
        </w:tc>
      </w:tr>
      <w:tr w:rsidR="009C1062" w14:paraId="557B158E" w14:textId="77777777">
        <w:tc>
          <w:tcPr>
            <w:tcW w:w="4320" w:type="dxa"/>
          </w:tcPr>
          <w:p w14:paraId="1870FA81" w14:textId="77777777" w:rsidR="009C1062" w:rsidRDefault="00000000">
            <w:r>
              <w:t>Test R²</w:t>
            </w:r>
          </w:p>
        </w:tc>
        <w:tc>
          <w:tcPr>
            <w:tcW w:w="4320" w:type="dxa"/>
          </w:tcPr>
          <w:p w14:paraId="4146D58B" w14:textId="77777777" w:rsidR="009C1062" w:rsidRDefault="00000000">
            <w:r>
              <w:t>0.959</w:t>
            </w:r>
          </w:p>
        </w:tc>
      </w:tr>
      <w:tr w:rsidR="009C1062" w14:paraId="632FB91C" w14:textId="77777777">
        <w:tc>
          <w:tcPr>
            <w:tcW w:w="4320" w:type="dxa"/>
          </w:tcPr>
          <w:p w14:paraId="6DF6BD2D" w14:textId="77777777" w:rsidR="009C1062" w:rsidRDefault="00000000">
            <w:r>
              <w:t>Cross-Validation R²</w:t>
            </w:r>
          </w:p>
        </w:tc>
        <w:tc>
          <w:tcPr>
            <w:tcW w:w="4320" w:type="dxa"/>
          </w:tcPr>
          <w:p w14:paraId="2DC46A53" w14:textId="77777777" w:rsidR="009C1062" w:rsidRDefault="00000000">
            <w:r>
              <w:t>0.966</w:t>
            </w:r>
          </w:p>
        </w:tc>
      </w:tr>
      <w:tr w:rsidR="009C1062" w14:paraId="68B5B476" w14:textId="77777777">
        <w:tc>
          <w:tcPr>
            <w:tcW w:w="4320" w:type="dxa"/>
          </w:tcPr>
          <w:p w14:paraId="38DD4189" w14:textId="77777777" w:rsidR="009C1062" w:rsidRDefault="00000000">
            <w:r>
              <w:t>Mean Absolute Error (MAE)</w:t>
            </w:r>
          </w:p>
        </w:tc>
        <w:tc>
          <w:tcPr>
            <w:tcW w:w="4320" w:type="dxa"/>
          </w:tcPr>
          <w:p w14:paraId="1B2800DC" w14:textId="77777777" w:rsidR="009C1062" w:rsidRDefault="00000000">
            <w:r>
              <w:t>1.0 × 10⁻⁵</w:t>
            </w:r>
          </w:p>
        </w:tc>
      </w:tr>
      <w:tr w:rsidR="009C1062" w14:paraId="6BC52D20" w14:textId="77777777">
        <w:tc>
          <w:tcPr>
            <w:tcW w:w="4320" w:type="dxa"/>
          </w:tcPr>
          <w:p w14:paraId="1DD90A15" w14:textId="77777777" w:rsidR="009C1062" w:rsidRDefault="00000000">
            <w:r>
              <w:t>Root Mean Squared Error (RMSE)</w:t>
            </w:r>
          </w:p>
        </w:tc>
        <w:tc>
          <w:tcPr>
            <w:tcW w:w="4320" w:type="dxa"/>
          </w:tcPr>
          <w:p w14:paraId="2A647ABB" w14:textId="77777777" w:rsidR="009C1062" w:rsidRDefault="00000000">
            <w:r>
              <w:t>1.4 × 10⁻⁵</w:t>
            </w:r>
          </w:p>
        </w:tc>
      </w:tr>
      <w:tr w:rsidR="009C1062" w14:paraId="01A077E6" w14:textId="77777777">
        <w:tc>
          <w:tcPr>
            <w:tcW w:w="4320" w:type="dxa"/>
          </w:tcPr>
          <w:p w14:paraId="066112A0" w14:textId="77777777" w:rsidR="009C1062" w:rsidRDefault="00000000">
            <w:r>
              <w:t>Pixels with Detectable Change</w:t>
            </w:r>
          </w:p>
        </w:tc>
        <w:tc>
          <w:tcPr>
            <w:tcW w:w="4320" w:type="dxa"/>
          </w:tcPr>
          <w:p w14:paraId="55142A1D" w14:textId="77777777" w:rsidR="009C1062" w:rsidRDefault="00000000">
            <w:r>
              <w:t>80,422</w:t>
            </w:r>
          </w:p>
        </w:tc>
      </w:tr>
    </w:tbl>
    <w:p w14:paraId="04247279" w14:textId="77777777" w:rsidR="009C1062" w:rsidRDefault="00000000">
      <w:r>
        <w:rPr>
          <w:noProof/>
        </w:rPr>
        <w:drawing>
          <wp:inline distT="0" distB="0" distL="0" distR="0" wp14:anchorId="331A2425" wp14:editId="0CE96E32">
            <wp:extent cx="4572000" cy="3414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png"/>
                    <pic:cNvPicPr/>
                  </pic:nvPicPr>
                  <pic:blipFill>
                    <a:blip r:embed="rId7"/>
                    <a:stretch>
                      <a:fillRect/>
                    </a:stretch>
                  </pic:blipFill>
                  <pic:spPr>
                    <a:xfrm>
                      <a:off x="0" y="0"/>
                      <a:ext cx="4572000" cy="3414532"/>
                    </a:xfrm>
                    <a:prstGeom prst="rect">
                      <a:avLst/>
                    </a:prstGeom>
                  </pic:spPr>
                </pic:pic>
              </a:graphicData>
            </a:graphic>
          </wp:inline>
        </w:drawing>
      </w:r>
    </w:p>
    <w:p w14:paraId="05483D1D" w14:textId="77777777" w:rsidR="009C1062" w:rsidRDefault="00000000">
      <w:r>
        <w:t>Figure 2: Predicted vs. Sampled Pollution (Phase 2).</w:t>
      </w:r>
    </w:p>
    <w:p w14:paraId="3F5D4682" w14:textId="77777777" w:rsidR="009C1062" w:rsidRDefault="00000000">
      <w:r>
        <w:rPr>
          <w:noProof/>
        </w:rPr>
        <w:lastRenderedPageBreak/>
        <w:drawing>
          <wp:inline distT="0" distB="0" distL="0" distR="0" wp14:anchorId="723523F7" wp14:editId="7BB1B695">
            <wp:extent cx="4572000" cy="3414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2.png"/>
                    <pic:cNvPicPr/>
                  </pic:nvPicPr>
                  <pic:blipFill>
                    <a:blip r:embed="rId8"/>
                    <a:stretch>
                      <a:fillRect/>
                    </a:stretch>
                  </pic:blipFill>
                  <pic:spPr>
                    <a:xfrm>
                      <a:off x="0" y="0"/>
                      <a:ext cx="4572000" cy="3414532"/>
                    </a:xfrm>
                    <a:prstGeom prst="rect">
                      <a:avLst/>
                    </a:prstGeom>
                  </pic:spPr>
                </pic:pic>
              </a:graphicData>
            </a:graphic>
          </wp:inline>
        </w:drawing>
      </w:r>
    </w:p>
    <w:p w14:paraId="7866B790" w14:textId="77777777" w:rsidR="009C1062" w:rsidRDefault="00000000">
      <w:r>
        <w:t>Figure 3: Standardized Residuals vs. Sampled Pollution.</w:t>
      </w:r>
    </w:p>
    <w:p w14:paraId="179CF8BD" w14:textId="77777777" w:rsidR="009C1062" w:rsidRDefault="00000000">
      <w:r>
        <w:rPr>
          <w:noProof/>
        </w:rPr>
        <w:drawing>
          <wp:inline distT="0" distB="0" distL="0" distR="0" wp14:anchorId="6BB67C12" wp14:editId="52C2A7D0">
            <wp:extent cx="4572000" cy="3414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3.png"/>
                    <pic:cNvPicPr/>
                  </pic:nvPicPr>
                  <pic:blipFill>
                    <a:blip r:embed="rId9"/>
                    <a:stretch>
                      <a:fillRect/>
                    </a:stretch>
                  </pic:blipFill>
                  <pic:spPr>
                    <a:xfrm>
                      <a:off x="0" y="0"/>
                      <a:ext cx="4572000" cy="3414532"/>
                    </a:xfrm>
                    <a:prstGeom prst="rect">
                      <a:avLst/>
                    </a:prstGeom>
                  </pic:spPr>
                </pic:pic>
              </a:graphicData>
            </a:graphic>
          </wp:inline>
        </w:drawing>
      </w:r>
    </w:p>
    <w:p w14:paraId="7BFF3403" w14:textId="77777777" w:rsidR="009C1062" w:rsidRDefault="00000000">
      <w:r>
        <w:t>Figure 4: Distribution of Prediction Errors (Phase 2).</w:t>
      </w:r>
    </w:p>
    <w:p w14:paraId="087B50A1" w14:textId="77777777" w:rsidR="009C1062" w:rsidRDefault="00000000">
      <w:r>
        <w:rPr>
          <w:noProof/>
        </w:rPr>
        <w:lastRenderedPageBreak/>
        <w:drawing>
          <wp:inline distT="0" distB="0" distL="0" distR="0" wp14:anchorId="10ACB859" wp14:editId="4D28E361">
            <wp:extent cx="4572000" cy="31897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4.png"/>
                    <pic:cNvPicPr/>
                  </pic:nvPicPr>
                  <pic:blipFill>
                    <a:blip r:embed="rId10"/>
                    <a:stretch>
                      <a:fillRect/>
                    </a:stretch>
                  </pic:blipFill>
                  <pic:spPr>
                    <a:xfrm>
                      <a:off x="0" y="0"/>
                      <a:ext cx="4572000" cy="3189767"/>
                    </a:xfrm>
                    <a:prstGeom prst="rect">
                      <a:avLst/>
                    </a:prstGeom>
                  </pic:spPr>
                </pic:pic>
              </a:graphicData>
            </a:graphic>
          </wp:inline>
        </w:drawing>
      </w:r>
    </w:p>
    <w:p w14:paraId="7DD0D56D" w14:textId="77777777" w:rsidR="009C1062" w:rsidRDefault="00000000">
      <w:r>
        <w:t>Figure 5: Distribution of Prediction Errors with ±1σ and ±2σ Bands.</w:t>
      </w:r>
    </w:p>
    <w:p w14:paraId="4F98A57E" w14:textId="77777777" w:rsidR="009C1062" w:rsidRDefault="00000000">
      <w:pPr>
        <w:pStyle w:val="Heading2"/>
      </w:pPr>
      <w:r>
        <w:t>Zones of Concern and Policy Implications</w:t>
      </w:r>
    </w:p>
    <w:p w14:paraId="2E11A605" w14:textId="77777777" w:rsidR="009C1062" w:rsidRDefault="00000000">
      <w:r>
        <w:t>A few geohash zones are expected to breach the WHO NO₂ limit of 40 µg/m³. These critical zones are listed in Table 3.</w:t>
      </w:r>
    </w:p>
    <w:p w14:paraId="761AE016" w14:textId="77777777" w:rsidR="009C1062" w:rsidRDefault="00000000">
      <w:r>
        <w:t>Table 3: Urban Zones Exceeding WHO NO₂ Limit (40 µg/m³)</w:t>
      </w:r>
    </w:p>
    <w:tbl>
      <w:tblPr>
        <w:tblW w:w="0" w:type="auto"/>
        <w:tblLook w:val="04A0" w:firstRow="1" w:lastRow="0" w:firstColumn="1" w:lastColumn="0" w:noHBand="0" w:noVBand="1"/>
      </w:tblPr>
      <w:tblGrid>
        <w:gridCol w:w="2880"/>
        <w:gridCol w:w="2880"/>
        <w:gridCol w:w="2880"/>
      </w:tblGrid>
      <w:tr w:rsidR="009C1062" w14:paraId="39518622" w14:textId="77777777">
        <w:tc>
          <w:tcPr>
            <w:tcW w:w="2880" w:type="dxa"/>
          </w:tcPr>
          <w:p w14:paraId="001396C5" w14:textId="77777777" w:rsidR="009C1062" w:rsidRDefault="00000000">
            <w:r>
              <w:t>Geohash</w:t>
            </w:r>
          </w:p>
        </w:tc>
        <w:tc>
          <w:tcPr>
            <w:tcW w:w="2880" w:type="dxa"/>
          </w:tcPr>
          <w:p w14:paraId="0A8BB0E7" w14:textId="77777777" w:rsidR="009C1062" w:rsidRDefault="00000000">
            <w:r>
              <w:t>NO₂ (µg/m³)</w:t>
            </w:r>
          </w:p>
        </w:tc>
        <w:tc>
          <w:tcPr>
            <w:tcW w:w="2880" w:type="dxa"/>
          </w:tcPr>
          <w:p w14:paraId="2C0E3D47" w14:textId="77777777" w:rsidR="009C1062" w:rsidRDefault="00000000">
            <w:r>
              <w:t>Mobility Score (%)</w:t>
            </w:r>
          </w:p>
        </w:tc>
      </w:tr>
      <w:tr w:rsidR="009C1062" w14:paraId="7839E7A6" w14:textId="77777777">
        <w:tc>
          <w:tcPr>
            <w:tcW w:w="2880" w:type="dxa"/>
          </w:tcPr>
          <w:p w14:paraId="079396A4" w14:textId="77777777" w:rsidR="009C1062" w:rsidRDefault="00000000">
            <w:r>
              <w:t>thqem</w:t>
            </w:r>
          </w:p>
        </w:tc>
        <w:tc>
          <w:tcPr>
            <w:tcW w:w="2880" w:type="dxa"/>
          </w:tcPr>
          <w:p w14:paraId="4406CA00" w14:textId="77777777" w:rsidR="009C1062" w:rsidRDefault="00000000">
            <w:r>
              <w:t>40.40</w:t>
            </w:r>
          </w:p>
        </w:tc>
        <w:tc>
          <w:tcPr>
            <w:tcW w:w="2880" w:type="dxa"/>
          </w:tcPr>
          <w:p w14:paraId="53803339" w14:textId="77777777" w:rsidR="009C1062" w:rsidRDefault="00000000">
            <w:r>
              <w:t>-18.93</w:t>
            </w:r>
          </w:p>
        </w:tc>
      </w:tr>
      <w:tr w:rsidR="009C1062" w14:paraId="143730CF" w14:textId="77777777">
        <w:tc>
          <w:tcPr>
            <w:tcW w:w="2880" w:type="dxa"/>
          </w:tcPr>
          <w:p w14:paraId="6078B241" w14:textId="77777777" w:rsidR="009C1062" w:rsidRDefault="00000000">
            <w:r>
              <w:t>thqf4</w:t>
            </w:r>
          </w:p>
        </w:tc>
        <w:tc>
          <w:tcPr>
            <w:tcW w:w="2880" w:type="dxa"/>
          </w:tcPr>
          <w:p w14:paraId="115B577C" w14:textId="77777777" w:rsidR="009C1062" w:rsidRDefault="00000000">
            <w:r>
              <w:t>76.80</w:t>
            </w:r>
          </w:p>
        </w:tc>
        <w:tc>
          <w:tcPr>
            <w:tcW w:w="2880" w:type="dxa"/>
          </w:tcPr>
          <w:p w14:paraId="7837EACA" w14:textId="77777777" w:rsidR="009C1062" w:rsidRDefault="00000000">
            <w:r>
              <w:t>+12.10</w:t>
            </w:r>
          </w:p>
        </w:tc>
      </w:tr>
      <w:tr w:rsidR="009C1062" w14:paraId="514FAA30" w14:textId="77777777">
        <w:tc>
          <w:tcPr>
            <w:tcW w:w="2880" w:type="dxa"/>
          </w:tcPr>
          <w:p w14:paraId="24583E8E" w14:textId="77777777" w:rsidR="009C1062" w:rsidRDefault="00000000">
            <w:r>
              <w:t>thqf8</w:t>
            </w:r>
          </w:p>
        </w:tc>
        <w:tc>
          <w:tcPr>
            <w:tcW w:w="2880" w:type="dxa"/>
          </w:tcPr>
          <w:p w14:paraId="6864A0C1" w14:textId="77777777" w:rsidR="009C1062" w:rsidRDefault="00000000">
            <w:r>
              <w:t>45.15</w:t>
            </w:r>
          </w:p>
        </w:tc>
        <w:tc>
          <w:tcPr>
            <w:tcW w:w="2880" w:type="dxa"/>
          </w:tcPr>
          <w:p w14:paraId="7777FDC7" w14:textId="77777777" w:rsidR="009C1062" w:rsidRDefault="00000000">
            <w:r>
              <w:t>-27.53</w:t>
            </w:r>
          </w:p>
        </w:tc>
      </w:tr>
    </w:tbl>
    <w:p w14:paraId="7840C6AE" w14:textId="77777777" w:rsidR="00027198" w:rsidRDefault="00027198"/>
    <w:sectPr w:rsidR="000271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7300669">
    <w:abstractNumId w:val="8"/>
  </w:num>
  <w:num w:numId="2" w16cid:durableId="1752703218">
    <w:abstractNumId w:val="6"/>
  </w:num>
  <w:num w:numId="3" w16cid:durableId="146751121">
    <w:abstractNumId w:val="5"/>
  </w:num>
  <w:num w:numId="4" w16cid:durableId="1723673797">
    <w:abstractNumId w:val="4"/>
  </w:num>
  <w:num w:numId="5" w16cid:durableId="730077937">
    <w:abstractNumId w:val="7"/>
  </w:num>
  <w:num w:numId="6" w16cid:durableId="1802528030">
    <w:abstractNumId w:val="3"/>
  </w:num>
  <w:num w:numId="7" w16cid:durableId="1766002563">
    <w:abstractNumId w:val="2"/>
  </w:num>
  <w:num w:numId="8" w16cid:durableId="421877754">
    <w:abstractNumId w:val="1"/>
  </w:num>
  <w:num w:numId="9" w16cid:durableId="67673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198"/>
    <w:rsid w:val="00034616"/>
    <w:rsid w:val="0006063C"/>
    <w:rsid w:val="0015074B"/>
    <w:rsid w:val="0029639D"/>
    <w:rsid w:val="00326F90"/>
    <w:rsid w:val="009C1062"/>
    <w:rsid w:val="00AA1D8D"/>
    <w:rsid w:val="00B47730"/>
    <w:rsid w:val="00BA7B41"/>
    <w:rsid w:val="00CB0664"/>
    <w:rsid w:val="00D170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09C72"/>
  <w14:defaultImageDpi w14:val="300"/>
  <w15:docId w15:val="{FF0A7901-07B4-D047-AE15-7589895B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Hawra Mohammed</cp:lastModifiedBy>
  <cp:revision>2</cp:revision>
  <dcterms:created xsi:type="dcterms:W3CDTF">2013-12-23T23:15:00Z</dcterms:created>
  <dcterms:modified xsi:type="dcterms:W3CDTF">2025-05-06T18:41:00Z</dcterms:modified>
  <cp:category/>
</cp:coreProperties>
</file>