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2BD465" w14:textId="7A66B27D" w:rsidR="0053260B" w:rsidRPr="00791455" w:rsidRDefault="006068D4" w:rsidP="00791455">
      <w:pPr>
        <w:jc w:val="center"/>
        <w:rPr>
          <w:rFonts w:asciiTheme="majorBidi" w:hAnsiTheme="majorBidi" w:cstheme="majorBidi"/>
          <w:sz w:val="40"/>
          <w:szCs w:val="40"/>
        </w:rPr>
      </w:pPr>
      <w:r w:rsidRPr="00791455">
        <w:rPr>
          <w:rFonts w:asciiTheme="majorBidi" w:hAnsiTheme="majorBidi" w:cstheme="majorBidi"/>
          <w:sz w:val="40"/>
          <w:szCs w:val="40"/>
        </w:rPr>
        <w:t>Urban Mobility and Air Quality in UAE Cities: A Satellite-Based Spatiotemporal Comparative Study</w:t>
      </w:r>
    </w:p>
    <w:p w14:paraId="092AAAC6" w14:textId="77777777" w:rsidR="006068D4" w:rsidRPr="00376DFA" w:rsidRDefault="006068D4" w:rsidP="006068D4">
      <w:pPr>
        <w:rPr>
          <w:rFonts w:asciiTheme="majorBidi" w:hAnsiTheme="majorBidi" w:cstheme="majorBidi"/>
          <w:b/>
          <w:bCs/>
        </w:rPr>
      </w:pPr>
    </w:p>
    <w:p w14:paraId="75C95B29" w14:textId="46781E2E" w:rsidR="006068D4" w:rsidRPr="00376DFA" w:rsidRDefault="006068D4" w:rsidP="006068D4">
      <w:pPr>
        <w:rPr>
          <w:rFonts w:asciiTheme="majorBidi" w:hAnsiTheme="majorBidi" w:cstheme="majorBidi"/>
          <w:b/>
          <w:bCs/>
          <w:sz w:val="32"/>
          <w:szCs w:val="32"/>
        </w:rPr>
      </w:pPr>
      <w:r w:rsidRPr="00376DFA">
        <w:rPr>
          <w:rFonts w:asciiTheme="majorBidi" w:hAnsiTheme="majorBidi" w:cstheme="majorBidi"/>
          <w:b/>
          <w:bCs/>
          <w:sz w:val="32"/>
          <w:szCs w:val="32"/>
        </w:rPr>
        <w:t>Abstract</w:t>
      </w:r>
    </w:p>
    <w:p w14:paraId="11A9EE93" w14:textId="77777777" w:rsidR="00316918" w:rsidRDefault="00316918" w:rsidP="006068D4">
      <w:pPr>
        <w:rPr>
          <w:rFonts w:asciiTheme="majorBidi" w:hAnsiTheme="majorBidi" w:cstheme="majorBidi"/>
          <w:sz w:val="24"/>
          <w:szCs w:val="24"/>
        </w:rPr>
      </w:pPr>
    </w:p>
    <w:p w14:paraId="01DACCD0" w14:textId="77777777" w:rsidR="00316918" w:rsidRDefault="00316918" w:rsidP="006068D4">
      <w:pPr>
        <w:rPr>
          <w:rFonts w:asciiTheme="majorBidi" w:hAnsiTheme="majorBidi" w:cstheme="majorBidi"/>
          <w:sz w:val="24"/>
          <w:szCs w:val="24"/>
        </w:rPr>
      </w:pPr>
    </w:p>
    <w:p w14:paraId="3B2E2590" w14:textId="3F3225A4" w:rsidR="006068D4" w:rsidRPr="00791455" w:rsidRDefault="006068D4" w:rsidP="006068D4">
      <w:pPr>
        <w:rPr>
          <w:rFonts w:asciiTheme="majorBidi" w:hAnsiTheme="majorBidi" w:cstheme="majorBidi"/>
          <w:b/>
          <w:bCs/>
          <w:sz w:val="24"/>
          <w:szCs w:val="24"/>
        </w:rPr>
      </w:pPr>
      <w:r w:rsidRPr="00791455">
        <w:rPr>
          <w:rFonts w:asciiTheme="majorBidi" w:hAnsiTheme="majorBidi" w:cstheme="majorBidi"/>
          <w:b/>
          <w:bCs/>
          <w:sz w:val="24"/>
          <w:szCs w:val="24"/>
        </w:rPr>
        <w:t>Keywords</w:t>
      </w:r>
    </w:p>
    <w:p w14:paraId="7463C8D2" w14:textId="25947C25" w:rsidR="006068D4" w:rsidRPr="00376DFA" w:rsidRDefault="006068D4" w:rsidP="006068D4">
      <w:pPr>
        <w:rPr>
          <w:rFonts w:asciiTheme="majorBidi" w:hAnsiTheme="majorBidi" w:cstheme="majorBidi"/>
        </w:rPr>
      </w:pPr>
      <w:r w:rsidRPr="00376DFA">
        <w:rPr>
          <w:rFonts w:asciiTheme="majorBidi" w:hAnsiTheme="majorBidi" w:cstheme="majorBidi"/>
        </w:rPr>
        <w:t xml:space="preserve">Air Quality, Urban Mobility, Sentinel-5P, Spatial Analysis, UAE, Geohash, Pollution Forecast, Clustering, Regression </w:t>
      </w:r>
      <w:r w:rsidR="00C14340" w:rsidRPr="00376DFA">
        <w:rPr>
          <w:rFonts w:asciiTheme="majorBidi" w:hAnsiTheme="majorBidi" w:cstheme="majorBidi"/>
        </w:rPr>
        <w:t>Modelling</w:t>
      </w:r>
    </w:p>
    <w:p w14:paraId="03C5D639" w14:textId="41DBFEA7" w:rsidR="006068D4" w:rsidRPr="00791455" w:rsidRDefault="006068D4" w:rsidP="00376DFA">
      <w:pPr>
        <w:pStyle w:val="Heading1"/>
        <w:numPr>
          <w:ilvl w:val="0"/>
          <w:numId w:val="12"/>
        </w:numPr>
        <w:rPr>
          <w:rFonts w:asciiTheme="majorBidi" w:hAnsiTheme="majorBidi"/>
          <w:b/>
          <w:bCs/>
          <w:color w:val="auto"/>
          <w:sz w:val="32"/>
          <w:szCs w:val="32"/>
        </w:rPr>
      </w:pPr>
      <w:r w:rsidRPr="00791455">
        <w:rPr>
          <w:rFonts w:asciiTheme="majorBidi" w:hAnsiTheme="majorBidi"/>
          <w:b/>
          <w:bCs/>
          <w:color w:val="auto"/>
          <w:sz w:val="32"/>
          <w:szCs w:val="32"/>
        </w:rPr>
        <w:t>Introduction</w:t>
      </w:r>
    </w:p>
    <w:p w14:paraId="6A844EE9" w14:textId="7953E83E" w:rsidR="006068D4" w:rsidRPr="00791455" w:rsidRDefault="00C5348C" w:rsidP="00C5348C">
      <w:pPr>
        <w:jc w:val="both"/>
        <w:rPr>
          <w:rFonts w:asciiTheme="majorBidi" w:hAnsiTheme="majorBidi" w:cstheme="majorBidi"/>
          <w:sz w:val="24"/>
          <w:szCs w:val="24"/>
        </w:rPr>
      </w:pPr>
      <w:r>
        <w:rPr>
          <w:rFonts w:asciiTheme="majorBidi" w:hAnsiTheme="majorBidi" w:cstheme="majorBidi"/>
          <w:sz w:val="24"/>
          <w:szCs w:val="24"/>
        </w:rPr>
        <w:t xml:space="preserve">     </w:t>
      </w:r>
    </w:p>
    <w:p w14:paraId="46EB96D1" w14:textId="0487E9A5" w:rsidR="006068D4" w:rsidRPr="00791455" w:rsidRDefault="006068D4" w:rsidP="00376DFA">
      <w:pPr>
        <w:pStyle w:val="Heading1"/>
        <w:numPr>
          <w:ilvl w:val="0"/>
          <w:numId w:val="12"/>
        </w:numPr>
        <w:rPr>
          <w:rFonts w:asciiTheme="majorBidi" w:hAnsiTheme="majorBidi"/>
          <w:b/>
          <w:bCs/>
          <w:color w:val="auto"/>
          <w:sz w:val="32"/>
          <w:szCs w:val="32"/>
        </w:rPr>
      </w:pPr>
      <w:r w:rsidRPr="00791455">
        <w:rPr>
          <w:rFonts w:asciiTheme="majorBidi" w:hAnsiTheme="majorBidi"/>
          <w:b/>
          <w:bCs/>
          <w:color w:val="auto"/>
          <w:sz w:val="32"/>
          <w:szCs w:val="32"/>
        </w:rPr>
        <w:t>Related Work</w:t>
      </w:r>
    </w:p>
    <w:p w14:paraId="1089FDFF" w14:textId="6DB64E24" w:rsidR="00C5348C" w:rsidRPr="00C5348C" w:rsidRDefault="00C5348C" w:rsidP="00C5348C">
      <w:pPr>
        <w:jc w:val="both"/>
        <w:rPr>
          <w:rFonts w:asciiTheme="majorBidi" w:hAnsiTheme="majorBidi" w:cstheme="majorBidi"/>
          <w:color w:val="FF0000"/>
        </w:rPr>
      </w:pPr>
      <w:r>
        <w:rPr>
          <w:rFonts w:asciiTheme="majorBidi" w:hAnsiTheme="majorBidi" w:cstheme="majorBidi"/>
          <w:color w:val="FF0000"/>
        </w:rPr>
        <w:t xml:space="preserve"> </w:t>
      </w:r>
    </w:p>
    <w:p w14:paraId="76182041" w14:textId="2E026CBC" w:rsidR="006068D4" w:rsidRPr="00791455" w:rsidRDefault="006068D4" w:rsidP="00376DFA">
      <w:pPr>
        <w:pStyle w:val="Heading1"/>
        <w:numPr>
          <w:ilvl w:val="0"/>
          <w:numId w:val="12"/>
        </w:numPr>
        <w:rPr>
          <w:rFonts w:asciiTheme="majorBidi" w:hAnsiTheme="majorBidi"/>
          <w:b/>
          <w:bCs/>
          <w:color w:val="auto"/>
          <w:sz w:val="32"/>
          <w:szCs w:val="32"/>
        </w:rPr>
      </w:pPr>
      <w:r w:rsidRPr="00791455">
        <w:rPr>
          <w:rFonts w:asciiTheme="majorBidi" w:hAnsiTheme="majorBidi"/>
          <w:b/>
          <w:bCs/>
          <w:color w:val="auto"/>
          <w:sz w:val="32"/>
          <w:szCs w:val="32"/>
        </w:rPr>
        <w:t>Methodology</w:t>
      </w:r>
    </w:p>
    <w:p w14:paraId="1CDF169A" w14:textId="77777777" w:rsidR="00493781" w:rsidRPr="00376DFA" w:rsidRDefault="00493781" w:rsidP="00493781">
      <w:pPr>
        <w:ind w:left="1440"/>
        <w:rPr>
          <w:rFonts w:asciiTheme="majorBidi" w:hAnsiTheme="majorBidi" w:cstheme="majorBidi"/>
        </w:rPr>
      </w:pPr>
    </w:p>
    <w:p w14:paraId="0132575D" w14:textId="0777F73C" w:rsidR="006068D4" w:rsidRPr="00791455" w:rsidRDefault="006068D4" w:rsidP="00791455">
      <w:pPr>
        <w:pStyle w:val="Heading1"/>
        <w:numPr>
          <w:ilvl w:val="0"/>
          <w:numId w:val="12"/>
        </w:numPr>
        <w:rPr>
          <w:rFonts w:asciiTheme="majorBidi" w:hAnsiTheme="majorBidi"/>
          <w:b/>
          <w:bCs/>
          <w:color w:val="auto"/>
          <w:sz w:val="32"/>
          <w:szCs w:val="32"/>
        </w:rPr>
      </w:pPr>
      <w:r w:rsidRPr="00791455">
        <w:rPr>
          <w:rFonts w:asciiTheme="majorBidi" w:hAnsiTheme="majorBidi"/>
          <w:b/>
          <w:bCs/>
          <w:color w:val="auto"/>
          <w:sz w:val="32"/>
          <w:szCs w:val="32"/>
        </w:rPr>
        <w:t>Results and Discussion</w:t>
      </w:r>
    </w:p>
    <w:p w14:paraId="7964B710" w14:textId="7B80F5FA" w:rsidR="00376DFA" w:rsidRPr="008D46A3" w:rsidRDefault="00376DFA" w:rsidP="00791455">
      <w:pPr>
        <w:pStyle w:val="Heading2"/>
        <w:numPr>
          <w:ilvl w:val="1"/>
          <w:numId w:val="15"/>
        </w:numPr>
        <w:rPr>
          <w:rFonts w:asciiTheme="majorBidi" w:hAnsiTheme="majorBidi"/>
          <w:b/>
          <w:bCs/>
          <w:color w:val="auto"/>
          <w:sz w:val="28"/>
          <w:szCs w:val="28"/>
        </w:rPr>
      </w:pPr>
      <w:r w:rsidRPr="008D46A3">
        <w:rPr>
          <w:rFonts w:asciiTheme="majorBidi" w:hAnsiTheme="majorBidi"/>
          <w:b/>
          <w:bCs/>
          <w:color w:val="auto"/>
          <w:sz w:val="28"/>
          <w:szCs w:val="28"/>
        </w:rPr>
        <w:t>Historical Phase Results (2020–2022)</w:t>
      </w:r>
    </w:p>
    <w:p w14:paraId="27CFC9DD" w14:textId="303522EC" w:rsidR="00376DFA" w:rsidRPr="00ED0D56" w:rsidRDefault="00376DFA" w:rsidP="00791455">
      <w:pPr>
        <w:pStyle w:val="Heading3"/>
        <w:numPr>
          <w:ilvl w:val="2"/>
          <w:numId w:val="15"/>
        </w:numPr>
        <w:rPr>
          <w:rFonts w:asciiTheme="majorBidi" w:hAnsiTheme="majorBidi"/>
          <w:color w:val="auto"/>
          <w:sz w:val="26"/>
          <w:szCs w:val="26"/>
        </w:rPr>
      </w:pPr>
      <w:r w:rsidRPr="00ED0D56">
        <w:rPr>
          <w:rFonts w:asciiTheme="majorBidi" w:hAnsiTheme="majorBidi"/>
          <w:color w:val="auto"/>
          <w:sz w:val="26"/>
          <w:szCs w:val="26"/>
        </w:rPr>
        <w:t>Urban Air Quality Overview (2020–2022)</w:t>
      </w:r>
    </w:p>
    <w:p w14:paraId="6DD67E49" w14:textId="77777777" w:rsidR="00AF7A2E" w:rsidRDefault="00E71792" w:rsidP="00ED0D56">
      <w:pPr>
        <w:spacing w:after="0"/>
        <w:jc w:val="both"/>
        <w:rPr>
          <w:rFonts w:asciiTheme="majorBidi" w:hAnsiTheme="majorBidi" w:cstheme="majorBidi"/>
        </w:rPr>
      </w:pPr>
      <w:r w:rsidRPr="00E71792">
        <w:rPr>
          <w:rFonts w:asciiTheme="majorBidi" w:hAnsiTheme="majorBidi" w:cstheme="majorBidi"/>
        </w:rPr>
        <w:t xml:space="preserve">The exploratory analysis of UAE's air quality and mobility between 2020 and 2022 was conducted using geohash-aggregated data. Each data point in the pollution and mobility datasets was mapped to a </w:t>
      </w:r>
      <w:r w:rsidRPr="00E71792">
        <w:rPr>
          <w:rFonts w:asciiTheme="majorBidi" w:hAnsiTheme="majorBidi" w:cstheme="majorBidi"/>
          <w:b/>
          <w:bCs/>
        </w:rPr>
        <w:t>5-character geohash</w:t>
      </w:r>
      <w:r w:rsidRPr="00E71792">
        <w:rPr>
          <w:rFonts w:asciiTheme="majorBidi" w:hAnsiTheme="majorBidi" w:cstheme="majorBidi"/>
        </w:rPr>
        <w:t xml:space="preserve">, corresponding to a spatial granularity of approximately </w:t>
      </w:r>
      <w:r w:rsidRPr="00E71792">
        <w:rPr>
          <w:rFonts w:asciiTheme="majorBidi" w:hAnsiTheme="majorBidi" w:cstheme="majorBidi"/>
          <w:b/>
          <w:bCs/>
        </w:rPr>
        <w:t>3 km²</w:t>
      </w:r>
      <w:r w:rsidRPr="00E71792">
        <w:rPr>
          <w:rFonts w:asciiTheme="majorBidi" w:hAnsiTheme="majorBidi" w:cstheme="majorBidi"/>
        </w:rPr>
        <w:t xml:space="preserve">. </w:t>
      </w:r>
    </w:p>
    <w:p w14:paraId="1090A073" w14:textId="77777777" w:rsidR="00493781" w:rsidRDefault="00493781" w:rsidP="00ED0D56">
      <w:pPr>
        <w:spacing w:after="0"/>
        <w:jc w:val="both"/>
        <w:rPr>
          <w:rFonts w:asciiTheme="majorBidi" w:hAnsiTheme="majorBidi" w:cstheme="majorBidi"/>
        </w:rPr>
      </w:pPr>
    </w:p>
    <w:p w14:paraId="16605D34" w14:textId="77777777" w:rsidR="00AF7A2E" w:rsidRDefault="00AF7A2E" w:rsidP="00ED0D56">
      <w:pPr>
        <w:spacing w:after="0"/>
        <w:jc w:val="both"/>
        <w:rPr>
          <w:rFonts w:asciiTheme="majorBidi" w:hAnsiTheme="majorBidi" w:cstheme="majorBidi"/>
        </w:rPr>
      </w:pPr>
    </w:p>
    <w:p w14:paraId="173535EE" w14:textId="38804BF1" w:rsidR="00AF7A2E" w:rsidRDefault="00AF7A2E" w:rsidP="00ED0D56">
      <w:pPr>
        <w:spacing w:after="0"/>
        <w:jc w:val="both"/>
        <w:rPr>
          <w:rFonts w:asciiTheme="majorBidi" w:hAnsiTheme="majorBidi" w:cstheme="majorBidi"/>
        </w:rPr>
      </w:pPr>
      <w:r>
        <w:rPr>
          <w:rFonts w:asciiTheme="majorBidi" w:hAnsiTheme="majorBidi" w:cstheme="majorBidi"/>
          <w:noProof/>
        </w:rPr>
        <w:lastRenderedPageBreak/>
        <w:drawing>
          <wp:inline distT="0" distB="0" distL="0" distR="0" wp14:anchorId="2CEE35CB" wp14:editId="1A9BD0B3">
            <wp:extent cx="5067300" cy="2257436"/>
            <wp:effectExtent l="0" t="0" r="0" b="9525"/>
            <wp:docPr id="19677306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30629" name="Picture 1967730629"/>
                    <pic:cNvPicPr/>
                  </pic:nvPicPr>
                  <pic:blipFill>
                    <a:blip r:embed="rId5">
                      <a:extLst>
                        <a:ext uri="{28A0092B-C50C-407E-A947-70E740481C1C}">
                          <a14:useLocalDpi xmlns:a14="http://schemas.microsoft.com/office/drawing/2010/main" val="0"/>
                        </a:ext>
                      </a:extLst>
                    </a:blip>
                    <a:stretch>
                      <a:fillRect/>
                    </a:stretch>
                  </pic:blipFill>
                  <pic:spPr>
                    <a:xfrm>
                      <a:off x="0" y="0"/>
                      <a:ext cx="5074207" cy="2260513"/>
                    </a:xfrm>
                    <a:prstGeom prst="rect">
                      <a:avLst/>
                    </a:prstGeom>
                  </pic:spPr>
                </pic:pic>
              </a:graphicData>
            </a:graphic>
          </wp:inline>
        </w:drawing>
      </w:r>
    </w:p>
    <w:p w14:paraId="18D72D30" w14:textId="26AAAD3F" w:rsidR="00AF7A2E" w:rsidRDefault="00AF7A2E" w:rsidP="00AF7A2E">
      <w:pPr>
        <w:spacing w:after="0"/>
        <w:jc w:val="both"/>
        <w:rPr>
          <w:rFonts w:asciiTheme="majorBidi" w:hAnsiTheme="majorBidi" w:cstheme="majorBidi"/>
        </w:rPr>
      </w:pPr>
      <w:r w:rsidRPr="00AF7A2E">
        <w:rPr>
          <w:rFonts w:asciiTheme="majorBidi" w:hAnsiTheme="majorBidi" w:cstheme="majorBidi"/>
          <w:b/>
          <w:bCs/>
        </w:rPr>
        <w:t>Figure X.</w:t>
      </w:r>
      <w:r w:rsidRPr="00AF7A2E">
        <w:rPr>
          <w:rFonts w:asciiTheme="majorBidi" w:hAnsiTheme="majorBidi" w:cstheme="majorBidi"/>
        </w:rPr>
        <w:t xml:space="preserve"> Time series of retail and recreation mobility changes from 2020 to 2022 across UAE emirates. Abu Dhabi and Dubai show the largest activity rebounds post-2020 lockdowns.</w:t>
      </w:r>
    </w:p>
    <w:p w14:paraId="461FBC6F" w14:textId="77777777" w:rsidR="00AF7A2E" w:rsidRDefault="00AF7A2E" w:rsidP="00AF7A2E">
      <w:pPr>
        <w:spacing w:after="0"/>
        <w:jc w:val="both"/>
        <w:rPr>
          <w:rFonts w:asciiTheme="majorBidi" w:hAnsiTheme="majorBidi" w:cstheme="majorBidi"/>
        </w:rPr>
      </w:pPr>
    </w:p>
    <w:p w14:paraId="1CC15656" w14:textId="09E45D2D" w:rsidR="00E71792" w:rsidRPr="00E71792" w:rsidRDefault="00E71792" w:rsidP="00ED0D56">
      <w:pPr>
        <w:spacing w:after="0"/>
        <w:jc w:val="both"/>
        <w:rPr>
          <w:rFonts w:asciiTheme="majorBidi" w:hAnsiTheme="majorBidi" w:cstheme="majorBidi"/>
        </w:rPr>
      </w:pPr>
      <w:r w:rsidRPr="00E71792">
        <w:rPr>
          <w:rFonts w:asciiTheme="majorBidi" w:hAnsiTheme="majorBidi" w:cstheme="majorBidi"/>
        </w:rPr>
        <w:t>This approach allowed for localized tracking of environmental conditions across cities.</w:t>
      </w:r>
    </w:p>
    <w:p w14:paraId="4019D2EC" w14:textId="77777777" w:rsidR="00E71792" w:rsidRPr="00E71792" w:rsidRDefault="00E71792" w:rsidP="00ED0D56">
      <w:pPr>
        <w:spacing w:after="0"/>
        <w:jc w:val="both"/>
        <w:rPr>
          <w:rFonts w:asciiTheme="majorBidi" w:hAnsiTheme="majorBidi" w:cstheme="majorBidi"/>
        </w:rPr>
      </w:pPr>
      <w:r w:rsidRPr="00E71792">
        <w:rPr>
          <w:rFonts w:asciiTheme="majorBidi" w:hAnsiTheme="majorBidi" w:cstheme="majorBidi"/>
        </w:rPr>
        <w:t>To achieve this:</w:t>
      </w:r>
    </w:p>
    <w:p w14:paraId="39BD6B9F" w14:textId="77777777" w:rsidR="00E71792" w:rsidRPr="00E71792" w:rsidRDefault="00E71792" w:rsidP="00ED0D56">
      <w:pPr>
        <w:numPr>
          <w:ilvl w:val="0"/>
          <w:numId w:val="16"/>
        </w:numPr>
        <w:spacing w:after="0"/>
        <w:jc w:val="both"/>
        <w:rPr>
          <w:rFonts w:asciiTheme="majorBidi" w:hAnsiTheme="majorBidi" w:cstheme="majorBidi"/>
        </w:rPr>
      </w:pPr>
      <w:r w:rsidRPr="00E71792">
        <w:rPr>
          <w:rFonts w:asciiTheme="majorBidi" w:hAnsiTheme="majorBidi" w:cstheme="majorBidi"/>
        </w:rPr>
        <w:t xml:space="preserve">Latitude and longitude coordinates in the </w:t>
      </w:r>
      <w:r w:rsidRPr="00E71792">
        <w:rPr>
          <w:rFonts w:asciiTheme="majorBidi" w:hAnsiTheme="majorBidi" w:cstheme="majorBidi"/>
          <w:b/>
          <w:bCs/>
        </w:rPr>
        <w:t>mobility dataset</w:t>
      </w:r>
      <w:r w:rsidRPr="00E71792">
        <w:rPr>
          <w:rFonts w:asciiTheme="majorBidi" w:hAnsiTheme="majorBidi" w:cstheme="majorBidi"/>
        </w:rPr>
        <w:t xml:space="preserve"> were converted to geohashes using the geohash2.encode() function with precision=5.</w:t>
      </w:r>
    </w:p>
    <w:p w14:paraId="32D67BF8" w14:textId="77777777" w:rsidR="00E71792" w:rsidRPr="00E71792" w:rsidRDefault="00E71792" w:rsidP="00ED0D56">
      <w:pPr>
        <w:numPr>
          <w:ilvl w:val="0"/>
          <w:numId w:val="16"/>
        </w:numPr>
        <w:spacing w:after="0"/>
        <w:jc w:val="both"/>
        <w:rPr>
          <w:rFonts w:asciiTheme="majorBidi" w:hAnsiTheme="majorBidi" w:cstheme="majorBidi"/>
        </w:rPr>
      </w:pPr>
      <w:r w:rsidRPr="00E71792">
        <w:rPr>
          <w:rFonts w:asciiTheme="majorBidi" w:hAnsiTheme="majorBidi" w:cstheme="majorBidi"/>
        </w:rPr>
        <w:t xml:space="preserve">A </w:t>
      </w:r>
      <w:r w:rsidRPr="00E71792">
        <w:rPr>
          <w:rFonts w:asciiTheme="majorBidi" w:hAnsiTheme="majorBidi" w:cstheme="majorBidi"/>
          <w:b/>
          <w:bCs/>
        </w:rPr>
        <w:t>composite mobility score</w:t>
      </w:r>
      <w:r w:rsidRPr="00E71792">
        <w:rPr>
          <w:rFonts w:asciiTheme="majorBidi" w:hAnsiTheme="majorBidi" w:cstheme="majorBidi"/>
        </w:rPr>
        <w:t xml:space="preserve"> was calculated as the mean of workplace and transit station mobility changes. Missing or incomplete records were removed to ensure data integrity.</w:t>
      </w:r>
    </w:p>
    <w:p w14:paraId="695E9E53" w14:textId="77777777" w:rsidR="00E71792" w:rsidRDefault="00E71792" w:rsidP="00ED0D56">
      <w:pPr>
        <w:numPr>
          <w:ilvl w:val="0"/>
          <w:numId w:val="16"/>
        </w:numPr>
        <w:spacing w:after="0"/>
        <w:jc w:val="both"/>
        <w:rPr>
          <w:rFonts w:asciiTheme="majorBidi" w:hAnsiTheme="majorBidi" w:cstheme="majorBidi"/>
        </w:rPr>
      </w:pPr>
      <w:r w:rsidRPr="00E71792">
        <w:rPr>
          <w:rFonts w:asciiTheme="majorBidi" w:hAnsiTheme="majorBidi" w:cstheme="majorBidi"/>
        </w:rPr>
        <w:t xml:space="preserve">The dataset was grouped by geohash to compute the </w:t>
      </w:r>
      <w:r w:rsidRPr="00E71792">
        <w:rPr>
          <w:rFonts w:asciiTheme="majorBidi" w:hAnsiTheme="majorBidi" w:cstheme="majorBidi"/>
          <w:b/>
          <w:bCs/>
        </w:rPr>
        <w:t>mean mobility score per zone</w:t>
      </w:r>
      <w:r w:rsidRPr="00E71792">
        <w:rPr>
          <w:rFonts w:asciiTheme="majorBidi" w:hAnsiTheme="majorBidi" w:cstheme="majorBidi"/>
        </w:rPr>
        <w:t xml:space="preserve">, resulting in </w:t>
      </w:r>
      <w:r w:rsidRPr="00E71792">
        <w:rPr>
          <w:rFonts w:asciiTheme="majorBidi" w:hAnsiTheme="majorBidi" w:cstheme="majorBidi"/>
          <w:b/>
          <w:bCs/>
        </w:rPr>
        <w:t>205 unique geohash zones</w:t>
      </w:r>
      <w:r w:rsidRPr="00E71792">
        <w:rPr>
          <w:rFonts w:asciiTheme="majorBidi" w:hAnsiTheme="majorBidi" w:cstheme="majorBidi"/>
        </w:rPr>
        <w:t xml:space="preserve"> (print(f"...: {</w:t>
      </w:r>
      <w:proofErr w:type="spellStart"/>
      <w:r w:rsidRPr="00E71792">
        <w:rPr>
          <w:rFonts w:asciiTheme="majorBidi" w:hAnsiTheme="majorBidi" w:cstheme="majorBidi"/>
        </w:rPr>
        <w:t>unique_mobility_geohashes</w:t>
      </w:r>
      <w:proofErr w:type="spellEnd"/>
      <w:r w:rsidRPr="00E71792">
        <w:rPr>
          <w:rFonts w:asciiTheme="majorBidi" w:hAnsiTheme="majorBidi" w:cstheme="majorBidi"/>
        </w:rPr>
        <w:t>})).</w:t>
      </w:r>
    </w:p>
    <w:p w14:paraId="6EF7F895" w14:textId="77777777" w:rsidR="00ED0D56" w:rsidRPr="00E71792" w:rsidRDefault="00ED0D56" w:rsidP="00ED0D56">
      <w:pPr>
        <w:spacing w:after="0"/>
        <w:ind w:left="720"/>
        <w:jc w:val="both"/>
        <w:rPr>
          <w:rFonts w:asciiTheme="majorBidi" w:hAnsiTheme="majorBidi" w:cstheme="majorBidi"/>
        </w:rPr>
      </w:pPr>
    </w:p>
    <w:p w14:paraId="16BC8361" w14:textId="508C9645" w:rsidR="00E71792" w:rsidRDefault="00E71792" w:rsidP="00C14340">
      <w:pPr>
        <w:spacing w:after="0"/>
        <w:jc w:val="both"/>
        <w:rPr>
          <w:rFonts w:asciiTheme="majorBidi" w:hAnsiTheme="majorBidi" w:cstheme="majorBidi"/>
        </w:rPr>
      </w:pPr>
      <w:r w:rsidRPr="00E71792">
        <w:rPr>
          <w:rFonts w:asciiTheme="majorBidi" w:hAnsiTheme="majorBidi" w:cstheme="majorBidi"/>
        </w:rPr>
        <w:t xml:space="preserve">Pollution data (from </w:t>
      </w:r>
      <w:proofErr w:type="spellStart"/>
      <w:r w:rsidRPr="00E71792">
        <w:rPr>
          <w:rFonts w:asciiTheme="majorBidi" w:hAnsiTheme="majorBidi" w:cstheme="majorBidi"/>
        </w:rPr>
        <w:t>OpenAQ</w:t>
      </w:r>
      <w:proofErr w:type="spellEnd"/>
      <w:r w:rsidRPr="00E71792">
        <w:rPr>
          <w:rFonts w:asciiTheme="majorBidi" w:hAnsiTheme="majorBidi" w:cstheme="majorBidi"/>
        </w:rPr>
        <w:t xml:space="preserve"> or similar sources) was also aggregated by geohash</w:t>
      </w:r>
      <w:r w:rsidR="00C14340">
        <w:rPr>
          <w:rFonts w:asciiTheme="majorBidi" w:hAnsiTheme="majorBidi" w:cstheme="majorBidi"/>
        </w:rPr>
        <w:t xml:space="preserve">. </w:t>
      </w:r>
      <w:r w:rsidRPr="00E71792">
        <w:rPr>
          <w:rFonts w:asciiTheme="majorBidi" w:hAnsiTheme="majorBidi" w:cstheme="majorBidi"/>
        </w:rPr>
        <w:t xml:space="preserve">This yielded average values for pollutants like </w:t>
      </w:r>
      <w:r w:rsidRPr="00E71792">
        <w:rPr>
          <w:rFonts w:asciiTheme="majorBidi" w:hAnsiTheme="majorBidi" w:cstheme="majorBidi"/>
          <w:b/>
          <w:bCs/>
        </w:rPr>
        <w:t>NO₂</w:t>
      </w:r>
      <w:r w:rsidRPr="00E71792">
        <w:rPr>
          <w:rFonts w:asciiTheme="majorBidi" w:hAnsiTheme="majorBidi" w:cstheme="majorBidi"/>
        </w:rPr>
        <w:t xml:space="preserve">, </w:t>
      </w:r>
      <w:r w:rsidRPr="00E71792">
        <w:rPr>
          <w:rFonts w:asciiTheme="majorBidi" w:hAnsiTheme="majorBidi" w:cstheme="majorBidi"/>
          <w:b/>
          <w:bCs/>
        </w:rPr>
        <w:t>SO₂</w:t>
      </w:r>
      <w:r w:rsidRPr="00E71792">
        <w:rPr>
          <w:rFonts w:asciiTheme="majorBidi" w:hAnsiTheme="majorBidi" w:cstheme="majorBidi"/>
        </w:rPr>
        <w:t xml:space="preserve">, </w:t>
      </w:r>
      <w:r w:rsidRPr="00E71792">
        <w:rPr>
          <w:rFonts w:asciiTheme="majorBidi" w:hAnsiTheme="majorBidi" w:cstheme="majorBidi"/>
          <w:b/>
          <w:bCs/>
        </w:rPr>
        <w:t>PM₁₀</w:t>
      </w:r>
      <w:r w:rsidRPr="00E71792">
        <w:rPr>
          <w:rFonts w:asciiTheme="majorBidi" w:hAnsiTheme="majorBidi" w:cstheme="majorBidi"/>
        </w:rPr>
        <w:t>, and others per zone. The geohash strings in both datasets were normalized to lowercase to enable a clean inner merge.</w:t>
      </w:r>
      <w:r w:rsidR="00C14340">
        <w:rPr>
          <w:rFonts w:asciiTheme="majorBidi" w:hAnsiTheme="majorBidi" w:cstheme="majorBidi"/>
        </w:rPr>
        <w:t xml:space="preserve"> </w:t>
      </w:r>
      <w:r w:rsidRPr="00E71792">
        <w:rPr>
          <w:rFonts w:asciiTheme="majorBidi" w:hAnsiTheme="majorBidi" w:cstheme="majorBidi"/>
        </w:rPr>
        <w:t xml:space="preserve">After cleaning, only </w:t>
      </w:r>
      <w:r w:rsidRPr="00E71792">
        <w:rPr>
          <w:rFonts w:asciiTheme="majorBidi" w:hAnsiTheme="majorBidi" w:cstheme="majorBidi"/>
          <w:b/>
          <w:bCs/>
        </w:rPr>
        <w:t>7 geohash zones</w:t>
      </w:r>
      <w:r w:rsidRPr="00E71792">
        <w:rPr>
          <w:rFonts w:asciiTheme="majorBidi" w:hAnsiTheme="majorBidi" w:cstheme="majorBidi"/>
        </w:rPr>
        <w:t xml:space="preserve"> had valid overlapping records in both the pollution and mobility datasets</w:t>
      </w:r>
      <w:r w:rsidR="00C14340">
        <w:rPr>
          <w:rFonts w:asciiTheme="majorBidi" w:hAnsiTheme="majorBidi" w:cstheme="majorBidi"/>
        </w:rPr>
        <w:t xml:space="preserve">. </w:t>
      </w:r>
      <w:r w:rsidRPr="00E71792">
        <w:rPr>
          <w:rFonts w:asciiTheme="majorBidi" w:hAnsiTheme="majorBidi" w:cstheme="majorBidi"/>
        </w:rPr>
        <w:t xml:space="preserve">These common zones were merged into a final </w:t>
      </w:r>
      <w:proofErr w:type="spellStart"/>
      <w:r w:rsidRPr="00E71792">
        <w:rPr>
          <w:rFonts w:asciiTheme="majorBidi" w:hAnsiTheme="majorBidi" w:cstheme="majorBidi"/>
        </w:rPr>
        <w:t>filtered_df</w:t>
      </w:r>
      <w:proofErr w:type="spellEnd"/>
      <w:r w:rsidRPr="00E71792">
        <w:rPr>
          <w:rFonts w:asciiTheme="majorBidi" w:hAnsiTheme="majorBidi" w:cstheme="majorBidi"/>
        </w:rPr>
        <w:t xml:space="preserve"> table that served as the basis for the </w:t>
      </w:r>
      <w:proofErr w:type="spellStart"/>
      <w:r w:rsidRPr="00E71792">
        <w:rPr>
          <w:rFonts w:asciiTheme="majorBidi" w:hAnsiTheme="majorBidi" w:cstheme="majorBidi"/>
        </w:rPr>
        <w:t>joined_table</w:t>
      </w:r>
      <w:proofErr w:type="spellEnd"/>
      <w:r w:rsidRPr="00E71792">
        <w:rPr>
          <w:rFonts w:asciiTheme="majorBidi" w:hAnsiTheme="majorBidi" w:cstheme="majorBidi"/>
        </w:rPr>
        <w:t xml:space="preserve"> used in later visualizations and statistical analysis.</w:t>
      </w:r>
    </w:p>
    <w:p w14:paraId="1B81ED65" w14:textId="77777777" w:rsidR="00ED0D56" w:rsidRPr="00E71792" w:rsidRDefault="00ED0D56" w:rsidP="00E71792">
      <w:pPr>
        <w:jc w:val="both"/>
        <w:rPr>
          <w:rFonts w:asciiTheme="majorBidi" w:hAnsiTheme="majorBidi" w:cstheme="majorBidi"/>
        </w:rPr>
      </w:pPr>
    </w:p>
    <w:p w14:paraId="3F786B43" w14:textId="7E5E6819" w:rsidR="00E71792" w:rsidRPr="00E71792" w:rsidRDefault="00E71792" w:rsidP="00E71792">
      <w:pPr>
        <w:jc w:val="both"/>
        <w:rPr>
          <w:rFonts w:asciiTheme="majorBidi" w:hAnsiTheme="majorBidi" w:cstheme="majorBidi"/>
        </w:rPr>
      </w:pPr>
      <w:r w:rsidRPr="00E71792">
        <w:rPr>
          <w:rFonts w:asciiTheme="majorBidi" w:hAnsiTheme="majorBidi" w:cstheme="majorBidi"/>
        </w:rPr>
        <w:t>A preview of the combined dataset shows the structure of available variables:</w:t>
      </w:r>
    </w:p>
    <w:tbl>
      <w:tblPr>
        <w:tblStyle w:val="PlainTable4"/>
        <w:tblW w:w="7292" w:type="dxa"/>
        <w:tblLook w:val="04A0" w:firstRow="1" w:lastRow="0" w:firstColumn="1" w:lastColumn="0" w:noHBand="0" w:noVBand="1"/>
      </w:tblPr>
      <w:tblGrid>
        <w:gridCol w:w="1665"/>
        <w:gridCol w:w="983"/>
        <w:gridCol w:w="1109"/>
        <w:gridCol w:w="966"/>
        <w:gridCol w:w="2569"/>
      </w:tblGrid>
      <w:tr w:rsidR="00E71792" w:rsidRPr="00E71792" w14:paraId="05D6E40D" w14:textId="77777777" w:rsidTr="00E71792">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0" w:type="auto"/>
            <w:hideMark/>
          </w:tcPr>
          <w:p w14:paraId="123B7DE8" w14:textId="77777777" w:rsidR="00E71792" w:rsidRPr="00E71792" w:rsidRDefault="00E71792" w:rsidP="005D695A">
            <w:pPr>
              <w:spacing w:after="160" w:line="259" w:lineRule="auto"/>
              <w:jc w:val="center"/>
              <w:rPr>
                <w:rFonts w:asciiTheme="majorBidi" w:hAnsiTheme="majorBidi" w:cstheme="majorBidi"/>
              </w:rPr>
            </w:pPr>
            <w:r w:rsidRPr="00E71792">
              <w:rPr>
                <w:rFonts w:asciiTheme="majorBidi" w:hAnsiTheme="majorBidi" w:cstheme="majorBidi"/>
              </w:rPr>
              <w:t>Geohash</w:t>
            </w:r>
          </w:p>
        </w:tc>
        <w:tc>
          <w:tcPr>
            <w:tcW w:w="0" w:type="auto"/>
            <w:hideMark/>
          </w:tcPr>
          <w:p w14:paraId="0F59F0CC" w14:textId="77777777" w:rsidR="00E71792" w:rsidRPr="00E71792" w:rsidRDefault="00E71792" w:rsidP="005D695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E71792">
              <w:rPr>
                <w:rFonts w:asciiTheme="majorBidi" w:hAnsiTheme="majorBidi" w:cstheme="majorBidi"/>
              </w:rPr>
              <w:t>NO₂</w:t>
            </w:r>
          </w:p>
        </w:tc>
        <w:tc>
          <w:tcPr>
            <w:tcW w:w="0" w:type="auto"/>
            <w:hideMark/>
          </w:tcPr>
          <w:p w14:paraId="0877687A" w14:textId="77777777" w:rsidR="00E71792" w:rsidRPr="00E71792" w:rsidRDefault="00E71792" w:rsidP="005D695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E71792">
              <w:rPr>
                <w:rFonts w:asciiTheme="majorBidi" w:hAnsiTheme="majorBidi" w:cstheme="majorBidi"/>
              </w:rPr>
              <w:t>PM₁₀</w:t>
            </w:r>
          </w:p>
        </w:tc>
        <w:tc>
          <w:tcPr>
            <w:tcW w:w="0" w:type="auto"/>
            <w:hideMark/>
          </w:tcPr>
          <w:p w14:paraId="67EFC3CB" w14:textId="77777777" w:rsidR="00E71792" w:rsidRPr="00E71792" w:rsidRDefault="00E71792" w:rsidP="005D695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E71792">
              <w:rPr>
                <w:rFonts w:asciiTheme="majorBidi" w:hAnsiTheme="majorBidi" w:cstheme="majorBidi"/>
              </w:rPr>
              <w:t>SO₂</w:t>
            </w:r>
          </w:p>
        </w:tc>
        <w:tc>
          <w:tcPr>
            <w:tcW w:w="0" w:type="auto"/>
            <w:hideMark/>
          </w:tcPr>
          <w:p w14:paraId="74373AC7" w14:textId="77777777" w:rsidR="00E71792" w:rsidRPr="00E71792" w:rsidRDefault="00E71792" w:rsidP="005D695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E71792">
              <w:rPr>
                <w:rFonts w:asciiTheme="majorBidi" w:hAnsiTheme="majorBidi" w:cstheme="majorBidi"/>
              </w:rPr>
              <w:t>Mobility Score</w:t>
            </w:r>
          </w:p>
        </w:tc>
      </w:tr>
      <w:tr w:rsidR="00E71792" w:rsidRPr="00E71792" w14:paraId="15A49477" w14:textId="77777777" w:rsidTr="00E71792">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0" w:type="auto"/>
            <w:hideMark/>
          </w:tcPr>
          <w:p w14:paraId="1FF76EA9" w14:textId="77777777" w:rsidR="00E71792" w:rsidRPr="00E71792" w:rsidRDefault="00E71792" w:rsidP="005D695A">
            <w:pPr>
              <w:spacing w:after="160" w:line="259" w:lineRule="auto"/>
              <w:jc w:val="center"/>
              <w:rPr>
                <w:rFonts w:asciiTheme="majorBidi" w:hAnsiTheme="majorBidi" w:cstheme="majorBidi"/>
              </w:rPr>
            </w:pPr>
            <w:r w:rsidRPr="00E71792">
              <w:rPr>
                <w:rFonts w:asciiTheme="majorBidi" w:hAnsiTheme="majorBidi" w:cstheme="majorBidi"/>
              </w:rPr>
              <w:t>thqf4</w:t>
            </w:r>
          </w:p>
        </w:tc>
        <w:tc>
          <w:tcPr>
            <w:tcW w:w="0" w:type="auto"/>
            <w:hideMark/>
          </w:tcPr>
          <w:p w14:paraId="725D1C1D" w14:textId="77777777" w:rsidR="00E71792" w:rsidRPr="00E71792" w:rsidRDefault="00E71792" w:rsidP="005D695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76.8</w:t>
            </w:r>
          </w:p>
        </w:tc>
        <w:tc>
          <w:tcPr>
            <w:tcW w:w="0" w:type="auto"/>
            <w:hideMark/>
          </w:tcPr>
          <w:p w14:paraId="790C72C0" w14:textId="77777777" w:rsidR="00E71792" w:rsidRPr="00E71792" w:rsidRDefault="00E71792" w:rsidP="005D695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94.6</w:t>
            </w:r>
          </w:p>
        </w:tc>
        <w:tc>
          <w:tcPr>
            <w:tcW w:w="0" w:type="auto"/>
            <w:hideMark/>
          </w:tcPr>
          <w:p w14:paraId="6D9B3771" w14:textId="77777777" w:rsidR="00E71792" w:rsidRPr="00E71792" w:rsidRDefault="00E71792" w:rsidP="005D695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12.5</w:t>
            </w:r>
          </w:p>
        </w:tc>
        <w:tc>
          <w:tcPr>
            <w:tcW w:w="0" w:type="auto"/>
            <w:hideMark/>
          </w:tcPr>
          <w:p w14:paraId="76AAE874" w14:textId="77777777" w:rsidR="00E71792" w:rsidRPr="00E71792" w:rsidRDefault="00E71792" w:rsidP="005D695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12.10</w:t>
            </w:r>
          </w:p>
        </w:tc>
      </w:tr>
      <w:tr w:rsidR="00E71792" w:rsidRPr="00E71792" w14:paraId="0608AA8A" w14:textId="77777777" w:rsidTr="00E71792">
        <w:trPr>
          <w:trHeight w:val="459"/>
        </w:trPr>
        <w:tc>
          <w:tcPr>
            <w:cnfStyle w:val="001000000000" w:firstRow="0" w:lastRow="0" w:firstColumn="1" w:lastColumn="0" w:oddVBand="0" w:evenVBand="0" w:oddHBand="0" w:evenHBand="0" w:firstRowFirstColumn="0" w:firstRowLastColumn="0" w:lastRowFirstColumn="0" w:lastRowLastColumn="0"/>
            <w:tcW w:w="0" w:type="auto"/>
            <w:hideMark/>
          </w:tcPr>
          <w:p w14:paraId="65E0697A" w14:textId="77777777" w:rsidR="00E71792" w:rsidRPr="00E71792" w:rsidRDefault="00E71792" w:rsidP="005D695A">
            <w:pPr>
              <w:spacing w:after="160" w:line="259" w:lineRule="auto"/>
              <w:jc w:val="center"/>
              <w:rPr>
                <w:rFonts w:asciiTheme="majorBidi" w:hAnsiTheme="majorBidi" w:cstheme="majorBidi"/>
              </w:rPr>
            </w:pPr>
            <w:proofErr w:type="spellStart"/>
            <w:r w:rsidRPr="00E71792">
              <w:rPr>
                <w:rFonts w:asciiTheme="majorBidi" w:hAnsiTheme="majorBidi" w:cstheme="majorBidi"/>
              </w:rPr>
              <w:t>thqfb</w:t>
            </w:r>
            <w:proofErr w:type="spellEnd"/>
          </w:p>
        </w:tc>
        <w:tc>
          <w:tcPr>
            <w:tcW w:w="0" w:type="auto"/>
            <w:hideMark/>
          </w:tcPr>
          <w:p w14:paraId="6D3B5BC3" w14:textId="77777777" w:rsidR="00E71792" w:rsidRPr="00E71792" w:rsidRDefault="00E71792" w:rsidP="005D695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31.1</w:t>
            </w:r>
          </w:p>
        </w:tc>
        <w:tc>
          <w:tcPr>
            <w:tcW w:w="0" w:type="auto"/>
            <w:hideMark/>
          </w:tcPr>
          <w:p w14:paraId="193C3E01" w14:textId="77777777" w:rsidR="00E71792" w:rsidRPr="00E71792" w:rsidRDefault="00E71792" w:rsidP="005D695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87.1</w:t>
            </w:r>
          </w:p>
        </w:tc>
        <w:tc>
          <w:tcPr>
            <w:tcW w:w="0" w:type="auto"/>
            <w:hideMark/>
          </w:tcPr>
          <w:p w14:paraId="37237113" w14:textId="77777777" w:rsidR="00E71792" w:rsidRPr="00E71792" w:rsidRDefault="00E71792" w:rsidP="005D695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11.0</w:t>
            </w:r>
          </w:p>
        </w:tc>
        <w:tc>
          <w:tcPr>
            <w:tcW w:w="0" w:type="auto"/>
            <w:hideMark/>
          </w:tcPr>
          <w:p w14:paraId="65B5AF08" w14:textId="77777777" w:rsidR="00E71792" w:rsidRPr="00E71792" w:rsidRDefault="00E71792" w:rsidP="005D695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-11.81</w:t>
            </w:r>
          </w:p>
        </w:tc>
      </w:tr>
      <w:tr w:rsidR="00E71792" w:rsidRPr="00E71792" w14:paraId="325CE84A" w14:textId="77777777" w:rsidTr="00E71792">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0" w:type="auto"/>
            <w:hideMark/>
          </w:tcPr>
          <w:p w14:paraId="15832170" w14:textId="77777777" w:rsidR="00E71792" w:rsidRPr="00E71792" w:rsidRDefault="00E71792" w:rsidP="005D695A">
            <w:pPr>
              <w:spacing w:after="160" w:line="259" w:lineRule="auto"/>
              <w:jc w:val="center"/>
              <w:rPr>
                <w:rFonts w:asciiTheme="majorBidi" w:hAnsiTheme="majorBidi" w:cstheme="majorBidi"/>
              </w:rPr>
            </w:pPr>
            <w:r w:rsidRPr="00E71792">
              <w:rPr>
                <w:rFonts w:asciiTheme="majorBidi" w:hAnsiTheme="majorBidi" w:cstheme="majorBidi"/>
              </w:rPr>
              <w:t>thr97</w:t>
            </w:r>
          </w:p>
        </w:tc>
        <w:tc>
          <w:tcPr>
            <w:tcW w:w="0" w:type="auto"/>
            <w:hideMark/>
          </w:tcPr>
          <w:p w14:paraId="62A68D18" w14:textId="77777777" w:rsidR="00E71792" w:rsidRPr="00E71792" w:rsidRDefault="00E71792" w:rsidP="005D695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19.2</w:t>
            </w:r>
          </w:p>
        </w:tc>
        <w:tc>
          <w:tcPr>
            <w:tcW w:w="0" w:type="auto"/>
            <w:hideMark/>
          </w:tcPr>
          <w:p w14:paraId="2A7FAF88" w14:textId="77777777" w:rsidR="00E71792" w:rsidRPr="00E71792" w:rsidRDefault="00E71792" w:rsidP="005D695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67.2</w:t>
            </w:r>
          </w:p>
        </w:tc>
        <w:tc>
          <w:tcPr>
            <w:tcW w:w="0" w:type="auto"/>
            <w:hideMark/>
          </w:tcPr>
          <w:p w14:paraId="7F7DB7C3" w14:textId="77777777" w:rsidR="00E71792" w:rsidRPr="00E71792" w:rsidRDefault="00E71792" w:rsidP="005D695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10.4</w:t>
            </w:r>
          </w:p>
        </w:tc>
        <w:tc>
          <w:tcPr>
            <w:tcW w:w="0" w:type="auto"/>
            <w:hideMark/>
          </w:tcPr>
          <w:p w14:paraId="14FFBF5C" w14:textId="77777777" w:rsidR="00E71792" w:rsidRPr="00E71792" w:rsidRDefault="00E71792" w:rsidP="005D695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-13.07</w:t>
            </w:r>
          </w:p>
        </w:tc>
      </w:tr>
    </w:tbl>
    <w:p w14:paraId="55E1B734" w14:textId="77777777" w:rsidR="00C14340" w:rsidRPr="00376DFA" w:rsidRDefault="00C14340" w:rsidP="00791455">
      <w:pPr>
        <w:jc w:val="both"/>
        <w:rPr>
          <w:rFonts w:asciiTheme="majorBidi" w:hAnsiTheme="majorBidi" w:cstheme="majorBidi"/>
        </w:rPr>
      </w:pPr>
    </w:p>
    <w:p w14:paraId="6C301C8A" w14:textId="76CAC480" w:rsidR="00376DFA" w:rsidRPr="00376DFA" w:rsidRDefault="00376DFA" w:rsidP="00791455">
      <w:pPr>
        <w:pStyle w:val="Heading3"/>
        <w:numPr>
          <w:ilvl w:val="2"/>
          <w:numId w:val="15"/>
        </w:numPr>
        <w:rPr>
          <w:rFonts w:asciiTheme="majorBidi" w:hAnsiTheme="majorBidi"/>
          <w:color w:val="auto"/>
          <w:sz w:val="26"/>
          <w:szCs w:val="26"/>
        </w:rPr>
      </w:pPr>
      <w:r w:rsidRPr="00376DFA">
        <w:rPr>
          <w:rFonts w:asciiTheme="majorBidi" w:hAnsiTheme="majorBidi"/>
          <w:color w:val="auto"/>
          <w:sz w:val="26"/>
          <w:szCs w:val="26"/>
        </w:rPr>
        <w:t>Geospatial Distribution of Pollutants</w:t>
      </w:r>
    </w:p>
    <w:p w14:paraId="0CC3C5CF" w14:textId="183F74AA" w:rsidR="00376DFA" w:rsidRDefault="005D695A" w:rsidP="00466B57">
      <w:pPr>
        <w:jc w:val="both"/>
        <w:rPr>
          <w:rFonts w:asciiTheme="majorBidi" w:hAnsiTheme="majorBidi" w:cstheme="majorBidi"/>
        </w:rPr>
      </w:pPr>
      <w:r w:rsidRPr="005D695A">
        <w:rPr>
          <w:rFonts w:asciiTheme="majorBidi" w:hAnsiTheme="majorBidi" w:cstheme="majorBidi"/>
        </w:rPr>
        <w:t xml:space="preserve">To investigate the spatial variation of air pollution across the UAE, georeferenced raster data were visualized for NO₂, SO₂, and aerosol index (AAI) concentrations from </w:t>
      </w:r>
      <w:r w:rsidRPr="005D695A">
        <w:rPr>
          <w:rFonts w:asciiTheme="majorBidi" w:hAnsiTheme="majorBidi" w:cstheme="majorBidi"/>
          <w:b/>
          <w:bCs/>
        </w:rPr>
        <w:t>2020 to 2022</w:t>
      </w:r>
      <w:r w:rsidRPr="005D695A">
        <w:rPr>
          <w:rFonts w:asciiTheme="majorBidi" w:hAnsiTheme="majorBidi" w:cstheme="majorBidi"/>
        </w:rPr>
        <w:t xml:space="preserve">. </w:t>
      </w:r>
      <w:r w:rsidRPr="00ED0D56">
        <w:rPr>
          <w:rFonts w:asciiTheme="majorBidi" w:hAnsiTheme="majorBidi" w:cstheme="majorBidi"/>
          <w:color w:val="FF0000"/>
        </w:rPr>
        <w:t xml:space="preserve">Figure </w:t>
      </w:r>
      <w:r w:rsidR="00ED0D56" w:rsidRPr="00ED0D56">
        <w:rPr>
          <w:rFonts w:asciiTheme="majorBidi" w:hAnsiTheme="majorBidi" w:cstheme="majorBidi"/>
          <w:color w:val="FF0000"/>
        </w:rPr>
        <w:t>A</w:t>
      </w:r>
      <w:r w:rsidRPr="005D695A">
        <w:rPr>
          <w:rFonts w:asciiTheme="majorBidi" w:hAnsiTheme="majorBidi" w:cstheme="majorBidi"/>
        </w:rPr>
        <w:t xml:space="preserve"> presents a composite heatmap where brighter areas reflect higher pollutant intensities. These maps, rendered using </w:t>
      </w:r>
      <w:proofErr w:type="spellStart"/>
      <w:r w:rsidRPr="005D695A">
        <w:rPr>
          <w:rFonts w:asciiTheme="majorBidi" w:hAnsiTheme="majorBidi" w:cstheme="majorBidi"/>
        </w:rPr>
        <w:t>rasterio</w:t>
      </w:r>
      <w:proofErr w:type="spellEnd"/>
      <w:r w:rsidRPr="005D695A">
        <w:rPr>
          <w:rFonts w:asciiTheme="majorBidi" w:hAnsiTheme="majorBidi" w:cstheme="majorBidi"/>
        </w:rPr>
        <w:t xml:space="preserve"> and matplotlib, reveal a clear spatial concentration of air quality risks.</w:t>
      </w:r>
    </w:p>
    <w:p w14:paraId="6EF536DF" w14:textId="12DE680A" w:rsidR="005D695A" w:rsidRDefault="00ED0D56" w:rsidP="00C14340">
      <w:pPr>
        <w:jc w:val="center"/>
        <w:rPr>
          <w:rFonts w:asciiTheme="majorBidi" w:hAnsiTheme="majorBidi" w:cstheme="majorBidi"/>
        </w:rPr>
      </w:pPr>
      <w:r>
        <w:rPr>
          <w:rFonts w:asciiTheme="majorBidi" w:hAnsiTheme="majorBidi" w:cstheme="majorBidi"/>
          <w:noProof/>
        </w:rPr>
        <w:lastRenderedPageBreak/>
        <w:drawing>
          <wp:inline distT="0" distB="0" distL="0" distR="0" wp14:anchorId="7949FBB4" wp14:editId="61A50BA0">
            <wp:extent cx="4521157" cy="3129413"/>
            <wp:effectExtent l="0" t="0" r="0" b="0"/>
            <wp:docPr id="7310951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95167" name="Picture 731095167"/>
                    <pic:cNvPicPr/>
                  </pic:nvPicPr>
                  <pic:blipFill>
                    <a:blip r:embed="rId6">
                      <a:extLst>
                        <a:ext uri="{28A0092B-C50C-407E-A947-70E740481C1C}">
                          <a14:useLocalDpi xmlns:a14="http://schemas.microsoft.com/office/drawing/2010/main" val="0"/>
                        </a:ext>
                      </a:extLst>
                    </a:blip>
                    <a:stretch>
                      <a:fillRect/>
                    </a:stretch>
                  </pic:blipFill>
                  <pic:spPr>
                    <a:xfrm>
                      <a:off x="0" y="0"/>
                      <a:ext cx="4532805" cy="3137475"/>
                    </a:xfrm>
                    <a:prstGeom prst="rect">
                      <a:avLst/>
                    </a:prstGeom>
                  </pic:spPr>
                </pic:pic>
              </a:graphicData>
            </a:graphic>
          </wp:inline>
        </w:drawing>
      </w:r>
    </w:p>
    <w:p w14:paraId="0E14B596" w14:textId="7D2130E7" w:rsidR="00ED0D56" w:rsidRDefault="00ED0D56" w:rsidP="00ED0D56">
      <w:pPr>
        <w:rPr>
          <w:rFonts w:asciiTheme="majorBidi" w:hAnsiTheme="majorBidi" w:cstheme="majorBidi"/>
        </w:rPr>
      </w:pPr>
      <w:r w:rsidRPr="00ED0D56">
        <w:rPr>
          <w:rFonts w:asciiTheme="majorBidi" w:hAnsiTheme="majorBidi" w:cstheme="majorBidi"/>
          <w:color w:val="FF0000"/>
        </w:rPr>
        <w:t>Figure A</w:t>
      </w:r>
      <w:r>
        <w:rPr>
          <w:rFonts w:asciiTheme="majorBidi" w:hAnsiTheme="majorBidi" w:cstheme="majorBidi"/>
        </w:rPr>
        <w:t xml:space="preserve">: </w:t>
      </w:r>
      <w:r w:rsidRPr="00ED0D56">
        <w:rPr>
          <w:rFonts w:asciiTheme="majorBidi" w:hAnsiTheme="majorBidi" w:cstheme="majorBidi"/>
        </w:rPr>
        <w:t xml:space="preserve">Geospatial distribution of NO₂, SO₂, and Aerosol concentrations in the UAE (2020–2022). Brighter </w:t>
      </w:r>
      <w:proofErr w:type="spellStart"/>
      <w:r w:rsidRPr="00ED0D56">
        <w:rPr>
          <w:rFonts w:asciiTheme="majorBidi" w:hAnsiTheme="majorBidi" w:cstheme="majorBidi"/>
        </w:rPr>
        <w:t>colors</w:t>
      </w:r>
      <w:proofErr w:type="spellEnd"/>
      <w:r w:rsidRPr="00ED0D56">
        <w:rPr>
          <w:rFonts w:asciiTheme="majorBidi" w:hAnsiTheme="majorBidi" w:cstheme="majorBidi"/>
        </w:rPr>
        <w:t xml:space="preserve"> indicate higher pollutant levels.</w:t>
      </w:r>
    </w:p>
    <w:p w14:paraId="577BB55D" w14:textId="77777777" w:rsidR="00ED0D56" w:rsidRPr="00ED0D56" w:rsidRDefault="00ED0D56" w:rsidP="00ED0D56">
      <w:pPr>
        <w:rPr>
          <w:rFonts w:asciiTheme="majorBidi" w:hAnsiTheme="majorBidi" w:cstheme="majorBidi"/>
          <w:b/>
          <w:bCs/>
        </w:rPr>
      </w:pPr>
      <w:r w:rsidRPr="00ED0D56">
        <w:rPr>
          <w:rFonts w:asciiTheme="majorBidi" w:hAnsiTheme="majorBidi" w:cstheme="majorBidi"/>
          <w:b/>
          <w:bCs/>
        </w:rPr>
        <w:t>Key Observations:</w:t>
      </w:r>
    </w:p>
    <w:p w14:paraId="3FE9927E" w14:textId="77777777" w:rsidR="00ED0D56" w:rsidRPr="00ED0D56" w:rsidRDefault="00ED0D56" w:rsidP="00466B57">
      <w:pPr>
        <w:numPr>
          <w:ilvl w:val="0"/>
          <w:numId w:val="17"/>
        </w:numPr>
        <w:jc w:val="both"/>
        <w:rPr>
          <w:rFonts w:asciiTheme="majorBidi" w:hAnsiTheme="majorBidi" w:cstheme="majorBidi"/>
        </w:rPr>
      </w:pPr>
      <w:r w:rsidRPr="00ED0D56">
        <w:rPr>
          <w:rFonts w:asciiTheme="majorBidi" w:hAnsiTheme="majorBidi" w:cstheme="majorBidi"/>
          <w:b/>
          <w:bCs/>
        </w:rPr>
        <w:t>Abu Dhabi and Dubai</w:t>
      </w:r>
      <w:r w:rsidRPr="00ED0D56">
        <w:rPr>
          <w:rFonts w:asciiTheme="majorBidi" w:hAnsiTheme="majorBidi" w:cstheme="majorBidi"/>
        </w:rPr>
        <w:t xml:space="preserve"> show the most intense pollution concentrations, particularly for NO₂ and PM₁₀, aligning with zones of high traffic density and industrial activity.</w:t>
      </w:r>
    </w:p>
    <w:p w14:paraId="7EA5C037" w14:textId="77777777" w:rsidR="00ED0D56" w:rsidRPr="00ED0D56" w:rsidRDefault="00ED0D56" w:rsidP="00466B57">
      <w:pPr>
        <w:numPr>
          <w:ilvl w:val="0"/>
          <w:numId w:val="17"/>
        </w:numPr>
        <w:jc w:val="both"/>
        <w:rPr>
          <w:rFonts w:asciiTheme="majorBidi" w:hAnsiTheme="majorBidi" w:cstheme="majorBidi"/>
        </w:rPr>
      </w:pPr>
      <w:r w:rsidRPr="00ED0D56">
        <w:rPr>
          <w:rFonts w:asciiTheme="majorBidi" w:hAnsiTheme="majorBidi" w:cstheme="majorBidi"/>
          <w:b/>
          <w:bCs/>
        </w:rPr>
        <w:t>SO₂ hotspots</w:t>
      </w:r>
      <w:r w:rsidRPr="00ED0D56">
        <w:rPr>
          <w:rFonts w:asciiTheme="majorBidi" w:hAnsiTheme="majorBidi" w:cstheme="majorBidi"/>
        </w:rPr>
        <w:t xml:space="preserve">, however, are more dispersed and do not correlate strongly with urban mobility patterns, indicating </w:t>
      </w:r>
      <w:r w:rsidRPr="00ED0D56">
        <w:rPr>
          <w:rFonts w:asciiTheme="majorBidi" w:hAnsiTheme="majorBidi" w:cstheme="majorBidi"/>
          <w:b/>
          <w:bCs/>
        </w:rPr>
        <w:t>point-source emissions</w:t>
      </w:r>
      <w:r w:rsidRPr="00ED0D56">
        <w:rPr>
          <w:rFonts w:asciiTheme="majorBidi" w:hAnsiTheme="majorBidi" w:cstheme="majorBidi"/>
        </w:rPr>
        <w:t xml:space="preserve"> like oil, gas, and power generation facilities.</w:t>
      </w:r>
    </w:p>
    <w:p w14:paraId="37CBF305" w14:textId="77777777" w:rsidR="00ED0D56" w:rsidRPr="00ED0D56" w:rsidRDefault="00ED0D56" w:rsidP="00466B57">
      <w:pPr>
        <w:numPr>
          <w:ilvl w:val="0"/>
          <w:numId w:val="17"/>
        </w:numPr>
        <w:jc w:val="both"/>
        <w:rPr>
          <w:rFonts w:asciiTheme="majorBidi" w:hAnsiTheme="majorBidi" w:cstheme="majorBidi"/>
        </w:rPr>
      </w:pPr>
      <w:r w:rsidRPr="00ED0D56">
        <w:rPr>
          <w:rFonts w:asciiTheme="majorBidi" w:hAnsiTheme="majorBidi" w:cstheme="majorBidi"/>
        </w:rPr>
        <w:t>Remote and desert regions exhibit consistently low values, providing a useful contrast baseline.</w:t>
      </w:r>
    </w:p>
    <w:p w14:paraId="2636D62B" w14:textId="77777777" w:rsidR="00ED0D56" w:rsidRPr="00ED0D56" w:rsidRDefault="00ED0D56" w:rsidP="00466B57">
      <w:pPr>
        <w:jc w:val="both"/>
        <w:rPr>
          <w:rFonts w:asciiTheme="majorBidi" w:hAnsiTheme="majorBidi" w:cstheme="majorBidi"/>
        </w:rPr>
      </w:pPr>
      <w:r w:rsidRPr="00ED0D56">
        <w:rPr>
          <w:rFonts w:asciiTheme="majorBidi" w:hAnsiTheme="majorBidi" w:cstheme="majorBidi"/>
        </w:rPr>
        <w:t>These spatial insights form the foundation for zone-based clustering and forecasting that follow in later sections.</w:t>
      </w:r>
    </w:p>
    <w:p w14:paraId="64C53B45" w14:textId="77777777" w:rsidR="00E71792" w:rsidRPr="00376DFA" w:rsidRDefault="00E71792" w:rsidP="00376DFA">
      <w:pPr>
        <w:rPr>
          <w:rFonts w:asciiTheme="majorBidi" w:hAnsiTheme="majorBidi" w:cstheme="majorBidi"/>
        </w:rPr>
      </w:pPr>
    </w:p>
    <w:p w14:paraId="4D884A6C" w14:textId="1572E084" w:rsidR="00376DFA" w:rsidRPr="00376DFA" w:rsidRDefault="00376DFA" w:rsidP="00791455">
      <w:pPr>
        <w:pStyle w:val="Heading3"/>
        <w:numPr>
          <w:ilvl w:val="2"/>
          <w:numId w:val="15"/>
        </w:numPr>
        <w:rPr>
          <w:rFonts w:asciiTheme="majorBidi" w:hAnsiTheme="majorBidi"/>
          <w:b/>
          <w:bCs/>
          <w:color w:val="auto"/>
          <w:sz w:val="26"/>
          <w:szCs w:val="26"/>
        </w:rPr>
      </w:pPr>
      <w:r w:rsidRPr="00376DFA">
        <w:rPr>
          <w:rFonts w:asciiTheme="majorBidi" w:hAnsiTheme="majorBidi"/>
          <w:b/>
          <w:bCs/>
          <w:color w:val="auto"/>
          <w:sz w:val="26"/>
          <w:szCs w:val="26"/>
        </w:rPr>
        <w:t>Correlation Between Mobility Scores and Pollutant Concentrations</w:t>
      </w:r>
    </w:p>
    <w:p w14:paraId="08660C41" w14:textId="711084F3" w:rsidR="00E71792" w:rsidRDefault="00E71792" w:rsidP="005D695A">
      <w:pPr>
        <w:spacing w:before="100" w:beforeAutospacing="1" w:after="100" w:afterAutospacing="1" w:line="240" w:lineRule="auto"/>
        <w:jc w:val="both"/>
        <w:rPr>
          <w:rFonts w:ascii="Times New Roman" w:eastAsia="Times New Roman" w:hAnsi="Times New Roman" w:cs="Times New Roman"/>
          <w:kern w:val="0"/>
          <w:sz w:val="24"/>
          <w:szCs w:val="24"/>
          <w:lang w:eastAsia="en-AE"/>
          <w14:ligatures w14:val="none"/>
        </w:rPr>
      </w:pPr>
      <w:r w:rsidRPr="00E71792">
        <w:rPr>
          <w:rFonts w:ascii="Times New Roman" w:eastAsia="Times New Roman" w:hAnsi="Times New Roman" w:cs="Times New Roman"/>
          <w:kern w:val="0"/>
          <w:sz w:val="24"/>
          <w:szCs w:val="24"/>
          <w:lang w:eastAsia="en-AE"/>
          <w14:ligatures w14:val="none"/>
        </w:rPr>
        <w:t xml:space="preserve">To explore the relationship between urban activity and air quality, we </w:t>
      </w:r>
      <w:proofErr w:type="spellStart"/>
      <w:r w:rsidRPr="00E71792">
        <w:rPr>
          <w:rFonts w:ascii="Times New Roman" w:eastAsia="Times New Roman" w:hAnsi="Times New Roman" w:cs="Times New Roman"/>
          <w:kern w:val="0"/>
          <w:sz w:val="24"/>
          <w:szCs w:val="24"/>
          <w:lang w:eastAsia="en-AE"/>
          <w14:ligatures w14:val="none"/>
        </w:rPr>
        <w:t>analyzed</w:t>
      </w:r>
      <w:proofErr w:type="spellEnd"/>
      <w:r w:rsidRPr="00E71792">
        <w:rPr>
          <w:rFonts w:ascii="Times New Roman" w:eastAsia="Times New Roman" w:hAnsi="Times New Roman" w:cs="Times New Roman"/>
          <w:kern w:val="0"/>
          <w:sz w:val="24"/>
          <w:szCs w:val="24"/>
          <w:lang w:eastAsia="en-AE"/>
          <w14:ligatures w14:val="none"/>
        </w:rPr>
        <w:t xml:space="preserve"> the correlation between mobility scores and NO₂ concentrations across geohash-aggregated zones. The hypothesis was that decreased mobility (e.g., during lockdowns) would correspond with reductions in traffic-related pollutants, particularly NO₂.</w:t>
      </w:r>
      <w:r w:rsidR="005D695A">
        <w:rPr>
          <w:rFonts w:ascii="Times New Roman" w:eastAsia="Times New Roman" w:hAnsi="Times New Roman" w:cs="Times New Roman"/>
          <w:kern w:val="0"/>
          <w:sz w:val="24"/>
          <w:szCs w:val="24"/>
          <w:lang w:eastAsia="en-AE"/>
          <w14:ligatures w14:val="none"/>
        </w:rPr>
        <w:t xml:space="preserve"> </w:t>
      </w:r>
      <w:r w:rsidRPr="00E71792">
        <w:rPr>
          <w:rFonts w:ascii="Times New Roman" w:eastAsia="Times New Roman" w:hAnsi="Times New Roman" w:cs="Times New Roman"/>
          <w:kern w:val="0"/>
          <w:sz w:val="24"/>
          <w:szCs w:val="24"/>
          <w:lang w:eastAsia="en-AE"/>
          <w14:ligatures w14:val="none"/>
        </w:rPr>
        <w:t xml:space="preserve">A preliminary summary of descriptive </w:t>
      </w:r>
      <w:r w:rsidRPr="00466B57">
        <w:rPr>
          <w:rFonts w:ascii="Times New Roman" w:eastAsia="Times New Roman" w:hAnsi="Times New Roman" w:cs="Times New Roman"/>
          <w:kern w:val="0"/>
          <w:sz w:val="24"/>
          <w:szCs w:val="24"/>
          <w:lang w:eastAsia="en-AE"/>
          <w14:ligatures w14:val="none"/>
        </w:rPr>
        <w:t>statistics showed that NO₂ levels ranged from 7.3 µg/m³ to 76.8 µg/m³, while mobility scores varied from –27.5% to +12.1%. The WHO-recommended safety threshold for NO₂ is 40 µg/m³.</w:t>
      </w:r>
      <w:r w:rsidRPr="00E71792">
        <w:rPr>
          <w:rFonts w:ascii="Times New Roman" w:eastAsia="Times New Roman" w:hAnsi="Times New Roman" w:cs="Times New Roman"/>
          <w:kern w:val="0"/>
          <w:sz w:val="24"/>
          <w:szCs w:val="24"/>
          <w:lang w:eastAsia="en-AE"/>
          <w14:ligatures w14:val="none"/>
        </w:rPr>
        <w:t xml:space="preserve"> Only three zones exceeded this threshold: </w:t>
      </w:r>
      <w:proofErr w:type="spellStart"/>
      <w:r w:rsidRPr="00E71792">
        <w:rPr>
          <w:rFonts w:ascii="Courier New" w:eastAsia="Times New Roman" w:hAnsi="Courier New" w:cs="Courier New"/>
          <w:kern w:val="0"/>
          <w:sz w:val="20"/>
          <w:szCs w:val="20"/>
          <w:lang w:eastAsia="en-AE"/>
          <w14:ligatures w14:val="none"/>
        </w:rPr>
        <w:t>thqem</w:t>
      </w:r>
      <w:proofErr w:type="spellEnd"/>
      <w:r w:rsidRPr="00E71792">
        <w:rPr>
          <w:rFonts w:ascii="Times New Roman" w:eastAsia="Times New Roman" w:hAnsi="Times New Roman" w:cs="Times New Roman"/>
          <w:kern w:val="0"/>
          <w:sz w:val="24"/>
          <w:szCs w:val="24"/>
          <w:lang w:eastAsia="en-AE"/>
          <w14:ligatures w14:val="none"/>
        </w:rPr>
        <w:t xml:space="preserve">, </w:t>
      </w:r>
      <w:r w:rsidRPr="00E71792">
        <w:rPr>
          <w:rFonts w:ascii="Courier New" w:eastAsia="Times New Roman" w:hAnsi="Courier New" w:cs="Courier New"/>
          <w:kern w:val="0"/>
          <w:sz w:val="20"/>
          <w:szCs w:val="20"/>
          <w:lang w:eastAsia="en-AE"/>
          <w14:ligatures w14:val="none"/>
        </w:rPr>
        <w:t>thqf4</w:t>
      </w:r>
      <w:r w:rsidRPr="00E71792">
        <w:rPr>
          <w:rFonts w:ascii="Times New Roman" w:eastAsia="Times New Roman" w:hAnsi="Times New Roman" w:cs="Times New Roman"/>
          <w:kern w:val="0"/>
          <w:sz w:val="24"/>
          <w:szCs w:val="24"/>
          <w:lang w:eastAsia="en-AE"/>
          <w14:ligatures w14:val="none"/>
        </w:rPr>
        <w:t xml:space="preserve">, and </w:t>
      </w:r>
      <w:r w:rsidRPr="00E71792">
        <w:rPr>
          <w:rFonts w:ascii="Courier New" w:eastAsia="Times New Roman" w:hAnsi="Courier New" w:cs="Courier New"/>
          <w:kern w:val="0"/>
          <w:sz w:val="20"/>
          <w:szCs w:val="20"/>
          <w:lang w:eastAsia="en-AE"/>
          <w14:ligatures w14:val="none"/>
        </w:rPr>
        <w:t>thqf8</w:t>
      </w:r>
      <w:r w:rsidRPr="00E71792">
        <w:rPr>
          <w:rFonts w:ascii="Times New Roman" w:eastAsia="Times New Roman" w:hAnsi="Times New Roman" w:cs="Times New Roman"/>
          <w:kern w:val="0"/>
          <w:sz w:val="24"/>
          <w:szCs w:val="24"/>
          <w:lang w:eastAsia="en-AE"/>
          <w14:ligatures w14:val="none"/>
        </w:rPr>
        <w:t>.</w:t>
      </w:r>
      <w:r w:rsidR="005D695A">
        <w:rPr>
          <w:rFonts w:ascii="Times New Roman" w:eastAsia="Times New Roman" w:hAnsi="Times New Roman" w:cs="Times New Roman"/>
          <w:kern w:val="0"/>
          <w:sz w:val="24"/>
          <w:szCs w:val="24"/>
          <w:lang w:eastAsia="en-AE"/>
          <w14:ligatures w14:val="none"/>
        </w:rPr>
        <w:t xml:space="preserve"> </w:t>
      </w:r>
      <w:r w:rsidRPr="00E71792">
        <w:rPr>
          <w:rFonts w:ascii="Times New Roman" w:eastAsia="Times New Roman" w:hAnsi="Times New Roman" w:cs="Times New Roman"/>
          <w:kern w:val="0"/>
          <w:sz w:val="24"/>
          <w:szCs w:val="24"/>
          <w:lang w:eastAsia="en-AE"/>
          <w14:ligatures w14:val="none"/>
        </w:rPr>
        <w:t xml:space="preserve">The relationship between NO₂ and mobility is visualized in </w:t>
      </w:r>
      <w:r w:rsidRPr="00E71792">
        <w:rPr>
          <w:rFonts w:ascii="Times New Roman" w:eastAsia="Times New Roman" w:hAnsi="Times New Roman" w:cs="Times New Roman"/>
          <w:b/>
          <w:bCs/>
          <w:color w:val="FF0000"/>
          <w:kern w:val="0"/>
          <w:sz w:val="24"/>
          <w:szCs w:val="24"/>
          <w:lang w:eastAsia="en-AE"/>
          <w14:ligatures w14:val="none"/>
        </w:rPr>
        <w:t>Figure X</w:t>
      </w:r>
      <w:r w:rsidRPr="00E71792">
        <w:rPr>
          <w:rFonts w:ascii="Times New Roman" w:eastAsia="Times New Roman" w:hAnsi="Times New Roman" w:cs="Times New Roman"/>
          <w:kern w:val="0"/>
          <w:sz w:val="24"/>
          <w:szCs w:val="24"/>
          <w:lang w:eastAsia="en-AE"/>
          <w14:ligatures w14:val="none"/>
        </w:rPr>
        <w:t>. A general inverse trend is apparent—most zones with reduced mobility also had lower NO₂ levels. This sup</w:t>
      </w:r>
      <w:r w:rsidRPr="00466B57">
        <w:rPr>
          <w:rFonts w:ascii="Times New Roman" w:eastAsia="Times New Roman" w:hAnsi="Times New Roman" w:cs="Times New Roman"/>
          <w:kern w:val="0"/>
          <w:sz w:val="24"/>
          <w:szCs w:val="24"/>
          <w:lang w:eastAsia="en-AE"/>
          <w14:ligatures w14:val="none"/>
        </w:rPr>
        <w:t>ports the role of traffic emissions as a primary contributor to NO₂ levels in urban UAE.</w:t>
      </w:r>
    </w:p>
    <w:p w14:paraId="369131F4" w14:textId="77777777" w:rsidR="00C14340" w:rsidRDefault="005D695A" w:rsidP="00E71792">
      <w:pPr>
        <w:spacing w:before="100" w:beforeAutospacing="1" w:after="100" w:afterAutospacing="1" w:line="240" w:lineRule="auto"/>
        <w:rPr>
          <w:rFonts w:ascii="Times New Roman" w:eastAsia="Times New Roman" w:hAnsi="Times New Roman" w:cs="Times New Roman"/>
          <w:color w:val="FF0000"/>
          <w:kern w:val="0"/>
          <w:sz w:val="24"/>
          <w:szCs w:val="24"/>
          <w:lang w:eastAsia="en-AE"/>
          <w14:ligatures w14:val="none"/>
        </w:rPr>
      </w:pPr>
      <w:r>
        <w:rPr>
          <w:rFonts w:ascii="Times New Roman" w:eastAsia="Times New Roman" w:hAnsi="Times New Roman" w:cs="Times New Roman"/>
          <w:noProof/>
          <w:kern w:val="0"/>
          <w:sz w:val="24"/>
          <w:szCs w:val="24"/>
          <w:lang w:eastAsia="en-AE"/>
        </w:rPr>
        <w:lastRenderedPageBreak/>
        <w:drawing>
          <wp:inline distT="0" distB="0" distL="0" distR="0" wp14:anchorId="70E709F2" wp14:editId="2C5AA30B">
            <wp:extent cx="4770120" cy="3168883"/>
            <wp:effectExtent l="0" t="0" r="0" b="0"/>
            <wp:docPr id="3333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075" name="Picture 33339075"/>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76035" cy="3172812"/>
                    </a:xfrm>
                    <a:prstGeom prst="rect">
                      <a:avLst/>
                    </a:prstGeom>
                  </pic:spPr>
                </pic:pic>
              </a:graphicData>
            </a:graphic>
          </wp:inline>
        </w:drawing>
      </w:r>
    </w:p>
    <w:p w14:paraId="78E6E6DC" w14:textId="489C7DC1" w:rsidR="00E71792" w:rsidRPr="00E71792" w:rsidRDefault="00E71792" w:rsidP="00E71792">
      <w:pPr>
        <w:spacing w:before="100" w:beforeAutospacing="1" w:after="100" w:afterAutospacing="1" w:line="240" w:lineRule="auto"/>
        <w:rPr>
          <w:rFonts w:ascii="Times New Roman" w:eastAsia="Times New Roman" w:hAnsi="Times New Roman" w:cs="Times New Roman"/>
          <w:kern w:val="0"/>
          <w:sz w:val="24"/>
          <w:szCs w:val="24"/>
          <w:lang w:eastAsia="en-AE"/>
          <w14:ligatures w14:val="none"/>
        </w:rPr>
      </w:pPr>
      <w:r w:rsidRPr="005D695A">
        <w:rPr>
          <w:rFonts w:ascii="Times New Roman" w:eastAsia="Times New Roman" w:hAnsi="Times New Roman" w:cs="Times New Roman"/>
          <w:color w:val="FF0000"/>
          <w:kern w:val="0"/>
          <w:sz w:val="24"/>
          <w:szCs w:val="24"/>
          <w:lang w:eastAsia="en-AE"/>
          <w14:ligatures w14:val="none"/>
        </w:rPr>
        <w:t>Figure X</w:t>
      </w:r>
      <w:r w:rsidRPr="005D695A">
        <w:rPr>
          <w:rFonts w:ascii="Times New Roman" w:eastAsia="Times New Roman" w:hAnsi="Times New Roman" w:cs="Times New Roman"/>
          <w:kern w:val="0"/>
          <w:sz w:val="24"/>
          <w:szCs w:val="24"/>
          <w:lang w:eastAsia="en-AE"/>
          <w14:ligatures w14:val="none"/>
        </w:rPr>
        <w:t>:</w:t>
      </w:r>
      <w:r>
        <w:rPr>
          <w:rFonts w:ascii="Times New Roman" w:eastAsia="Times New Roman" w:hAnsi="Times New Roman" w:cs="Times New Roman"/>
          <w:b/>
          <w:bCs/>
          <w:kern w:val="0"/>
          <w:sz w:val="24"/>
          <w:szCs w:val="24"/>
          <w:lang w:eastAsia="en-AE"/>
          <w14:ligatures w14:val="none"/>
        </w:rPr>
        <w:t xml:space="preserve"> </w:t>
      </w:r>
      <w:r w:rsidRPr="00E71792">
        <w:rPr>
          <w:rFonts w:ascii="Times New Roman" w:eastAsia="Times New Roman" w:hAnsi="Times New Roman" w:cs="Times New Roman"/>
          <w:kern w:val="0"/>
          <w:sz w:val="24"/>
          <w:szCs w:val="24"/>
          <w:lang w:eastAsia="en-AE"/>
          <w14:ligatures w14:val="none"/>
        </w:rPr>
        <w:t>NO₂ concentrations plotted against mobility score across UAE urban zones. The red dashed line indicates the WHO recommended limit (40 µg/m³). Zone thqf4 appears as a significant outlier with high NO₂ despite positive mobility.</w:t>
      </w:r>
    </w:p>
    <w:p w14:paraId="4DF0D182" w14:textId="77777777" w:rsidR="00E71792" w:rsidRDefault="00E71792" w:rsidP="00466B57">
      <w:pPr>
        <w:spacing w:before="100" w:beforeAutospacing="1" w:after="100" w:afterAutospacing="1" w:line="240" w:lineRule="auto"/>
        <w:ind w:firstLine="720"/>
        <w:jc w:val="both"/>
        <w:rPr>
          <w:rFonts w:ascii="Times New Roman" w:eastAsia="Times New Roman" w:hAnsi="Times New Roman" w:cs="Times New Roman"/>
          <w:kern w:val="0"/>
          <w:sz w:val="24"/>
          <w:szCs w:val="24"/>
          <w:lang w:eastAsia="en-AE"/>
          <w14:ligatures w14:val="none"/>
        </w:rPr>
      </w:pPr>
      <w:r w:rsidRPr="00466B57">
        <w:rPr>
          <w:rFonts w:ascii="Times New Roman" w:eastAsia="Times New Roman" w:hAnsi="Times New Roman" w:cs="Times New Roman"/>
          <w:kern w:val="0"/>
          <w:sz w:val="24"/>
          <w:szCs w:val="24"/>
          <w:lang w:eastAsia="en-AE"/>
          <w14:ligatures w14:val="none"/>
        </w:rPr>
        <w:t xml:space="preserve">However, a notable outlier was zone </w:t>
      </w:r>
      <w:r w:rsidRPr="00466B57">
        <w:rPr>
          <w:rFonts w:ascii="Courier New" w:eastAsia="Times New Roman" w:hAnsi="Courier New" w:cs="Courier New"/>
          <w:kern w:val="0"/>
          <w:sz w:val="20"/>
          <w:szCs w:val="20"/>
          <w:lang w:eastAsia="en-AE"/>
          <w14:ligatures w14:val="none"/>
        </w:rPr>
        <w:t>thqf4</w:t>
      </w:r>
      <w:r w:rsidRPr="00466B57">
        <w:rPr>
          <w:rFonts w:ascii="Times New Roman" w:eastAsia="Times New Roman" w:hAnsi="Times New Roman" w:cs="Times New Roman"/>
          <w:kern w:val="0"/>
          <w:sz w:val="24"/>
          <w:szCs w:val="24"/>
          <w:lang w:eastAsia="en-AE"/>
          <w14:ligatures w14:val="none"/>
        </w:rPr>
        <w:t>, which exhibited the highest NO₂ level (76.8 µg/m³) despite a positive mobility score of +12.1%. This anomaly suggests that sources unrelated to vehicular traffic, such as industrial operations or construction, may be influencing air quality in that zone. Identifying such exceptions is crucial for developing effective, localized environmental policies.</w:t>
      </w:r>
    </w:p>
    <w:p w14:paraId="414FB1C6" w14:textId="77777777" w:rsidR="00AF7A2E" w:rsidRDefault="00AF7A2E" w:rsidP="00466B57">
      <w:pPr>
        <w:spacing w:before="100" w:beforeAutospacing="1" w:after="100" w:afterAutospacing="1" w:line="240" w:lineRule="auto"/>
        <w:ind w:firstLine="720"/>
        <w:jc w:val="both"/>
        <w:rPr>
          <w:rFonts w:ascii="Times New Roman" w:eastAsia="Times New Roman" w:hAnsi="Times New Roman" w:cs="Times New Roman"/>
          <w:kern w:val="0"/>
          <w:sz w:val="24"/>
          <w:szCs w:val="24"/>
          <w:lang w:eastAsia="en-AE"/>
          <w14:ligatures w14:val="none"/>
        </w:rPr>
      </w:pPr>
    </w:p>
    <w:p w14:paraId="6B85EC5A" w14:textId="1D5223E6" w:rsidR="00AF7A2E" w:rsidRDefault="00AF7A2E" w:rsidP="00C14340">
      <w:pPr>
        <w:spacing w:before="100" w:beforeAutospacing="1" w:after="100" w:afterAutospacing="1" w:line="240" w:lineRule="auto"/>
        <w:jc w:val="center"/>
        <w:rPr>
          <w:rFonts w:ascii="Times New Roman" w:eastAsia="Times New Roman" w:hAnsi="Times New Roman" w:cs="Times New Roman"/>
          <w:kern w:val="0"/>
          <w:sz w:val="24"/>
          <w:szCs w:val="24"/>
          <w:lang w:eastAsia="en-AE"/>
          <w14:ligatures w14:val="none"/>
        </w:rPr>
      </w:pPr>
      <w:r>
        <w:rPr>
          <w:rFonts w:ascii="Times New Roman" w:eastAsia="Times New Roman" w:hAnsi="Times New Roman" w:cs="Times New Roman"/>
          <w:noProof/>
          <w:kern w:val="0"/>
          <w:sz w:val="24"/>
          <w:szCs w:val="24"/>
          <w:lang w:eastAsia="en-AE"/>
        </w:rPr>
        <w:lastRenderedPageBreak/>
        <w:drawing>
          <wp:inline distT="0" distB="0" distL="0" distR="0" wp14:anchorId="7337E1A7" wp14:editId="65CB0727">
            <wp:extent cx="4927600" cy="4199870"/>
            <wp:effectExtent l="0" t="0" r="6350" b="0"/>
            <wp:docPr id="10945800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80097" name="Picture 1094580097"/>
                    <pic:cNvPicPr/>
                  </pic:nvPicPr>
                  <pic:blipFill>
                    <a:blip r:embed="rId8">
                      <a:extLst>
                        <a:ext uri="{28A0092B-C50C-407E-A947-70E740481C1C}">
                          <a14:useLocalDpi xmlns:a14="http://schemas.microsoft.com/office/drawing/2010/main" val="0"/>
                        </a:ext>
                      </a:extLst>
                    </a:blip>
                    <a:stretch>
                      <a:fillRect/>
                    </a:stretch>
                  </pic:blipFill>
                  <pic:spPr>
                    <a:xfrm>
                      <a:off x="0" y="0"/>
                      <a:ext cx="4934959" cy="4206142"/>
                    </a:xfrm>
                    <a:prstGeom prst="rect">
                      <a:avLst/>
                    </a:prstGeom>
                  </pic:spPr>
                </pic:pic>
              </a:graphicData>
            </a:graphic>
          </wp:inline>
        </w:drawing>
      </w:r>
    </w:p>
    <w:p w14:paraId="40F9C5D9" w14:textId="5F07F4EB" w:rsidR="00AF7A2E" w:rsidRPr="00466B57" w:rsidRDefault="00AF7A2E" w:rsidP="00AF7A2E">
      <w:pPr>
        <w:spacing w:before="100" w:beforeAutospacing="1" w:after="100" w:afterAutospacing="1" w:line="240" w:lineRule="auto"/>
        <w:jc w:val="both"/>
        <w:rPr>
          <w:rFonts w:ascii="Times New Roman" w:eastAsia="Times New Roman" w:hAnsi="Times New Roman" w:cs="Times New Roman"/>
          <w:kern w:val="0"/>
          <w:sz w:val="24"/>
          <w:szCs w:val="24"/>
          <w:lang w:eastAsia="en-AE"/>
          <w14:ligatures w14:val="none"/>
        </w:rPr>
      </w:pPr>
      <w:r w:rsidRPr="00AF7A2E">
        <w:rPr>
          <w:rFonts w:ascii="Times New Roman" w:eastAsia="Times New Roman" w:hAnsi="Times New Roman" w:cs="Times New Roman"/>
          <w:b/>
          <w:bCs/>
          <w:kern w:val="0"/>
          <w:sz w:val="24"/>
          <w:szCs w:val="24"/>
          <w:lang w:eastAsia="en-AE"/>
          <w14:ligatures w14:val="none"/>
        </w:rPr>
        <w:t xml:space="preserve">Figure </w:t>
      </w:r>
      <w:r>
        <w:rPr>
          <w:rFonts w:ascii="Times New Roman" w:eastAsia="Times New Roman" w:hAnsi="Times New Roman" w:cs="Times New Roman"/>
          <w:b/>
          <w:bCs/>
          <w:kern w:val="0"/>
          <w:sz w:val="24"/>
          <w:szCs w:val="24"/>
          <w:lang w:eastAsia="en-AE"/>
          <w14:ligatures w14:val="none"/>
        </w:rPr>
        <w:t>G:</w:t>
      </w:r>
      <w:r w:rsidRPr="00AF7A2E">
        <w:rPr>
          <w:rFonts w:ascii="Times New Roman" w:eastAsia="Times New Roman" w:hAnsi="Times New Roman" w:cs="Times New Roman"/>
          <w:kern w:val="0"/>
          <w:sz w:val="24"/>
          <w:szCs w:val="24"/>
          <w:lang w:eastAsia="en-AE"/>
          <w14:ligatures w14:val="none"/>
        </w:rPr>
        <w:t xml:space="preserve"> Correlation matrix showing relationships between NO₂, PM₁₀, SO₂, and mobility score across UAE zones. NO₂ and PM₁₀ are positively correlated (r = 0.52), while SO₂ shows weak or inverse associations with mobility.</w:t>
      </w:r>
    </w:p>
    <w:p w14:paraId="00D5CC03" w14:textId="77777777" w:rsidR="00E71792" w:rsidRPr="00376DFA" w:rsidRDefault="00E71792" w:rsidP="00376DFA">
      <w:pPr>
        <w:rPr>
          <w:rFonts w:asciiTheme="majorBidi" w:hAnsiTheme="majorBidi" w:cstheme="majorBidi"/>
        </w:rPr>
      </w:pPr>
    </w:p>
    <w:p w14:paraId="7C0E419C" w14:textId="0E5209B9" w:rsidR="00376DFA" w:rsidRPr="00376DFA" w:rsidRDefault="00376DFA" w:rsidP="00791455">
      <w:pPr>
        <w:pStyle w:val="Heading3"/>
        <w:numPr>
          <w:ilvl w:val="2"/>
          <w:numId w:val="15"/>
        </w:numPr>
        <w:rPr>
          <w:rFonts w:asciiTheme="majorBidi" w:hAnsiTheme="majorBidi"/>
          <w:color w:val="auto"/>
          <w:sz w:val="26"/>
          <w:szCs w:val="26"/>
        </w:rPr>
      </w:pPr>
      <w:r w:rsidRPr="00376DFA">
        <w:rPr>
          <w:rFonts w:asciiTheme="majorBidi" w:hAnsiTheme="majorBidi"/>
          <w:color w:val="auto"/>
          <w:sz w:val="26"/>
          <w:szCs w:val="26"/>
        </w:rPr>
        <w:t>Critical Zones with Persistent Pollution</w:t>
      </w:r>
    </w:p>
    <w:p w14:paraId="0611FDD8" w14:textId="2BEF47E4" w:rsidR="00220F49" w:rsidRDefault="00ED0D56" w:rsidP="00C14340">
      <w:pPr>
        <w:jc w:val="both"/>
        <w:rPr>
          <w:rFonts w:asciiTheme="majorBidi" w:hAnsiTheme="majorBidi" w:cstheme="majorBidi"/>
        </w:rPr>
      </w:pPr>
      <w:r w:rsidRPr="00ED0D56">
        <w:rPr>
          <w:rFonts w:asciiTheme="majorBidi" w:hAnsiTheme="majorBidi" w:cstheme="majorBidi"/>
        </w:rPr>
        <w:t xml:space="preserve">While a general inverse relationship between mobility and NO₂ concentrations was observed across UAE urban zones, several outlier zones defied this trend, </w:t>
      </w:r>
      <w:r w:rsidR="00220F49" w:rsidRPr="00466B57">
        <w:rPr>
          <w:rFonts w:asciiTheme="majorBidi" w:hAnsiTheme="majorBidi" w:cstheme="majorBidi"/>
        </w:rPr>
        <w:t>signalling</w:t>
      </w:r>
      <w:r w:rsidRPr="00ED0D56">
        <w:rPr>
          <w:rFonts w:asciiTheme="majorBidi" w:hAnsiTheme="majorBidi" w:cstheme="majorBidi"/>
        </w:rPr>
        <w:t xml:space="preserve"> the influence of additional emission sources not tied to human movement patterns.</w:t>
      </w:r>
      <w:r w:rsidR="00220F49" w:rsidRPr="00466B57">
        <w:rPr>
          <w:rFonts w:asciiTheme="majorBidi" w:hAnsiTheme="majorBidi" w:cstheme="majorBidi"/>
        </w:rPr>
        <w:t xml:space="preserve"> While most urban zones followed the expected inverse pattern between NO₂ levels and mobility reduction, three geohash zones exceeded the WHO NO₂ safety threshold of 40 µg/m³ (</w:t>
      </w:r>
      <w:r w:rsidR="00220F49" w:rsidRPr="00466B57">
        <w:rPr>
          <w:rFonts w:asciiTheme="majorBidi" w:hAnsiTheme="majorBidi" w:cstheme="majorBidi"/>
          <w:color w:val="FF0000"/>
        </w:rPr>
        <w:t>see Table B</w:t>
      </w:r>
      <w:r w:rsidR="00220F49" w:rsidRPr="00466B57">
        <w:rPr>
          <w:rFonts w:asciiTheme="majorBidi" w:hAnsiTheme="majorBidi" w:cstheme="majorBidi"/>
        </w:rPr>
        <w:t>). Among them, zone thqf4 stands out for having the highest NO₂ concentration (76.8 µg/m³) despite increased mobility (+12.1%), making it a critical environmental outlier.</w:t>
      </w:r>
    </w:p>
    <w:p w14:paraId="6640E64A" w14:textId="77777777" w:rsidR="00C14340" w:rsidRDefault="00C14340" w:rsidP="00C14340">
      <w:pPr>
        <w:jc w:val="both"/>
        <w:rPr>
          <w:rFonts w:asciiTheme="majorBidi" w:hAnsiTheme="majorBidi" w:cstheme="majorBidi"/>
        </w:rPr>
      </w:pPr>
    </w:p>
    <w:p w14:paraId="5103256D" w14:textId="77777777" w:rsidR="00C14340" w:rsidRPr="00466B57" w:rsidRDefault="00C14340" w:rsidP="00C14340">
      <w:pPr>
        <w:jc w:val="both"/>
        <w:rPr>
          <w:rFonts w:asciiTheme="majorBidi" w:hAnsiTheme="majorBidi" w:cstheme="majorBidi"/>
        </w:rPr>
      </w:pPr>
    </w:p>
    <w:p w14:paraId="5B8FAAE4" w14:textId="1018AE35" w:rsidR="00220F49" w:rsidRDefault="00220F49" w:rsidP="00220F49">
      <w:pPr>
        <w:rPr>
          <w:rFonts w:asciiTheme="majorBidi" w:hAnsiTheme="majorBidi" w:cstheme="majorBidi"/>
        </w:rPr>
      </w:pPr>
      <w:r w:rsidRPr="00466B57">
        <w:rPr>
          <w:rFonts w:asciiTheme="majorBidi" w:hAnsiTheme="majorBidi" w:cstheme="majorBidi"/>
          <w:b/>
          <w:bCs/>
          <w:color w:val="FF0000"/>
        </w:rPr>
        <w:t xml:space="preserve">Table </w:t>
      </w:r>
      <w:r w:rsidR="00466B57" w:rsidRPr="00466B57">
        <w:rPr>
          <w:rFonts w:asciiTheme="majorBidi" w:hAnsiTheme="majorBidi" w:cstheme="majorBidi"/>
          <w:b/>
          <w:bCs/>
          <w:color w:val="FF0000"/>
        </w:rPr>
        <w:t>B</w:t>
      </w:r>
      <w:r w:rsidRPr="00466B57">
        <w:rPr>
          <w:rFonts w:asciiTheme="majorBidi" w:hAnsiTheme="majorBidi" w:cstheme="majorBidi"/>
          <w:b/>
          <w:bCs/>
          <w:color w:val="FF0000"/>
        </w:rPr>
        <w:t>.</w:t>
      </w:r>
      <w:r w:rsidRPr="00466B57">
        <w:rPr>
          <w:rFonts w:asciiTheme="majorBidi" w:hAnsiTheme="majorBidi" w:cstheme="majorBidi"/>
          <w:color w:val="FF0000"/>
        </w:rPr>
        <w:t xml:space="preserve"> </w:t>
      </w:r>
      <w:r w:rsidRPr="00220F49">
        <w:rPr>
          <w:rFonts w:asciiTheme="majorBidi" w:hAnsiTheme="majorBidi" w:cstheme="majorBidi"/>
        </w:rPr>
        <w:t>Urban zones exceeding the WHO NO₂ limit (40 µg/m³) with corresponding mobility scores.</w:t>
      </w:r>
    </w:p>
    <w:tbl>
      <w:tblPr>
        <w:tblStyle w:val="PlainTable1"/>
        <w:tblW w:w="8584" w:type="dxa"/>
        <w:tblLook w:val="04A0" w:firstRow="1" w:lastRow="0" w:firstColumn="1" w:lastColumn="0" w:noHBand="0" w:noVBand="1"/>
      </w:tblPr>
      <w:tblGrid>
        <w:gridCol w:w="1733"/>
        <w:gridCol w:w="2276"/>
        <w:gridCol w:w="4575"/>
      </w:tblGrid>
      <w:tr w:rsidR="00220F49" w:rsidRPr="00220F49" w14:paraId="783ADBB0" w14:textId="77777777" w:rsidTr="00220F49">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hideMark/>
          </w:tcPr>
          <w:p w14:paraId="1DBF7FB1" w14:textId="77777777" w:rsidR="00220F49" w:rsidRPr="00220F49" w:rsidRDefault="00220F49" w:rsidP="00220F49">
            <w:pPr>
              <w:spacing w:after="160" w:line="259" w:lineRule="auto"/>
              <w:jc w:val="center"/>
              <w:rPr>
                <w:rFonts w:asciiTheme="majorBidi" w:hAnsiTheme="majorBidi" w:cstheme="majorBidi"/>
              </w:rPr>
            </w:pPr>
            <w:r w:rsidRPr="00220F49">
              <w:rPr>
                <w:rFonts w:asciiTheme="majorBidi" w:hAnsiTheme="majorBidi" w:cstheme="majorBidi"/>
              </w:rPr>
              <w:t>Geohash</w:t>
            </w:r>
          </w:p>
        </w:tc>
        <w:tc>
          <w:tcPr>
            <w:tcW w:w="0" w:type="auto"/>
            <w:hideMark/>
          </w:tcPr>
          <w:p w14:paraId="56927042" w14:textId="77777777" w:rsidR="00220F49" w:rsidRPr="00220F49" w:rsidRDefault="00220F49" w:rsidP="00220F49">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20F49">
              <w:rPr>
                <w:rFonts w:asciiTheme="majorBidi" w:hAnsiTheme="majorBidi" w:cstheme="majorBidi"/>
              </w:rPr>
              <w:t>NO₂ (µg/m³)</w:t>
            </w:r>
          </w:p>
        </w:tc>
        <w:tc>
          <w:tcPr>
            <w:tcW w:w="0" w:type="auto"/>
            <w:hideMark/>
          </w:tcPr>
          <w:p w14:paraId="4AE96E57" w14:textId="77777777" w:rsidR="00220F49" w:rsidRPr="00220F49" w:rsidRDefault="00220F49" w:rsidP="00220F49">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20F49">
              <w:rPr>
                <w:rFonts w:asciiTheme="majorBidi" w:hAnsiTheme="majorBidi" w:cstheme="majorBidi"/>
              </w:rPr>
              <w:t>Mobility Score (% change)</w:t>
            </w:r>
          </w:p>
        </w:tc>
      </w:tr>
      <w:tr w:rsidR="00220F49" w:rsidRPr="00220F49" w14:paraId="53F5EFD6" w14:textId="77777777" w:rsidTr="00220F4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hideMark/>
          </w:tcPr>
          <w:p w14:paraId="050AF836" w14:textId="77777777" w:rsidR="00220F49" w:rsidRPr="00220F49" w:rsidRDefault="00220F49" w:rsidP="00220F49">
            <w:pPr>
              <w:spacing w:after="160" w:line="259" w:lineRule="auto"/>
              <w:jc w:val="center"/>
              <w:rPr>
                <w:rFonts w:asciiTheme="majorBidi" w:hAnsiTheme="majorBidi" w:cstheme="majorBidi"/>
              </w:rPr>
            </w:pPr>
            <w:proofErr w:type="spellStart"/>
            <w:r w:rsidRPr="00220F49">
              <w:rPr>
                <w:rFonts w:asciiTheme="majorBidi" w:hAnsiTheme="majorBidi" w:cstheme="majorBidi"/>
              </w:rPr>
              <w:t>thqem</w:t>
            </w:r>
            <w:proofErr w:type="spellEnd"/>
          </w:p>
        </w:tc>
        <w:tc>
          <w:tcPr>
            <w:tcW w:w="0" w:type="auto"/>
            <w:hideMark/>
          </w:tcPr>
          <w:p w14:paraId="10E0DA1B" w14:textId="77777777" w:rsidR="00220F49" w:rsidRPr="00220F49" w:rsidRDefault="00220F49" w:rsidP="00220F4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20F49">
              <w:rPr>
                <w:rFonts w:asciiTheme="majorBidi" w:hAnsiTheme="majorBidi" w:cstheme="majorBidi"/>
              </w:rPr>
              <w:t>40.40</w:t>
            </w:r>
          </w:p>
        </w:tc>
        <w:tc>
          <w:tcPr>
            <w:tcW w:w="0" w:type="auto"/>
            <w:hideMark/>
          </w:tcPr>
          <w:p w14:paraId="1D1BF0EA" w14:textId="77777777" w:rsidR="00220F49" w:rsidRPr="00220F49" w:rsidRDefault="00220F49" w:rsidP="00220F4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20F49">
              <w:rPr>
                <w:rFonts w:asciiTheme="majorBidi" w:hAnsiTheme="majorBidi" w:cstheme="majorBidi"/>
              </w:rPr>
              <w:t>–18.93</w:t>
            </w:r>
          </w:p>
        </w:tc>
      </w:tr>
      <w:tr w:rsidR="00220F49" w:rsidRPr="00220F49" w14:paraId="740AA334" w14:textId="77777777" w:rsidTr="00220F49">
        <w:trPr>
          <w:trHeight w:val="432"/>
        </w:trPr>
        <w:tc>
          <w:tcPr>
            <w:cnfStyle w:val="001000000000" w:firstRow="0" w:lastRow="0" w:firstColumn="1" w:lastColumn="0" w:oddVBand="0" w:evenVBand="0" w:oddHBand="0" w:evenHBand="0" w:firstRowFirstColumn="0" w:firstRowLastColumn="0" w:lastRowFirstColumn="0" w:lastRowLastColumn="0"/>
            <w:tcW w:w="0" w:type="auto"/>
            <w:hideMark/>
          </w:tcPr>
          <w:p w14:paraId="1CFED2BD" w14:textId="77777777" w:rsidR="00220F49" w:rsidRPr="00220F49" w:rsidRDefault="00220F49" w:rsidP="00220F49">
            <w:pPr>
              <w:spacing w:after="160" w:line="259" w:lineRule="auto"/>
              <w:jc w:val="center"/>
              <w:rPr>
                <w:rFonts w:asciiTheme="majorBidi" w:hAnsiTheme="majorBidi" w:cstheme="majorBidi"/>
              </w:rPr>
            </w:pPr>
            <w:r w:rsidRPr="00220F49">
              <w:rPr>
                <w:rFonts w:asciiTheme="majorBidi" w:hAnsiTheme="majorBidi" w:cstheme="majorBidi"/>
              </w:rPr>
              <w:t>thqf4</w:t>
            </w:r>
          </w:p>
        </w:tc>
        <w:tc>
          <w:tcPr>
            <w:tcW w:w="0" w:type="auto"/>
            <w:hideMark/>
          </w:tcPr>
          <w:p w14:paraId="76E76902" w14:textId="77777777" w:rsidR="00220F49" w:rsidRPr="00220F49" w:rsidRDefault="00220F49" w:rsidP="00220F4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20F49">
              <w:rPr>
                <w:rFonts w:asciiTheme="majorBidi" w:hAnsiTheme="majorBidi" w:cstheme="majorBidi"/>
              </w:rPr>
              <w:t>76.80</w:t>
            </w:r>
          </w:p>
        </w:tc>
        <w:tc>
          <w:tcPr>
            <w:tcW w:w="0" w:type="auto"/>
            <w:hideMark/>
          </w:tcPr>
          <w:p w14:paraId="26B47574" w14:textId="77777777" w:rsidR="00220F49" w:rsidRPr="00220F49" w:rsidRDefault="00220F49" w:rsidP="00220F4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20F49">
              <w:rPr>
                <w:rFonts w:asciiTheme="majorBidi" w:hAnsiTheme="majorBidi" w:cstheme="majorBidi"/>
              </w:rPr>
              <w:t>+12.10</w:t>
            </w:r>
          </w:p>
        </w:tc>
      </w:tr>
      <w:tr w:rsidR="00220F49" w:rsidRPr="00220F49" w14:paraId="486D0176" w14:textId="77777777" w:rsidTr="00220F4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hideMark/>
          </w:tcPr>
          <w:p w14:paraId="5723E758" w14:textId="77777777" w:rsidR="00220F49" w:rsidRPr="00220F49" w:rsidRDefault="00220F49" w:rsidP="00220F49">
            <w:pPr>
              <w:spacing w:after="160" w:line="259" w:lineRule="auto"/>
              <w:jc w:val="center"/>
              <w:rPr>
                <w:rFonts w:asciiTheme="majorBidi" w:hAnsiTheme="majorBidi" w:cstheme="majorBidi"/>
              </w:rPr>
            </w:pPr>
            <w:r w:rsidRPr="00220F49">
              <w:rPr>
                <w:rFonts w:asciiTheme="majorBidi" w:hAnsiTheme="majorBidi" w:cstheme="majorBidi"/>
              </w:rPr>
              <w:lastRenderedPageBreak/>
              <w:t>thqf8</w:t>
            </w:r>
          </w:p>
        </w:tc>
        <w:tc>
          <w:tcPr>
            <w:tcW w:w="0" w:type="auto"/>
            <w:hideMark/>
          </w:tcPr>
          <w:p w14:paraId="176EF2B6" w14:textId="77777777" w:rsidR="00220F49" w:rsidRPr="00220F49" w:rsidRDefault="00220F49" w:rsidP="00220F4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20F49">
              <w:rPr>
                <w:rFonts w:asciiTheme="majorBidi" w:hAnsiTheme="majorBidi" w:cstheme="majorBidi"/>
              </w:rPr>
              <w:t>45.15</w:t>
            </w:r>
          </w:p>
        </w:tc>
        <w:tc>
          <w:tcPr>
            <w:tcW w:w="0" w:type="auto"/>
            <w:hideMark/>
          </w:tcPr>
          <w:p w14:paraId="1661FE7F" w14:textId="77777777" w:rsidR="00220F49" w:rsidRPr="00220F49" w:rsidRDefault="00220F49" w:rsidP="00220F4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20F49">
              <w:rPr>
                <w:rFonts w:asciiTheme="majorBidi" w:hAnsiTheme="majorBidi" w:cstheme="majorBidi"/>
              </w:rPr>
              <w:t>–27.53</w:t>
            </w:r>
          </w:p>
        </w:tc>
      </w:tr>
    </w:tbl>
    <w:p w14:paraId="123DDB4E" w14:textId="77777777" w:rsidR="00220F49" w:rsidRDefault="00220F49" w:rsidP="00220F49">
      <w:pPr>
        <w:rPr>
          <w:rFonts w:asciiTheme="majorBidi" w:hAnsiTheme="majorBidi" w:cstheme="majorBidi"/>
        </w:rPr>
      </w:pPr>
    </w:p>
    <w:p w14:paraId="55B128B1" w14:textId="6A897C45" w:rsidR="00ED0D56" w:rsidRPr="00ED0D56" w:rsidRDefault="00ED0D56" w:rsidP="00010520">
      <w:pPr>
        <w:spacing w:after="0" w:line="276" w:lineRule="auto"/>
        <w:ind w:firstLine="360"/>
        <w:jc w:val="both"/>
        <w:rPr>
          <w:rFonts w:asciiTheme="majorBidi" w:hAnsiTheme="majorBidi" w:cstheme="majorBidi"/>
          <w:sz w:val="24"/>
          <w:szCs w:val="24"/>
        </w:rPr>
      </w:pPr>
      <w:r w:rsidRPr="00ED0D56">
        <w:rPr>
          <w:rFonts w:asciiTheme="majorBidi" w:hAnsiTheme="majorBidi" w:cstheme="majorBidi"/>
          <w:sz w:val="24"/>
          <w:szCs w:val="24"/>
        </w:rPr>
        <w:t>This anomaly was visualized in the scatterplot of NO₂ vs. mobility</w:t>
      </w:r>
      <w:r w:rsidR="00466B57">
        <w:rPr>
          <w:rFonts w:asciiTheme="majorBidi" w:hAnsiTheme="majorBidi" w:cstheme="majorBidi"/>
          <w:sz w:val="24"/>
          <w:szCs w:val="24"/>
        </w:rPr>
        <w:t>,</w:t>
      </w:r>
      <w:r w:rsidRPr="00ED0D56">
        <w:rPr>
          <w:rFonts w:asciiTheme="majorBidi" w:hAnsiTheme="majorBidi" w:cstheme="majorBidi"/>
          <w:sz w:val="24"/>
          <w:szCs w:val="24"/>
        </w:rPr>
        <w:t xml:space="preserve"> </w:t>
      </w:r>
      <w:r w:rsidR="00466B57" w:rsidRPr="00ED0D56">
        <w:rPr>
          <w:rFonts w:asciiTheme="majorBidi" w:hAnsiTheme="majorBidi" w:cstheme="majorBidi"/>
          <w:sz w:val="24"/>
          <w:szCs w:val="24"/>
        </w:rPr>
        <w:t xml:space="preserve">see </w:t>
      </w:r>
      <w:r w:rsidRPr="00ED0D56">
        <w:rPr>
          <w:rFonts w:asciiTheme="majorBidi" w:hAnsiTheme="majorBidi" w:cstheme="majorBidi"/>
          <w:sz w:val="24"/>
          <w:szCs w:val="24"/>
        </w:rPr>
        <w:t>(</w:t>
      </w:r>
      <w:r w:rsidRPr="00ED0D56">
        <w:rPr>
          <w:rFonts w:asciiTheme="majorBidi" w:hAnsiTheme="majorBidi" w:cstheme="majorBidi"/>
          <w:color w:val="FF0000"/>
          <w:sz w:val="24"/>
          <w:szCs w:val="24"/>
        </w:rPr>
        <w:t xml:space="preserve">Figure </w:t>
      </w:r>
      <w:r w:rsidR="00220F49" w:rsidRPr="00466B57">
        <w:rPr>
          <w:rFonts w:asciiTheme="majorBidi" w:hAnsiTheme="majorBidi" w:cstheme="majorBidi"/>
          <w:color w:val="FF0000"/>
          <w:sz w:val="24"/>
          <w:szCs w:val="24"/>
        </w:rPr>
        <w:t>X</w:t>
      </w:r>
      <w:r w:rsidRPr="00ED0D56">
        <w:rPr>
          <w:rFonts w:asciiTheme="majorBidi" w:hAnsiTheme="majorBidi" w:cstheme="majorBidi"/>
          <w:sz w:val="24"/>
          <w:szCs w:val="24"/>
        </w:rPr>
        <w:t xml:space="preserve"> in Section 4.1.3), where thqf4 appears as a clear outlier above the WHO guideline line. While other zones exhibited lower NO₂ levels in tandem with reduced mobility, thqf4's deviation suggests that its pollution levels are driven by stationary sources such as:</w:t>
      </w:r>
    </w:p>
    <w:p w14:paraId="0872E60C" w14:textId="77777777" w:rsidR="00ED0D56" w:rsidRPr="00ED0D56" w:rsidRDefault="00ED0D56" w:rsidP="00010520">
      <w:pPr>
        <w:numPr>
          <w:ilvl w:val="0"/>
          <w:numId w:val="20"/>
        </w:numPr>
        <w:spacing w:after="0" w:line="276" w:lineRule="auto"/>
        <w:jc w:val="both"/>
        <w:rPr>
          <w:rFonts w:asciiTheme="majorBidi" w:hAnsiTheme="majorBidi" w:cstheme="majorBidi"/>
          <w:sz w:val="24"/>
          <w:szCs w:val="24"/>
        </w:rPr>
      </w:pPr>
      <w:r w:rsidRPr="00ED0D56">
        <w:rPr>
          <w:rFonts w:asciiTheme="majorBidi" w:hAnsiTheme="majorBidi" w:cstheme="majorBidi"/>
          <w:sz w:val="24"/>
          <w:szCs w:val="24"/>
        </w:rPr>
        <w:t>Industrial plants,</w:t>
      </w:r>
    </w:p>
    <w:p w14:paraId="3AF0025F" w14:textId="77777777" w:rsidR="00ED0D56" w:rsidRPr="00ED0D56" w:rsidRDefault="00ED0D56" w:rsidP="00010520">
      <w:pPr>
        <w:numPr>
          <w:ilvl w:val="0"/>
          <w:numId w:val="20"/>
        </w:numPr>
        <w:spacing w:after="0" w:line="276" w:lineRule="auto"/>
        <w:jc w:val="both"/>
        <w:rPr>
          <w:rFonts w:asciiTheme="majorBidi" w:hAnsiTheme="majorBidi" w:cstheme="majorBidi"/>
          <w:sz w:val="24"/>
          <w:szCs w:val="24"/>
        </w:rPr>
      </w:pPr>
      <w:r w:rsidRPr="00ED0D56">
        <w:rPr>
          <w:rFonts w:asciiTheme="majorBidi" w:hAnsiTheme="majorBidi" w:cstheme="majorBidi"/>
          <w:sz w:val="24"/>
          <w:szCs w:val="24"/>
        </w:rPr>
        <w:t>Heavy-duty construction sites,</w:t>
      </w:r>
    </w:p>
    <w:p w14:paraId="2497D034" w14:textId="77777777" w:rsidR="00ED0D56" w:rsidRDefault="00ED0D56" w:rsidP="00010520">
      <w:pPr>
        <w:numPr>
          <w:ilvl w:val="0"/>
          <w:numId w:val="20"/>
        </w:numPr>
        <w:spacing w:after="0" w:line="276" w:lineRule="auto"/>
        <w:jc w:val="both"/>
        <w:rPr>
          <w:rFonts w:asciiTheme="majorBidi" w:hAnsiTheme="majorBidi" w:cstheme="majorBidi"/>
          <w:sz w:val="24"/>
          <w:szCs w:val="24"/>
        </w:rPr>
      </w:pPr>
      <w:r w:rsidRPr="00ED0D56">
        <w:rPr>
          <w:rFonts w:asciiTheme="majorBidi" w:hAnsiTheme="majorBidi" w:cstheme="majorBidi"/>
          <w:sz w:val="24"/>
          <w:szCs w:val="24"/>
        </w:rPr>
        <w:t>Power generation infrastructure.</w:t>
      </w:r>
    </w:p>
    <w:p w14:paraId="319DD443" w14:textId="77777777" w:rsidR="00220F49" w:rsidRPr="00ED0D56" w:rsidRDefault="00220F49" w:rsidP="00010520">
      <w:pPr>
        <w:spacing w:after="0" w:line="276" w:lineRule="auto"/>
        <w:ind w:left="720"/>
        <w:jc w:val="both"/>
        <w:rPr>
          <w:rFonts w:asciiTheme="majorBidi" w:hAnsiTheme="majorBidi" w:cstheme="majorBidi"/>
          <w:sz w:val="24"/>
          <w:szCs w:val="24"/>
        </w:rPr>
      </w:pPr>
    </w:p>
    <w:p w14:paraId="6F1B1EA0" w14:textId="77777777" w:rsidR="00ED0D56" w:rsidRPr="00ED0D56" w:rsidRDefault="00ED0D56" w:rsidP="00010520">
      <w:pPr>
        <w:spacing w:after="0" w:line="276" w:lineRule="auto"/>
        <w:ind w:firstLine="360"/>
        <w:jc w:val="both"/>
        <w:rPr>
          <w:rFonts w:asciiTheme="majorBidi" w:hAnsiTheme="majorBidi" w:cstheme="majorBidi"/>
          <w:sz w:val="24"/>
          <w:szCs w:val="24"/>
        </w:rPr>
      </w:pPr>
      <w:r w:rsidRPr="00ED0D56">
        <w:rPr>
          <w:rFonts w:asciiTheme="majorBidi" w:hAnsiTheme="majorBidi" w:cstheme="majorBidi"/>
          <w:sz w:val="24"/>
          <w:szCs w:val="24"/>
        </w:rPr>
        <w:t xml:space="preserve">These insights reinforce the need to </w:t>
      </w:r>
      <w:r w:rsidRPr="00ED0D56">
        <w:rPr>
          <w:rFonts w:asciiTheme="majorBidi" w:hAnsiTheme="majorBidi" w:cstheme="majorBidi"/>
          <w:b/>
          <w:bCs/>
          <w:sz w:val="24"/>
          <w:szCs w:val="24"/>
        </w:rPr>
        <w:t>contextualize mobility-pollution correlations</w:t>
      </w:r>
      <w:r w:rsidRPr="00ED0D56">
        <w:rPr>
          <w:rFonts w:asciiTheme="majorBidi" w:hAnsiTheme="majorBidi" w:cstheme="majorBidi"/>
          <w:sz w:val="24"/>
          <w:szCs w:val="24"/>
        </w:rPr>
        <w:t xml:space="preserve"> with </w:t>
      </w:r>
      <w:r w:rsidRPr="00ED0D56">
        <w:rPr>
          <w:rFonts w:asciiTheme="majorBidi" w:hAnsiTheme="majorBidi" w:cstheme="majorBidi"/>
          <w:b/>
          <w:bCs/>
          <w:sz w:val="24"/>
          <w:szCs w:val="24"/>
        </w:rPr>
        <w:t>land use patterns</w:t>
      </w:r>
      <w:r w:rsidRPr="00ED0D56">
        <w:rPr>
          <w:rFonts w:asciiTheme="majorBidi" w:hAnsiTheme="majorBidi" w:cstheme="majorBidi"/>
          <w:sz w:val="24"/>
          <w:szCs w:val="24"/>
        </w:rPr>
        <w:t xml:space="preserve"> and </w:t>
      </w:r>
      <w:r w:rsidRPr="00ED0D56">
        <w:rPr>
          <w:rFonts w:asciiTheme="majorBidi" w:hAnsiTheme="majorBidi" w:cstheme="majorBidi"/>
          <w:b/>
          <w:bCs/>
          <w:sz w:val="24"/>
          <w:szCs w:val="24"/>
        </w:rPr>
        <w:t>infrastructure zoning data</w:t>
      </w:r>
      <w:r w:rsidRPr="00ED0D56">
        <w:rPr>
          <w:rFonts w:asciiTheme="majorBidi" w:hAnsiTheme="majorBidi" w:cstheme="majorBidi"/>
          <w:sz w:val="24"/>
          <w:szCs w:val="24"/>
        </w:rPr>
        <w:t>, especially when forming intervention strategies.</w:t>
      </w:r>
    </w:p>
    <w:p w14:paraId="7E72C1C1" w14:textId="77777777" w:rsidR="00ED0D56" w:rsidRPr="00ED0D56" w:rsidRDefault="00ED0D56" w:rsidP="00010520">
      <w:pPr>
        <w:spacing w:after="0" w:line="276" w:lineRule="auto"/>
        <w:jc w:val="both"/>
        <w:rPr>
          <w:rFonts w:asciiTheme="majorBidi" w:hAnsiTheme="majorBidi" w:cstheme="majorBidi"/>
          <w:sz w:val="24"/>
          <w:szCs w:val="24"/>
        </w:rPr>
      </w:pPr>
      <w:r w:rsidRPr="00ED0D56">
        <w:rPr>
          <w:rFonts w:asciiTheme="majorBidi" w:hAnsiTheme="majorBidi" w:cstheme="majorBidi"/>
          <w:sz w:val="24"/>
          <w:szCs w:val="24"/>
        </w:rPr>
        <w:t>To identify these critical zones:</w:t>
      </w:r>
    </w:p>
    <w:p w14:paraId="137FFD08" w14:textId="77777777" w:rsidR="00ED0D56" w:rsidRPr="00466B57" w:rsidRDefault="00ED0D56" w:rsidP="00010520">
      <w:pPr>
        <w:numPr>
          <w:ilvl w:val="0"/>
          <w:numId w:val="21"/>
        </w:numPr>
        <w:spacing w:after="0" w:line="276" w:lineRule="auto"/>
        <w:jc w:val="both"/>
        <w:rPr>
          <w:rFonts w:asciiTheme="majorBidi" w:hAnsiTheme="majorBidi" w:cstheme="majorBidi"/>
          <w:sz w:val="24"/>
          <w:szCs w:val="24"/>
        </w:rPr>
      </w:pPr>
      <w:r w:rsidRPr="00ED0D56">
        <w:rPr>
          <w:rFonts w:asciiTheme="majorBidi" w:hAnsiTheme="majorBidi" w:cstheme="majorBidi"/>
          <w:sz w:val="24"/>
          <w:szCs w:val="24"/>
        </w:rPr>
        <w:t>Zones exceeding NO₂ &gt; 40 µg/m³ were extracted:</w:t>
      </w:r>
    </w:p>
    <w:p w14:paraId="0653F3E6" w14:textId="4A4D1EF2" w:rsidR="00ED0D56" w:rsidRPr="00466B57" w:rsidRDefault="00ED0D56" w:rsidP="00010520">
      <w:pPr>
        <w:spacing w:after="0" w:line="276" w:lineRule="auto"/>
        <w:ind w:left="720"/>
        <w:jc w:val="both"/>
        <w:rPr>
          <w:rFonts w:asciiTheme="majorBidi" w:hAnsiTheme="majorBidi" w:cstheme="majorBidi"/>
          <w:sz w:val="24"/>
          <w:szCs w:val="24"/>
        </w:rPr>
      </w:pPr>
      <w:r w:rsidRPr="00466B57">
        <w:rPr>
          <w:rFonts w:asciiTheme="majorBidi" w:hAnsiTheme="majorBidi" w:cstheme="majorBidi"/>
          <w:sz w:val="24"/>
          <w:szCs w:val="24"/>
        </w:rPr>
        <w:t xml:space="preserve">high_no2 = </w:t>
      </w:r>
      <w:proofErr w:type="spellStart"/>
      <w:r w:rsidRPr="00466B57">
        <w:rPr>
          <w:rFonts w:asciiTheme="majorBidi" w:hAnsiTheme="majorBidi" w:cstheme="majorBidi"/>
          <w:sz w:val="24"/>
          <w:szCs w:val="24"/>
        </w:rPr>
        <w:t>joined_table.where</w:t>
      </w:r>
      <w:proofErr w:type="spellEnd"/>
      <w:r w:rsidRPr="00466B57">
        <w:rPr>
          <w:rFonts w:asciiTheme="majorBidi" w:hAnsiTheme="majorBidi" w:cstheme="majorBidi"/>
          <w:sz w:val="24"/>
          <w:szCs w:val="24"/>
        </w:rPr>
        <w:t xml:space="preserve">('no2', </w:t>
      </w:r>
      <w:proofErr w:type="spellStart"/>
      <w:r w:rsidRPr="00466B57">
        <w:rPr>
          <w:rFonts w:asciiTheme="majorBidi" w:hAnsiTheme="majorBidi" w:cstheme="majorBidi"/>
          <w:sz w:val="24"/>
          <w:szCs w:val="24"/>
        </w:rPr>
        <w:t>are.above</w:t>
      </w:r>
      <w:proofErr w:type="spellEnd"/>
      <w:r w:rsidRPr="00466B57">
        <w:rPr>
          <w:rFonts w:asciiTheme="majorBidi" w:hAnsiTheme="majorBidi" w:cstheme="majorBidi"/>
          <w:sz w:val="24"/>
          <w:szCs w:val="24"/>
        </w:rPr>
        <w:t>(40))</w:t>
      </w:r>
    </w:p>
    <w:p w14:paraId="06922526" w14:textId="4D8FAF42" w:rsidR="00ED0D56" w:rsidRPr="00466B57" w:rsidRDefault="00ED0D56" w:rsidP="00010520">
      <w:pPr>
        <w:pStyle w:val="ListParagraph"/>
        <w:numPr>
          <w:ilvl w:val="0"/>
          <w:numId w:val="21"/>
        </w:numPr>
        <w:spacing w:before="100" w:beforeAutospacing="1" w:after="0" w:line="276" w:lineRule="auto"/>
        <w:jc w:val="both"/>
        <w:rPr>
          <w:rFonts w:ascii="Times New Roman" w:eastAsia="Times New Roman" w:hAnsi="Times New Roman" w:cs="Times New Roman"/>
          <w:kern w:val="0"/>
          <w:sz w:val="24"/>
          <w:szCs w:val="24"/>
          <w:lang w:eastAsia="en-AE"/>
          <w14:ligatures w14:val="none"/>
        </w:rPr>
      </w:pPr>
      <w:r w:rsidRPr="00466B57">
        <w:rPr>
          <w:rFonts w:ascii="Times New Roman" w:eastAsia="Times New Roman" w:hAnsi="Times New Roman" w:cs="Times New Roman"/>
          <w:kern w:val="0"/>
          <w:sz w:val="24"/>
          <w:szCs w:val="24"/>
          <w:lang w:eastAsia="en-AE"/>
          <w14:ligatures w14:val="none"/>
        </w:rPr>
        <w:t>Of the seven merged geohash zones, three violated WHO thresholds (</w:t>
      </w:r>
      <w:r w:rsidRPr="00466B57">
        <w:rPr>
          <w:rFonts w:ascii="Courier New" w:eastAsia="Times New Roman" w:hAnsi="Courier New" w:cs="Courier New"/>
          <w:kern w:val="0"/>
          <w:sz w:val="24"/>
          <w:szCs w:val="24"/>
          <w:lang w:eastAsia="en-AE"/>
          <w14:ligatures w14:val="none"/>
        </w:rPr>
        <w:t>thqf4</w:t>
      </w:r>
      <w:r w:rsidRPr="00466B57">
        <w:rPr>
          <w:rFonts w:ascii="Times New Roman" w:eastAsia="Times New Roman" w:hAnsi="Times New Roman" w:cs="Times New Roman"/>
          <w:kern w:val="0"/>
          <w:sz w:val="24"/>
          <w:szCs w:val="24"/>
          <w:lang w:eastAsia="en-AE"/>
          <w14:ligatures w14:val="none"/>
        </w:rPr>
        <w:t xml:space="preserve">, </w:t>
      </w:r>
      <w:proofErr w:type="spellStart"/>
      <w:r w:rsidRPr="00466B57">
        <w:rPr>
          <w:rFonts w:ascii="Courier New" w:eastAsia="Times New Roman" w:hAnsi="Courier New" w:cs="Courier New"/>
          <w:kern w:val="0"/>
          <w:sz w:val="24"/>
          <w:szCs w:val="24"/>
          <w:lang w:eastAsia="en-AE"/>
          <w14:ligatures w14:val="none"/>
        </w:rPr>
        <w:t>thqem</w:t>
      </w:r>
      <w:proofErr w:type="spellEnd"/>
      <w:r w:rsidRPr="00466B57">
        <w:rPr>
          <w:rFonts w:ascii="Times New Roman" w:eastAsia="Times New Roman" w:hAnsi="Times New Roman" w:cs="Times New Roman"/>
          <w:kern w:val="0"/>
          <w:sz w:val="24"/>
          <w:szCs w:val="24"/>
          <w:lang w:eastAsia="en-AE"/>
          <w14:ligatures w14:val="none"/>
        </w:rPr>
        <w:t xml:space="preserve">, and </w:t>
      </w:r>
      <w:r w:rsidRPr="00466B57">
        <w:rPr>
          <w:rFonts w:ascii="Courier New" w:eastAsia="Times New Roman" w:hAnsi="Courier New" w:cs="Courier New"/>
          <w:kern w:val="0"/>
          <w:sz w:val="24"/>
          <w:szCs w:val="24"/>
          <w:lang w:eastAsia="en-AE"/>
          <w14:ligatures w14:val="none"/>
        </w:rPr>
        <w:t>thqf8</w:t>
      </w:r>
      <w:r w:rsidRPr="00466B57">
        <w:rPr>
          <w:rFonts w:ascii="Times New Roman" w:eastAsia="Times New Roman" w:hAnsi="Times New Roman" w:cs="Times New Roman"/>
          <w:kern w:val="0"/>
          <w:sz w:val="24"/>
          <w:szCs w:val="24"/>
          <w:lang w:eastAsia="en-AE"/>
          <w14:ligatures w14:val="none"/>
        </w:rPr>
        <w:t>).</w:t>
      </w:r>
    </w:p>
    <w:p w14:paraId="2FA7E8B7" w14:textId="08CCF214" w:rsidR="00ED0D56" w:rsidRPr="00466B57" w:rsidRDefault="00ED0D56" w:rsidP="00010520">
      <w:pPr>
        <w:pStyle w:val="ListParagraph"/>
        <w:numPr>
          <w:ilvl w:val="0"/>
          <w:numId w:val="21"/>
        </w:numPr>
        <w:spacing w:before="100" w:beforeAutospacing="1" w:after="0" w:line="276" w:lineRule="auto"/>
        <w:jc w:val="both"/>
        <w:rPr>
          <w:rFonts w:ascii="Times New Roman" w:eastAsia="Times New Roman" w:hAnsi="Times New Roman" w:cs="Times New Roman"/>
          <w:kern w:val="0"/>
          <w:sz w:val="24"/>
          <w:szCs w:val="24"/>
          <w:lang w:eastAsia="en-AE"/>
          <w14:ligatures w14:val="none"/>
        </w:rPr>
      </w:pPr>
      <w:r w:rsidRPr="00466B57">
        <w:rPr>
          <w:rFonts w:ascii="Times New Roman" w:eastAsia="Times New Roman" w:hAnsi="Times New Roman" w:cs="Times New Roman"/>
          <w:kern w:val="0"/>
          <w:sz w:val="24"/>
          <w:szCs w:val="24"/>
          <w:lang w:eastAsia="en-AE"/>
          <w14:ligatures w14:val="none"/>
        </w:rPr>
        <w:t xml:space="preserve">Among these, only </w:t>
      </w:r>
      <w:r w:rsidRPr="00466B57">
        <w:rPr>
          <w:rFonts w:ascii="Courier New" w:eastAsia="Times New Roman" w:hAnsi="Courier New" w:cs="Courier New"/>
          <w:kern w:val="0"/>
          <w:sz w:val="24"/>
          <w:szCs w:val="24"/>
          <w:lang w:eastAsia="en-AE"/>
          <w14:ligatures w14:val="none"/>
        </w:rPr>
        <w:t>thqf4</w:t>
      </w:r>
      <w:r w:rsidRPr="00466B57">
        <w:rPr>
          <w:rFonts w:ascii="Times New Roman" w:eastAsia="Times New Roman" w:hAnsi="Times New Roman" w:cs="Times New Roman"/>
          <w:kern w:val="0"/>
          <w:sz w:val="24"/>
          <w:szCs w:val="24"/>
          <w:lang w:eastAsia="en-AE"/>
          <w14:ligatures w14:val="none"/>
        </w:rPr>
        <w:t xml:space="preserve"> had increased mobility and extreme NO₂, confirming it as the most urgent environmental hotspot in the historical data phase.</w:t>
      </w:r>
    </w:p>
    <w:p w14:paraId="49F7F602" w14:textId="7C86E48E" w:rsidR="00376DFA" w:rsidRPr="00376DFA" w:rsidRDefault="00376DFA" w:rsidP="00010520">
      <w:pPr>
        <w:jc w:val="both"/>
        <w:rPr>
          <w:rFonts w:asciiTheme="majorBidi" w:hAnsiTheme="majorBidi" w:cstheme="majorBidi"/>
        </w:rPr>
      </w:pPr>
    </w:p>
    <w:p w14:paraId="48A5852A" w14:textId="0AA4344D" w:rsidR="00376DFA" w:rsidRPr="00376DFA" w:rsidRDefault="00376DFA" w:rsidP="00010520">
      <w:pPr>
        <w:pStyle w:val="Heading3"/>
        <w:numPr>
          <w:ilvl w:val="2"/>
          <w:numId w:val="15"/>
        </w:numPr>
        <w:jc w:val="both"/>
        <w:rPr>
          <w:rFonts w:asciiTheme="majorBidi" w:hAnsiTheme="majorBidi"/>
          <w:color w:val="auto"/>
          <w:sz w:val="26"/>
          <w:szCs w:val="26"/>
        </w:rPr>
      </w:pPr>
      <w:r w:rsidRPr="00376DFA">
        <w:rPr>
          <w:rFonts w:asciiTheme="majorBidi" w:hAnsiTheme="majorBidi"/>
          <w:color w:val="auto"/>
          <w:sz w:val="26"/>
          <w:szCs w:val="26"/>
        </w:rPr>
        <w:t>Discussion on Non-Mobility-Related Pollution Sources</w:t>
      </w:r>
    </w:p>
    <w:p w14:paraId="7F37EE0D" w14:textId="77777777" w:rsidR="00220F49" w:rsidRPr="00220F49" w:rsidRDefault="00220F49" w:rsidP="00010520">
      <w:pPr>
        <w:jc w:val="both"/>
        <w:rPr>
          <w:rFonts w:asciiTheme="majorBidi" w:hAnsiTheme="majorBidi" w:cstheme="majorBidi"/>
        </w:rPr>
      </w:pPr>
      <w:r w:rsidRPr="00220F49">
        <w:rPr>
          <w:rFonts w:asciiTheme="majorBidi" w:hAnsiTheme="majorBidi" w:cstheme="majorBidi"/>
        </w:rPr>
        <w:t>While NO₂ levels showed a moderate inverse correlation with mobility scores—suggesting a direct relationship with traffic flow—SO₂ exhibited no meaningful correlation, either spatially or statistically. This points to the presence of non-mobility-related pollution sources, especially stationary point sources such as:</w:t>
      </w:r>
    </w:p>
    <w:p w14:paraId="1FB476DD" w14:textId="77777777" w:rsidR="00220F49" w:rsidRPr="00220F49" w:rsidRDefault="00220F49" w:rsidP="00010520">
      <w:pPr>
        <w:numPr>
          <w:ilvl w:val="0"/>
          <w:numId w:val="22"/>
        </w:numPr>
        <w:spacing w:after="0"/>
        <w:jc w:val="both"/>
        <w:rPr>
          <w:rFonts w:asciiTheme="majorBidi" w:hAnsiTheme="majorBidi" w:cstheme="majorBidi"/>
        </w:rPr>
      </w:pPr>
      <w:r w:rsidRPr="00220F49">
        <w:rPr>
          <w:rFonts w:asciiTheme="majorBidi" w:hAnsiTheme="majorBidi" w:cstheme="majorBidi"/>
        </w:rPr>
        <w:t>Oil refineries and natural gas processing facilities,</w:t>
      </w:r>
    </w:p>
    <w:p w14:paraId="6940C5CA" w14:textId="77777777" w:rsidR="00220F49" w:rsidRPr="00220F49" w:rsidRDefault="00220F49" w:rsidP="00010520">
      <w:pPr>
        <w:numPr>
          <w:ilvl w:val="0"/>
          <w:numId w:val="22"/>
        </w:numPr>
        <w:spacing w:after="0"/>
        <w:jc w:val="both"/>
        <w:rPr>
          <w:rFonts w:asciiTheme="majorBidi" w:hAnsiTheme="majorBidi" w:cstheme="majorBidi"/>
        </w:rPr>
      </w:pPr>
      <w:r w:rsidRPr="00220F49">
        <w:rPr>
          <w:rFonts w:asciiTheme="majorBidi" w:hAnsiTheme="majorBidi" w:cstheme="majorBidi"/>
        </w:rPr>
        <w:t>Industrial manufacturing zones,</w:t>
      </w:r>
    </w:p>
    <w:p w14:paraId="74F0B77D" w14:textId="77777777" w:rsidR="00220F49" w:rsidRPr="00220F49" w:rsidRDefault="00220F49" w:rsidP="00010520">
      <w:pPr>
        <w:numPr>
          <w:ilvl w:val="0"/>
          <w:numId w:val="22"/>
        </w:numPr>
        <w:spacing w:after="0"/>
        <w:jc w:val="both"/>
        <w:rPr>
          <w:rFonts w:asciiTheme="majorBidi" w:hAnsiTheme="majorBidi" w:cstheme="majorBidi"/>
        </w:rPr>
      </w:pPr>
      <w:r w:rsidRPr="00220F49">
        <w:rPr>
          <w:rFonts w:asciiTheme="majorBidi" w:hAnsiTheme="majorBidi" w:cstheme="majorBidi"/>
        </w:rPr>
        <w:t>Shipping ports and heavy-duty logistics hubs,</w:t>
      </w:r>
    </w:p>
    <w:p w14:paraId="51BC1FD5" w14:textId="77777777" w:rsidR="00220F49" w:rsidRDefault="00220F49" w:rsidP="00010520">
      <w:pPr>
        <w:numPr>
          <w:ilvl w:val="0"/>
          <w:numId w:val="22"/>
        </w:numPr>
        <w:spacing w:after="0"/>
        <w:jc w:val="both"/>
        <w:rPr>
          <w:rFonts w:asciiTheme="majorBidi" w:hAnsiTheme="majorBidi" w:cstheme="majorBidi"/>
        </w:rPr>
      </w:pPr>
      <w:r w:rsidRPr="00220F49">
        <w:rPr>
          <w:rFonts w:asciiTheme="majorBidi" w:hAnsiTheme="majorBidi" w:cstheme="majorBidi"/>
        </w:rPr>
        <w:t>Cement plants and construction operations.</w:t>
      </w:r>
    </w:p>
    <w:p w14:paraId="7DADEB2F" w14:textId="77777777" w:rsidR="00010520" w:rsidRPr="00220F49" w:rsidRDefault="00010520" w:rsidP="00010520">
      <w:pPr>
        <w:spacing w:after="0"/>
        <w:ind w:left="720"/>
        <w:jc w:val="both"/>
        <w:rPr>
          <w:rFonts w:asciiTheme="majorBidi" w:hAnsiTheme="majorBidi" w:cstheme="majorBidi"/>
        </w:rPr>
      </w:pPr>
    </w:p>
    <w:p w14:paraId="391E1E19" w14:textId="63301DE3" w:rsidR="00220F49" w:rsidRPr="00220F49" w:rsidRDefault="00220F49" w:rsidP="00010520">
      <w:pPr>
        <w:ind w:firstLine="360"/>
        <w:jc w:val="both"/>
        <w:rPr>
          <w:rFonts w:asciiTheme="majorBidi" w:hAnsiTheme="majorBidi" w:cstheme="majorBidi"/>
        </w:rPr>
      </w:pPr>
      <w:r w:rsidRPr="00220F49">
        <w:rPr>
          <w:rFonts w:asciiTheme="majorBidi" w:hAnsiTheme="majorBidi" w:cstheme="majorBidi"/>
        </w:rPr>
        <w:t xml:space="preserve">This pattern was supported by the raster heatmap in </w:t>
      </w:r>
      <w:r w:rsidR="00A62F8F" w:rsidRPr="00ED0D56">
        <w:rPr>
          <w:rFonts w:asciiTheme="majorBidi" w:hAnsiTheme="majorBidi" w:cstheme="majorBidi"/>
          <w:color w:val="FF0000"/>
        </w:rPr>
        <w:t>Figure A</w:t>
      </w:r>
      <w:r w:rsidR="00A62F8F">
        <w:rPr>
          <w:rFonts w:asciiTheme="majorBidi" w:hAnsiTheme="majorBidi" w:cstheme="majorBidi"/>
          <w:color w:val="FF0000"/>
        </w:rPr>
        <w:t xml:space="preserve"> - </w:t>
      </w:r>
      <w:r w:rsidR="00A62F8F" w:rsidRPr="00A62F8F">
        <w:rPr>
          <w:rFonts w:asciiTheme="majorBidi" w:hAnsiTheme="majorBidi" w:cstheme="majorBidi"/>
          <w:color w:val="FF0000"/>
        </w:rPr>
        <w:t xml:space="preserve">in </w:t>
      </w:r>
      <w:r w:rsidR="00A62F8F" w:rsidRPr="00A62F8F">
        <w:rPr>
          <w:rFonts w:asciiTheme="majorBidi" w:hAnsiTheme="majorBidi" w:cstheme="majorBidi"/>
          <w:b/>
          <w:bCs/>
          <w:color w:val="FF0000"/>
        </w:rPr>
        <w:t>Section 4.1.2</w:t>
      </w:r>
      <w:r w:rsidRPr="00220F49">
        <w:rPr>
          <w:rFonts w:asciiTheme="majorBidi" w:hAnsiTheme="majorBidi" w:cstheme="majorBidi"/>
        </w:rPr>
        <w:t>, where SO₂ hotspots appeared in locations not aligned with mobility-reduced urban cores. In cities such as Abu Dhabi, Ruwais, and Sharjah’s industrial belt, high SO₂ concentrations were observed despite minimal human mobility change, further supporting the hypothesis that industrial sources are driving emissions.</w:t>
      </w:r>
    </w:p>
    <w:p w14:paraId="53757840" w14:textId="77777777" w:rsidR="00220F49" w:rsidRPr="00220F49" w:rsidRDefault="00220F49" w:rsidP="00010520">
      <w:pPr>
        <w:jc w:val="both"/>
        <w:rPr>
          <w:rFonts w:asciiTheme="majorBidi" w:hAnsiTheme="majorBidi" w:cstheme="majorBidi"/>
        </w:rPr>
      </w:pPr>
      <w:r w:rsidRPr="00220F49">
        <w:rPr>
          <w:rFonts w:asciiTheme="majorBidi" w:hAnsiTheme="majorBidi" w:cstheme="majorBidi"/>
        </w:rPr>
        <w:t xml:space="preserve">Such spatial decoupling between mobility and SO₂ emissions reinforces findings from global air quality studies, which indicate that SO₂ is typically produced by fossil-fuel combustion in fixed locations, especially in power generation and heavy industry sectors </w:t>
      </w:r>
      <w:r w:rsidRPr="00220F49">
        <w:rPr>
          <w:rFonts w:asciiTheme="majorBidi" w:hAnsiTheme="majorBidi" w:cstheme="majorBidi"/>
          <w:b/>
          <w:bCs/>
        </w:rPr>
        <w:t>[1].</w:t>
      </w:r>
    </w:p>
    <w:p w14:paraId="13629FE8" w14:textId="77777777" w:rsidR="00220F49" w:rsidRPr="00220F49" w:rsidRDefault="00220F49" w:rsidP="00010520">
      <w:pPr>
        <w:jc w:val="both"/>
        <w:rPr>
          <w:rFonts w:asciiTheme="majorBidi" w:hAnsiTheme="majorBidi" w:cstheme="majorBidi"/>
        </w:rPr>
      </w:pPr>
      <w:r w:rsidRPr="00220F49">
        <w:rPr>
          <w:rFonts w:asciiTheme="majorBidi" w:hAnsiTheme="majorBidi" w:cstheme="majorBidi"/>
        </w:rPr>
        <w:t>To address this challenge, urban air quality strategies should be broadened beyond mobility-</w:t>
      </w:r>
      <w:proofErr w:type="spellStart"/>
      <w:r w:rsidRPr="00220F49">
        <w:rPr>
          <w:rFonts w:asciiTheme="majorBidi" w:hAnsiTheme="majorBidi" w:cstheme="majorBidi"/>
        </w:rPr>
        <w:t>centered</w:t>
      </w:r>
      <w:proofErr w:type="spellEnd"/>
      <w:r w:rsidRPr="00220F49">
        <w:rPr>
          <w:rFonts w:asciiTheme="majorBidi" w:hAnsiTheme="majorBidi" w:cstheme="majorBidi"/>
        </w:rPr>
        <w:t xml:space="preserve"> interventions. A comprehensive mitigation framework should include:</w:t>
      </w:r>
    </w:p>
    <w:p w14:paraId="499D342A" w14:textId="77777777" w:rsidR="00220F49" w:rsidRPr="00220F49" w:rsidRDefault="00220F49" w:rsidP="00010520">
      <w:pPr>
        <w:numPr>
          <w:ilvl w:val="0"/>
          <w:numId w:val="23"/>
        </w:numPr>
        <w:jc w:val="both"/>
        <w:rPr>
          <w:rFonts w:asciiTheme="majorBidi" w:hAnsiTheme="majorBidi" w:cstheme="majorBidi"/>
        </w:rPr>
      </w:pPr>
      <w:r w:rsidRPr="00220F49">
        <w:rPr>
          <w:rFonts w:asciiTheme="majorBidi" w:hAnsiTheme="majorBidi" w:cstheme="majorBidi"/>
        </w:rPr>
        <w:t>Stricter emissions regulations and caps for SO₂-producing industries;</w:t>
      </w:r>
    </w:p>
    <w:p w14:paraId="2EE70188" w14:textId="77777777" w:rsidR="00220F49" w:rsidRPr="00220F49" w:rsidRDefault="00220F49" w:rsidP="00010520">
      <w:pPr>
        <w:numPr>
          <w:ilvl w:val="0"/>
          <w:numId w:val="23"/>
        </w:numPr>
        <w:jc w:val="both"/>
        <w:rPr>
          <w:rFonts w:asciiTheme="majorBidi" w:hAnsiTheme="majorBidi" w:cstheme="majorBidi"/>
        </w:rPr>
      </w:pPr>
      <w:r w:rsidRPr="00220F49">
        <w:rPr>
          <w:rFonts w:asciiTheme="majorBidi" w:hAnsiTheme="majorBidi" w:cstheme="majorBidi"/>
        </w:rPr>
        <w:lastRenderedPageBreak/>
        <w:t>Real-time satellite + ground monitoring integration (e.g., TROPOMI, Sentinel-5P);</w:t>
      </w:r>
    </w:p>
    <w:p w14:paraId="6F3282D0" w14:textId="77777777" w:rsidR="00220F49" w:rsidRPr="00220F49" w:rsidRDefault="00220F49" w:rsidP="00010520">
      <w:pPr>
        <w:numPr>
          <w:ilvl w:val="0"/>
          <w:numId w:val="23"/>
        </w:numPr>
        <w:jc w:val="both"/>
        <w:rPr>
          <w:rFonts w:asciiTheme="majorBidi" w:hAnsiTheme="majorBidi" w:cstheme="majorBidi"/>
        </w:rPr>
      </w:pPr>
      <w:r w:rsidRPr="00220F49">
        <w:rPr>
          <w:rFonts w:asciiTheme="majorBidi" w:hAnsiTheme="majorBidi" w:cstheme="majorBidi"/>
        </w:rPr>
        <w:t>Zoning policies to create industrial buffers between high-output facilities and residential areas;</w:t>
      </w:r>
    </w:p>
    <w:p w14:paraId="7FD15F8B" w14:textId="77777777" w:rsidR="00220F49" w:rsidRPr="00220F49" w:rsidRDefault="00220F49" w:rsidP="00010520">
      <w:pPr>
        <w:numPr>
          <w:ilvl w:val="0"/>
          <w:numId w:val="23"/>
        </w:numPr>
        <w:jc w:val="both"/>
        <w:rPr>
          <w:rFonts w:asciiTheme="majorBidi" w:hAnsiTheme="majorBidi" w:cstheme="majorBidi"/>
        </w:rPr>
      </w:pPr>
      <w:r w:rsidRPr="00220F49">
        <w:rPr>
          <w:rFonts w:asciiTheme="majorBidi" w:hAnsiTheme="majorBidi" w:cstheme="majorBidi"/>
        </w:rPr>
        <w:t>Mandatory pollution disclosure and audits from large-scale industrial operators.</w:t>
      </w:r>
    </w:p>
    <w:p w14:paraId="51DF8158" w14:textId="381DB86C" w:rsidR="00C14340" w:rsidRPr="00376DFA" w:rsidRDefault="00220F49" w:rsidP="00C14340">
      <w:pPr>
        <w:jc w:val="both"/>
        <w:rPr>
          <w:rFonts w:asciiTheme="majorBidi" w:hAnsiTheme="majorBidi" w:cstheme="majorBidi"/>
        </w:rPr>
      </w:pPr>
      <w:r w:rsidRPr="00220F49">
        <w:rPr>
          <w:rFonts w:asciiTheme="majorBidi" w:hAnsiTheme="majorBidi" w:cstheme="majorBidi"/>
        </w:rPr>
        <w:t>Without addressing these non-mobile sources, efforts focused solely on transportation reform (e.g., electrification, modal shifts) will fall short of delivering long-term public health and environmental benefits.</w:t>
      </w:r>
    </w:p>
    <w:p w14:paraId="3ADF9C0E" w14:textId="40FAE3F6" w:rsidR="00376DFA" w:rsidRPr="00376DFA" w:rsidRDefault="00376DFA" w:rsidP="00010520">
      <w:pPr>
        <w:pStyle w:val="Heading2"/>
        <w:numPr>
          <w:ilvl w:val="1"/>
          <w:numId w:val="15"/>
        </w:numPr>
        <w:jc w:val="both"/>
        <w:rPr>
          <w:rFonts w:asciiTheme="majorBidi" w:hAnsiTheme="majorBidi"/>
          <w:b/>
          <w:bCs/>
          <w:color w:val="auto"/>
        </w:rPr>
      </w:pPr>
      <w:r w:rsidRPr="00376DFA">
        <w:rPr>
          <w:rFonts w:asciiTheme="majorBidi" w:hAnsiTheme="majorBidi"/>
          <w:b/>
          <w:bCs/>
          <w:color w:val="auto"/>
        </w:rPr>
        <w:t>Zone-Based Clustering</w:t>
      </w:r>
    </w:p>
    <w:p w14:paraId="2F729B08" w14:textId="41631C3B" w:rsidR="00376DFA" w:rsidRPr="00791455" w:rsidRDefault="00376DFA" w:rsidP="00010520">
      <w:pPr>
        <w:pStyle w:val="Heading3"/>
        <w:numPr>
          <w:ilvl w:val="2"/>
          <w:numId w:val="15"/>
        </w:numPr>
        <w:jc w:val="both"/>
        <w:rPr>
          <w:rFonts w:asciiTheme="majorBidi" w:hAnsiTheme="majorBidi"/>
          <w:color w:val="auto"/>
        </w:rPr>
      </w:pPr>
      <w:r w:rsidRPr="00791455">
        <w:rPr>
          <w:rFonts w:asciiTheme="majorBidi" w:hAnsiTheme="majorBidi"/>
          <w:color w:val="auto"/>
        </w:rPr>
        <w:t>K-Means Clustering of Zones Based on Joint Pollution and Mobility</w:t>
      </w:r>
      <w:r w:rsidR="00010520">
        <w:rPr>
          <w:rFonts w:asciiTheme="majorBidi" w:hAnsiTheme="majorBidi"/>
          <w:color w:val="auto"/>
        </w:rPr>
        <w:t>:</w:t>
      </w:r>
    </w:p>
    <w:p w14:paraId="719DFFC9" w14:textId="77777777" w:rsidR="00305CCE" w:rsidRPr="00305CCE" w:rsidRDefault="00305CCE" w:rsidP="00010520">
      <w:pPr>
        <w:spacing w:before="100" w:beforeAutospacing="1" w:after="100" w:afterAutospacing="1" w:line="240" w:lineRule="auto"/>
        <w:jc w:val="both"/>
        <w:rPr>
          <w:rFonts w:ascii="Times New Roman" w:eastAsia="Times New Roman" w:hAnsi="Times New Roman" w:cs="Times New Roman"/>
          <w:kern w:val="0"/>
          <w:sz w:val="24"/>
          <w:szCs w:val="24"/>
          <w:lang w:eastAsia="en-AE"/>
          <w14:ligatures w14:val="none"/>
        </w:rPr>
      </w:pPr>
      <w:r w:rsidRPr="00305CCE">
        <w:rPr>
          <w:rFonts w:ascii="Times New Roman" w:eastAsia="Times New Roman" w:hAnsi="Times New Roman" w:cs="Times New Roman"/>
          <w:kern w:val="0"/>
          <w:sz w:val="24"/>
          <w:szCs w:val="24"/>
          <w:lang w:eastAsia="en-AE"/>
          <w14:ligatures w14:val="none"/>
        </w:rPr>
        <w:t xml:space="preserve">To better understand the </w:t>
      </w:r>
      <w:proofErr w:type="spellStart"/>
      <w:r w:rsidRPr="00305CCE">
        <w:rPr>
          <w:rFonts w:ascii="Times New Roman" w:eastAsia="Times New Roman" w:hAnsi="Times New Roman" w:cs="Times New Roman"/>
          <w:kern w:val="0"/>
          <w:sz w:val="24"/>
          <w:szCs w:val="24"/>
          <w:lang w:eastAsia="en-AE"/>
          <w14:ligatures w14:val="none"/>
        </w:rPr>
        <w:t>behavioral</w:t>
      </w:r>
      <w:proofErr w:type="spellEnd"/>
      <w:r w:rsidRPr="00305CCE">
        <w:rPr>
          <w:rFonts w:ascii="Times New Roman" w:eastAsia="Times New Roman" w:hAnsi="Times New Roman" w:cs="Times New Roman"/>
          <w:kern w:val="0"/>
          <w:sz w:val="24"/>
          <w:szCs w:val="24"/>
          <w:lang w:eastAsia="en-AE"/>
          <w14:ligatures w14:val="none"/>
        </w:rPr>
        <w:t xml:space="preserve"> patterns of urban zones, </w:t>
      </w:r>
      <w:r w:rsidRPr="00305CCE">
        <w:rPr>
          <w:rFonts w:ascii="Times New Roman" w:eastAsia="Times New Roman" w:hAnsi="Times New Roman" w:cs="Times New Roman"/>
          <w:b/>
          <w:bCs/>
          <w:kern w:val="0"/>
          <w:sz w:val="24"/>
          <w:szCs w:val="24"/>
          <w:lang w:eastAsia="en-AE"/>
          <w14:ligatures w14:val="none"/>
        </w:rPr>
        <w:t>K-Means clustering</w:t>
      </w:r>
      <w:r w:rsidRPr="00305CCE">
        <w:rPr>
          <w:rFonts w:ascii="Times New Roman" w:eastAsia="Times New Roman" w:hAnsi="Times New Roman" w:cs="Times New Roman"/>
          <w:kern w:val="0"/>
          <w:sz w:val="24"/>
          <w:szCs w:val="24"/>
          <w:lang w:eastAsia="en-AE"/>
          <w14:ligatures w14:val="none"/>
        </w:rPr>
        <w:t xml:space="preserve"> was applied using the </w:t>
      </w:r>
      <w:r w:rsidRPr="00305CCE">
        <w:rPr>
          <w:rFonts w:ascii="Times New Roman" w:eastAsia="Times New Roman" w:hAnsi="Times New Roman" w:cs="Times New Roman"/>
          <w:b/>
          <w:bCs/>
          <w:kern w:val="0"/>
          <w:sz w:val="24"/>
          <w:szCs w:val="24"/>
          <w:lang w:eastAsia="en-AE"/>
          <w14:ligatures w14:val="none"/>
        </w:rPr>
        <w:t>mobility score</w:t>
      </w:r>
      <w:r w:rsidRPr="00305CCE">
        <w:rPr>
          <w:rFonts w:ascii="Times New Roman" w:eastAsia="Times New Roman" w:hAnsi="Times New Roman" w:cs="Times New Roman"/>
          <w:kern w:val="0"/>
          <w:sz w:val="24"/>
          <w:szCs w:val="24"/>
          <w:lang w:eastAsia="en-AE"/>
          <w14:ligatures w14:val="none"/>
        </w:rPr>
        <w:t xml:space="preserve"> data from 2020 to 2022. The clustering process aimed to group zones into similar categories based on how mobility changed during the historical period.</w:t>
      </w:r>
    </w:p>
    <w:p w14:paraId="556AA659" w14:textId="492F7B95" w:rsidR="00305CCE" w:rsidRDefault="00305CCE" w:rsidP="00010520">
      <w:pPr>
        <w:spacing w:before="100" w:beforeAutospacing="1" w:after="100" w:afterAutospacing="1" w:line="240" w:lineRule="auto"/>
        <w:jc w:val="both"/>
        <w:rPr>
          <w:rFonts w:ascii="Times New Roman" w:eastAsia="Times New Roman" w:hAnsi="Times New Roman" w:cs="Times New Roman"/>
          <w:kern w:val="0"/>
          <w:sz w:val="24"/>
          <w:szCs w:val="24"/>
          <w:lang w:eastAsia="en-AE"/>
          <w14:ligatures w14:val="none"/>
        </w:rPr>
      </w:pPr>
      <w:r w:rsidRPr="00305CCE">
        <w:rPr>
          <w:rFonts w:ascii="Times New Roman" w:eastAsia="Times New Roman" w:hAnsi="Times New Roman" w:cs="Times New Roman"/>
          <w:kern w:val="0"/>
          <w:sz w:val="24"/>
          <w:szCs w:val="24"/>
          <w:lang w:eastAsia="en-AE"/>
          <w14:ligatures w14:val="none"/>
        </w:rPr>
        <w:t xml:space="preserve">Before determining the number of clusters, the </w:t>
      </w:r>
      <w:r w:rsidRPr="00305CCE">
        <w:rPr>
          <w:rFonts w:ascii="Times New Roman" w:eastAsia="Times New Roman" w:hAnsi="Times New Roman" w:cs="Times New Roman"/>
          <w:b/>
          <w:bCs/>
          <w:kern w:val="0"/>
          <w:sz w:val="24"/>
          <w:szCs w:val="24"/>
          <w:lang w:eastAsia="en-AE"/>
          <w14:ligatures w14:val="none"/>
        </w:rPr>
        <w:t>Elbow Method</w:t>
      </w:r>
      <w:r w:rsidRPr="00305CCE">
        <w:rPr>
          <w:rFonts w:ascii="Times New Roman" w:eastAsia="Times New Roman" w:hAnsi="Times New Roman" w:cs="Times New Roman"/>
          <w:kern w:val="0"/>
          <w:sz w:val="24"/>
          <w:szCs w:val="24"/>
          <w:lang w:eastAsia="en-AE"/>
          <w14:ligatures w14:val="none"/>
        </w:rPr>
        <w:t xml:space="preserve"> was used to assess model inertia for k-values ranging from 1 to 9</w:t>
      </w:r>
      <w:r>
        <w:rPr>
          <w:rFonts w:ascii="Times New Roman" w:eastAsia="Times New Roman" w:hAnsi="Times New Roman" w:cs="Times New Roman"/>
          <w:kern w:val="0"/>
          <w:sz w:val="24"/>
          <w:szCs w:val="24"/>
          <w:lang w:eastAsia="en-AE"/>
          <w14:ligatures w14:val="none"/>
        </w:rPr>
        <w:t xml:space="preserve">. </w:t>
      </w:r>
      <w:r w:rsidRPr="00305CCE">
        <w:rPr>
          <w:rFonts w:ascii="Times New Roman" w:eastAsia="Times New Roman" w:hAnsi="Times New Roman" w:cs="Times New Roman"/>
          <w:kern w:val="0"/>
          <w:sz w:val="24"/>
          <w:szCs w:val="24"/>
          <w:lang w:eastAsia="en-AE"/>
          <w14:ligatures w14:val="none"/>
        </w:rPr>
        <w:t xml:space="preserve">As shown in </w:t>
      </w:r>
      <w:r w:rsidRPr="00305CCE">
        <w:rPr>
          <w:rFonts w:ascii="Times New Roman" w:eastAsia="Times New Roman" w:hAnsi="Times New Roman" w:cs="Times New Roman"/>
          <w:b/>
          <w:bCs/>
          <w:kern w:val="0"/>
          <w:sz w:val="24"/>
          <w:szCs w:val="24"/>
          <w:lang w:eastAsia="en-AE"/>
          <w14:ligatures w14:val="none"/>
        </w:rPr>
        <w:t xml:space="preserve">Figure </w:t>
      </w:r>
      <w:r>
        <w:rPr>
          <w:rFonts w:ascii="Times New Roman" w:eastAsia="Times New Roman" w:hAnsi="Times New Roman" w:cs="Times New Roman"/>
          <w:b/>
          <w:bCs/>
          <w:kern w:val="0"/>
          <w:sz w:val="24"/>
          <w:szCs w:val="24"/>
          <w:lang w:eastAsia="en-AE"/>
          <w14:ligatures w14:val="none"/>
        </w:rPr>
        <w:t>C</w:t>
      </w:r>
      <w:r w:rsidRPr="00305CCE">
        <w:rPr>
          <w:rFonts w:ascii="Times New Roman" w:eastAsia="Times New Roman" w:hAnsi="Times New Roman" w:cs="Times New Roman"/>
          <w:kern w:val="0"/>
          <w:sz w:val="24"/>
          <w:szCs w:val="24"/>
          <w:lang w:eastAsia="en-AE"/>
          <w14:ligatures w14:val="none"/>
        </w:rPr>
        <w:t xml:space="preserve">, the elbow plot revealed a clear inflection point at </w:t>
      </w:r>
      <w:r w:rsidRPr="00305CCE">
        <w:rPr>
          <w:rFonts w:ascii="Times New Roman" w:eastAsia="Times New Roman" w:hAnsi="Times New Roman" w:cs="Times New Roman"/>
          <w:b/>
          <w:bCs/>
          <w:kern w:val="0"/>
          <w:sz w:val="24"/>
          <w:szCs w:val="24"/>
          <w:lang w:eastAsia="en-AE"/>
          <w14:ligatures w14:val="none"/>
        </w:rPr>
        <w:t>k = 3</w:t>
      </w:r>
      <w:r w:rsidRPr="00305CCE">
        <w:rPr>
          <w:rFonts w:ascii="Times New Roman" w:eastAsia="Times New Roman" w:hAnsi="Times New Roman" w:cs="Times New Roman"/>
          <w:kern w:val="0"/>
          <w:sz w:val="24"/>
          <w:szCs w:val="24"/>
          <w:lang w:eastAsia="en-AE"/>
          <w14:ligatures w14:val="none"/>
        </w:rPr>
        <w:t>, indicating that this number of clusters offers a good balance between model simplicity and explanatory power.</w:t>
      </w:r>
    </w:p>
    <w:p w14:paraId="76E67CF9" w14:textId="7A8BEB43" w:rsidR="00305CCE" w:rsidRDefault="00305CCE" w:rsidP="00010520">
      <w:pPr>
        <w:spacing w:before="100" w:beforeAutospacing="1" w:after="100" w:afterAutospacing="1" w:line="240" w:lineRule="auto"/>
        <w:jc w:val="both"/>
        <w:rPr>
          <w:rFonts w:ascii="Times New Roman" w:eastAsia="Times New Roman" w:hAnsi="Times New Roman" w:cs="Times New Roman"/>
          <w:kern w:val="0"/>
          <w:sz w:val="24"/>
          <w:szCs w:val="24"/>
          <w:lang w:eastAsia="en-AE"/>
          <w14:ligatures w14:val="none"/>
        </w:rPr>
      </w:pPr>
      <w:r>
        <w:rPr>
          <w:rFonts w:ascii="Times New Roman" w:eastAsia="Times New Roman" w:hAnsi="Times New Roman" w:cs="Times New Roman"/>
          <w:noProof/>
          <w:kern w:val="0"/>
          <w:sz w:val="24"/>
          <w:szCs w:val="24"/>
          <w:lang w:eastAsia="en-AE"/>
        </w:rPr>
        <w:drawing>
          <wp:inline distT="0" distB="0" distL="0" distR="0" wp14:anchorId="64CD6486" wp14:editId="0C018D6B">
            <wp:extent cx="4521200" cy="2980405"/>
            <wp:effectExtent l="0" t="0" r="0" b="0"/>
            <wp:docPr id="11251563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56368" name="Picture 1125156368"/>
                    <pic:cNvPicPr/>
                  </pic:nvPicPr>
                  <pic:blipFill>
                    <a:blip r:embed="rId9">
                      <a:extLst>
                        <a:ext uri="{28A0092B-C50C-407E-A947-70E740481C1C}">
                          <a14:useLocalDpi xmlns:a14="http://schemas.microsoft.com/office/drawing/2010/main" val="0"/>
                        </a:ext>
                      </a:extLst>
                    </a:blip>
                    <a:stretch>
                      <a:fillRect/>
                    </a:stretch>
                  </pic:blipFill>
                  <pic:spPr>
                    <a:xfrm>
                      <a:off x="0" y="0"/>
                      <a:ext cx="4525447" cy="2983204"/>
                    </a:xfrm>
                    <a:prstGeom prst="rect">
                      <a:avLst/>
                    </a:prstGeom>
                  </pic:spPr>
                </pic:pic>
              </a:graphicData>
            </a:graphic>
          </wp:inline>
        </w:drawing>
      </w:r>
    </w:p>
    <w:p w14:paraId="67747BA7" w14:textId="6682D2EE" w:rsidR="00305CCE" w:rsidRPr="00305CCE" w:rsidRDefault="00305CCE" w:rsidP="00010520">
      <w:pPr>
        <w:spacing w:before="100" w:beforeAutospacing="1" w:after="100" w:afterAutospacing="1" w:line="240" w:lineRule="auto"/>
        <w:jc w:val="both"/>
        <w:rPr>
          <w:rFonts w:ascii="Times New Roman" w:eastAsia="Times New Roman" w:hAnsi="Times New Roman" w:cs="Times New Roman"/>
          <w:kern w:val="0"/>
          <w:sz w:val="24"/>
          <w:szCs w:val="24"/>
          <w:lang w:eastAsia="en-AE"/>
          <w14:ligatures w14:val="none"/>
        </w:rPr>
      </w:pPr>
      <w:r w:rsidRPr="00305CCE">
        <w:rPr>
          <w:rFonts w:ascii="Times New Roman" w:eastAsia="Times New Roman" w:hAnsi="Times New Roman" w:cs="Times New Roman"/>
          <w:b/>
          <w:bCs/>
          <w:kern w:val="0"/>
          <w:sz w:val="24"/>
          <w:szCs w:val="24"/>
          <w:lang w:eastAsia="en-AE"/>
          <w14:ligatures w14:val="none"/>
        </w:rPr>
        <w:t xml:space="preserve">Figure </w:t>
      </w:r>
      <w:r>
        <w:rPr>
          <w:rFonts w:ascii="Times New Roman" w:eastAsia="Times New Roman" w:hAnsi="Times New Roman" w:cs="Times New Roman"/>
          <w:b/>
          <w:bCs/>
          <w:kern w:val="0"/>
          <w:sz w:val="24"/>
          <w:szCs w:val="24"/>
          <w:lang w:eastAsia="en-AE"/>
          <w14:ligatures w14:val="none"/>
        </w:rPr>
        <w:t>C:</w:t>
      </w:r>
      <w:r w:rsidRPr="00305CCE">
        <w:rPr>
          <w:rFonts w:ascii="Times New Roman" w:eastAsia="Times New Roman" w:hAnsi="Times New Roman" w:cs="Times New Roman"/>
          <w:kern w:val="0"/>
          <w:sz w:val="24"/>
          <w:szCs w:val="24"/>
          <w:lang w:eastAsia="en-AE"/>
          <w14:ligatures w14:val="none"/>
        </w:rPr>
        <w:t xml:space="preserve"> Elbow plot for optimal number of K-means clusters based on mobility scores. The “elbow” appears at k = 3, indicating three optimal mobility-based zone groups.</w:t>
      </w:r>
    </w:p>
    <w:p w14:paraId="39568FD7" w14:textId="77777777" w:rsidR="00305CCE" w:rsidRPr="00305CCE" w:rsidRDefault="00305CCE" w:rsidP="008C3260">
      <w:pPr>
        <w:spacing w:after="0"/>
        <w:jc w:val="both"/>
        <w:rPr>
          <w:rFonts w:asciiTheme="majorBidi" w:hAnsiTheme="majorBidi" w:cstheme="majorBidi"/>
        </w:rPr>
      </w:pPr>
      <w:r w:rsidRPr="00305CCE">
        <w:rPr>
          <w:rFonts w:asciiTheme="majorBidi" w:hAnsiTheme="majorBidi" w:cstheme="majorBidi"/>
        </w:rPr>
        <w:t>Once k = 3 was selected, each zone was assigned a cluster label</w:t>
      </w:r>
      <w:r>
        <w:rPr>
          <w:rFonts w:asciiTheme="majorBidi" w:hAnsiTheme="majorBidi" w:cstheme="majorBidi"/>
        </w:rPr>
        <w:t xml:space="preserve">. </w:t>
      </w:r>
      <w:r w:rsidRPr="00305CCE">
        <w:rPr>
          <w:rFonts w:asciiTheme="majorBidi" w:hAnsiTheme="majorBidi" w:cstheme="majorBidi"/>
        </w:rPr>
        <w:t>To improve interpretability, clusters were given descriptive labels:</w:t>
      </w:r>
    </w:p>
    <w:p w14:paraId="48D8EB78" w14:textId="77777777" w:rsidR="00305CCE" w:rsidRPr="00305CCE" w:rsidRDefault="00305CCE" w:rsidP="008C3260">
      <w:pPr>
        <w:numPr>
          <w:ilvl w:val="0"/>
          <w:numId w:val="24"/>
        </w:numPr>
        <w:spacing w:after="0"/>
        <w:jc w:val="both"/>
        <w:rPr>
          <w:rFonts w:asciiTheme="majorBidi" w:hAnsiTheme="majorBidi" w:cstheme="majorBidi"/>
        </w:rPr>
      </w:pPr>
      <w:r w:rsidRPr="00305CCE">
        <w:rPr>
          <w:rFonts w:asciiTheme="majorBidi" w:hAnsiTheme="majorBidi" w:cstheme="majorBidi"/>
          <w:b/>
          <w:bCs/>
        </w:rPr>
        <w:t>Cluster 0:</w:t>
      </w:r>
      <w:r w:rsidRPr="00305CCE">
        <w:rPr>
          <w:rFonts w:asciiTheme="majorBidi" w:hAnsiTheme="majorBidi" w:cstheme="majorBidi"/>
        </w:rPr>
        <w:t xml:space="preserve"> Mild drop (~–10%)</w:t>
      </w:r>
    </w:p>
    <w:p w14:paraId="44CE358F" w14:textId="77777777" w:rsidR="00305CCE" w:rsidRPr="00305CCE" w:rsidRDefault="00305CCE" w:rsidP="008C3260">
      <w:pPr>
        <w:numPr>
          <w:ilvl w:val="0"/>
          <w:numId w:val="24"/>
        </w:numPr>
        <w:spacing w:after="0"/>
        <w:jc w:val="both"/>
        <w:rPr>
          <w:rFonts w:asciiTheme="majorBidi" w:hAnsiTheme="majorBidi" w:cstheme="majorBidi"/>
        </w:rPr>
      </w:pPr>
      <w:r w:rsidRPr="00305CCE">
        <w:rPr>
          <w:rFonts w:asciiTheme="majorBidi" w:hAnsiTheme="majorBidi" w:cstheme="majorBidi"/>
          <w:b/>
          <w:bCs/>
        </w:rPr>
        <w:t>Cluster 1:</w:t>
      </w:r>
      <w:r w:rsidRPr="00305CCE">
        <w:rPr>
          <w:rFonts w:asciiTheme="majorBidi" w:hAnsiTheme="majorBidi" w:cstheme="majorBidi"/>
        </w:rPr>
        <w:t xml:space="preserve"> Largest drop (~–32%)</w:t>
      </w:r>
    </w:p>
    <w:p w14:paraId="35E9760F" w14:textId="77777777" w:rsidR="00305CCE" w:rsidRPr="00305CCE" w:rsidRDefault="00305CCE" w:rsidP="008C3260">
      <w:pPr>
        <w:numPr>
          <w:ilvl w:val="0"/>
          <w:numId w:val="24"/>
        </w:numPr>
        <w:spacing w:after="0"/>
        <w:jc w:val="both"/>
        <w:rPr>
          <w:rFonts w:asciiTheme="majorBidi" w:hAnsiTheme="majorBidi" w:cstheme="majorBidi"/>
        </w:rPr>
      </w:pPr>
      <w:r w:rsidRPr="00305CCE">
        <w:rPr>
          <w:rFonts w:asciiTheme="majorBidi" w:hAnsiTheme="majorBidi" w:cstheme="majorBidi"/>
          <w:b/>
          <w:bCs/>
        </w:rPr>
        <w:t>Cluster 2:</w:t>
      </w:r>
      <w:r w:rsidRPr="00305CCE">
        <w:rPr>
          <w:rFonts w:asciiTheme="majorBidi" w:hAnsiTheme="majorBidi" w:cstheme="majorBidi"/>
        </w:rPr>
        <w:t xml:space="preserve"> Moderate drop (~–26%)</w:t>
      </w:r>
    </w:p>
    <w:p w14:paraId="5394DF95" w14:textId="77777777" w:rsidR="009E0C72" w:rsidRDefault="009E0C72" w:rsidP="00010520">
      <w:pPr>
        <w:jc w:val="both"/>
        <w:rPr>
          <w:rFonts w:asciiTheme="majorBidi" w:hAnsiTheme="majorBidi" w:cstheme="majorBidi"/>
        </w:rPr>
      </w:pPr>
      <w:r w:rsidRPr="009E0C72">
        <w:rPr>
          <w:rFonts w:asciiTheme="majorBidi" w:hAnsiTheme="majorBidi" w:cstheme="majorBidi"/>
        </w:rPr>
        <w:t xml:space="preserve">Each geohash zone was spatially mapped using square polygons generated via geohash2.decode_exactly() and visualized using a </w:t>
      </w:r>
      <w:proofErr w:type="spellStart"/>
      <w:r w:rsidRPr="009E0C72">
        <w:rPr>
          <w:rFonts w:asciiTheme="majorBidi" w:hAnsiTheme="majorBidi" w:cstheme="majorBidi"/>
        </w:rPr>
        <w:t>GeoDataFrame</w:t>
      </w:r>
      <w:proofErr w:type="spellEnd"/>
      <w:r w:rsidRPr="009E0C72">
        <w:rPr>
          <w:rFonts w:asciiTheme="majorBidi" w:hAnsiTheme="majorBidi" w:cstheme="majorBidi"/>
        </w:rPr>
        <w:t xml:space="preserve">. These clusters were then overlaid on the NO₂/SO₂/aerosol composite raster, providing a spatial overview of how mobility </w:t>
      </w:r>
      <w:proofErr w:type="spellStart"/>
      <w:r w:rsidRPr="009E0C72">
        <w:rPr>
          <w:rFonts w:asciiTheme="majorBidi" w:hAnsiTheme="majorBidi" w:cstheme="majorBidi"/>
        </w:rPr>
        <w:t>behavior</w:t>
      </w:r>
      <w:proofErr w:type="spellEnd"/>
      <w:r w:rsidRPr="009E0C72">
        <w:rPr>
          <w:rFonts w:asciiTheme="majorBidi" w:hAnsiTheme="majorBidi" w:cstheme="majorBidi"/>
        </w:rPr>
        <w:t xml:space="preserve"> aligns </w:t>
      </w:r>
      <w:r w:rsidRPr="009E0C72">
        <w:rPr>
          <w:rFonts w:asciiTheme="majorBidi" w:hAnsiTheme="majorBidi" w:cstheme="majorBidi"/>
        </w:rPr>
        <w:lastRenderedPageBreak/>
        <w:t xml:space="preserve">with pollution intensity gradients. The resulting distribution, shown in </w:t>
      </w:r>
      <w:r w:rsidRPr="009E0C72">
        <w:rPr>
          <w:rFonts w:asciiTheme="majorBidi" w:hAnsiTheme="majorBidi" w:cstheme="majorBidi"/>
          <w:color w:val="FF0000"/>
        </w:rPr>
        <w:t>Figure Y</w:t>
      </w:r>
      <w:r w:rsidRPr="009E0C72">
        <w:rPr>
          <w:rFonts w:asciiTheme="majorBidi" w:hAnsiTheme="majorBidi" w:cstheme="majorBidi"/>
        </w:rPr>
        <w:t>, reveals how certain high-pollution areas—especially along coastal cities like Dubai and Sharjah—exhibited the largest drops in mobility, while peripheral regions showed milder reductions.</w:t>
      </w:r>
    </w:p>
    <w:p w14:paraId="658B2836" w14:textId="77777777" w:rsidR="00493781" w:rsidRDefault="00493781" w:rsidP="00010520">
      <w:pPr>
        <w:jc w:val="both"/>
        <w:rPr>
          <w:rFonts w:asciiTheme="majorBidi" w:hAnsiTheme="majorBidi" w:cstheme="majorBidi"/>
        </w:rPr>
      </w:pPr>
    </w:p>
    <w:p w14:paraId="5AB2427E" w14:textId="179BEB0C" w:rsidR="00376DFA" w:rsidRDefault="00305CCE" w:rsidP="008C3260">
      <w:pPr>
        <w:jc w:val="center"/>
        <w:rPr>
          <w:rFonts w:asciiTheme="majorBidi" w:hAnsiTheme="majorBidi" w:cstheme="majorBidi"/>
        </w:rPr>
      </w:pPr>
      <w:r>
        <w:rPr>
          <w:rFonts w:asciiTheme="majorBidi" w:hAnsiTheme="majorBidi" w:cstheme="majorBidi"/>
          <w:noProof/>
        </w:rPr>
        <w:drawing>
          <wp:inline distT="0" distB="0" distL="0" distR="0" wp14:anchorId="0AE77E9A" wp14:editId="51AEAC75">
            <wp:extent cx="5213731" cy="4053840"/>
            <wp:effectExtent l="0" t="0" r="6350" b="3810"/>
            <wp:docPr id="19485828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82880" name="Picture 1948582880"/>
                    <pic:cNvPicPr/>
                  </pic:nvPicPr>
                  <pic:blipFill>
                    <a:blip r:embed="rId10">
                      <a:extLst>
                        <a:ext uri="{28A0092B-C50C-407E-A947-70E740481C1C}">
                          <a14:useLocalDpi xmlns:a14="http://schemas.microsoft.com/office/drawing/2010/main" val="0"/>
                        </a:ext>
                      </a:extLst>
                    </a:blip>
                    <a:stretch>
                      <a:fillRect/>
                    </a:stretch>
                  </pic:blipFill>
                  <pic:spPr>
                    <a:xfrm>
                      <a:off x="0" y="0"/>
                      <a:ext cx="5229966" cy="4066463"/>
                    </a:xfrm>
                    <a:prstGeom prst="rect">
                      <a:avLst/>
                    </a:prstGeom>
                  </pic:spPr>
                </pic:pic>
              </a:graphicData>
            </a:graphic>
          </wp:inline>
        </w:drawing>
      </w:r>
    </w:p>
    <w:p w14:paraId="6B130042" w14:textId="4A9C4450" w:rsidR="008D46A3" w:rsidRDefault="00305CCE" w:rsidP="00010520">
      <w:pPr>
        <w:jc w:val="both"/>
        <w:rPr>
          <w:rFonts w:asciiTheme="majorBidi" w:hAnsiTheme="majorBidi" w:cstheme="majorBidi"/>
        </w:rPr>
      </w:pPr>
      <w:r w:rsidRPr="009E0C72">
        <w:rPr>
          <w:rFonts w:asciiTheme="majorBidi" w:hAnsiTheme="majorBidi" w:cstheme="majorBidi"/>
          <w:b/>
          <w:bCs/>
          <w:color w:val="FF0000"/>
        </w:rPr>
        <w:t>Figure Y</w:t>
      </w:r>
      <w:r>
        <w:rPr>
          <w:rFonts w:asciiTheme="majorBidi" w:hAnsiTheme="majorBidi" w:cstheme="majorBidi"/>
          <w:b/>
          <w:bCs/>
        </w:rPr>
        <w:t xml:space="preserve">: </w:t>
      </w:r>
      <w:r w:rsidRPr="00305CCE">
        <w:rPr>
          <w:rFonts w:asciiTheme="majorBidi" w:hAnsiTheme="majorBidi" w:cstheme="majorBidi"/>
        </w:rPr>
        <w:t xml:space="preserve">Mobility Clusters (k = 3) overlaid on NO₂/SO₂/Aerosol Composite (2020–2022). Each geohash zone is </w:t>
      </w:r>
      <w:proofErr w:type="spellStart"/>
      <w:r w:rsidRPr="00305CCE">
        <w:rPr>
          <w:rFonts w:asciiTheme="majorBidi" w:hAnsiTheme="majorBidi" w:cstheme="majorBidi"/>
        </w:rPr>
        <w:t>colored</w:t>
      </w:r>
      <w:proofErr w:type="spellEnd"/>
      <w:r w:rsidRPr="00305CCE">
        <w:rPr>
          <w:rFonts w:asciiTheme="majorBidi" w:hAnsiTheme="majorBidi" w:cstheme="majorBidi"/>
        </w:rPr>
        <w:t xml:space="preserve"> based on its mobility </w:t>
      </w:r>
      <w:proofErr w:type="spellStart"/>
      <w:r w:rsidRPr="00305CCE">
        <w:rPr>
          <w:rFonts w:asciiTheme="majorBidi" w:hAnsiTheme="majorBidi" w:cstheme="majorBidi"/>
        </w:rPr>
        <w:t>behavior</w:t>
      </w:r>
      <w:proofErr w:type="spellEnd"/>
      <w:r w:rsidRPr="00305CCE">
        <w:rPr>
          <w:rFonts w:asciiTheme="majorBidi" w:hAnsiTheme="majorBidi" w:cstheme="majorBidi"/>
        </w:rPr>
        <w:t xml:space="preserve"> cluster.</w:t>
      </w:r>
    </w:p>
    <w:p w14:paraId="54541544" w14:textId="261633B9" w:rsidR="00513040" w:rsidRDefault="00AF7A2E" w:rsidP="008C3260">
      <w:pPr>
        <w:jc w:val="center"/>
        <w:rPr>
          <w:rFonts w:asciiTheme="majorBidi" w:hAnsiTheme="majorBidi" w:cstheme="majorBidi"/>
        </w:rPr>
      </w:pPr>
      <w:r>
        <w:rPr>
          <w:rFonts w:asciiTheme="majorBidi" w:hAnsiTheme="majorBidi" w:cstheme="majorBidi"/>
          <w:noProof/>
        </w:rPr>
        <w:drawing>
          <wp:inline distT="0" distB="0" distL="0" distR="0" wp14:anchorId="3CCB1720" wp14:editId="5A24A083">
            <wp:extent cx="4343400" cy="2937305"/>
            <wp:effectExtent l="0" t="0" r="0" b="0"/>
            <wp:docPr id="13986555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55593" name="Picture 1398655593"/>
                    <pic:cNvPicPr/>
                  </pic:nvPicPr>
                  <pic:blipFill>
                    <a:blip r:embed="rId11">
                      <a:extLst>
                        <a:ext uri="{28A0092B-C50C-407E-A947-70E740481C1C}">
                          <a14:useLocalDpi xmlns:a14="http://schemas.microsoft.com/office/drawing/2010/main" val="0"/>
                        </a:ext>
                      </a:extLst>
                    </a:blip>
                    <a:stretch>
                      <a:fillRect/>
                    </a:stretch>
                  </pic:blipFill>
                  <pic:spPr>
                    <a:xfrm>
                      <a:off x="0" y="0"/>
                      <a:ext cx="4353294" cy="2943996"/>
                    </a:xfrm>
                    <a:prstGeom prst="rect">
                      <a:avLst/>
                    </a:prstGeom>
                  </pic:spPr>
                </pic:pic>
              </a:graphicData>
            </a:graphic>
          </wp:inline>
        </w:drawing>
      </w:r>
    </w:p>
    <w:p w14:paraId="78F7E521" w14:textId="1881CCBA" w:rsidR="00AF7A2E" w:rsidRDefault="00AF7A2E" w:rsidP="00AF7A2E">
      <w:pPr>
        <w:jc w:val="both"/>
        <w:rPr>
          <w:rFonts w:asciiTheme="majorBidi" w:hAnsiTheme="majorBidi" w:cstheme="majorBidi"/>
        </w:rPr>
      </w:pPr>
      <w:r w:rsidRPr="00AF7A2E">
        <w:rPr>
          <w:rFonts w:asciiTheme="majorBidi" w:hAnsiTheme="majorBidi" w:cstheme="majorBidi"/>
          <w:b/>
          <w:bCs/>
        </w:rPr>
        <w:lastRenderedPageBreak/>
        <w:t>Figure X.</w:t>
      </w:r>
      <w:r w:rsidRPr="00AF7A2E">
        <w:rPr>
          <w:rFonts w:asciiTheme="majorBidi" w:hAnsiTheme="majorBidi" w:cstheme="majorBidi"/>
        </w:rPr>
        <w:t xml:space="preserve"> Elbow plot used to determine optimal number of clusters when jointly considering mobility and pollution features. k = 3 appears optimal.</w:t>
      </w:r>
    </w:p>
    <w:p w14:paraId="610B7287" w14:textId="77777777" w:rsidR="00AF7A2E" w:rsidRDefault="00AF7A2E" w:rsidP="00AF7A2E">
      <w:pPr>
        <w:jc w:val="both"/>
        <w:rPr>
          <w:rFonts w:asciiTheme="majorBidi" w:hAnsiTheme="majorBidi" w:cstheme="majorBidi"/>
        </w:rPr>
      </w:pPr>
    </w:p>
    <w:p w14:paraId="3BE45D4E" w14:textId="67F59B4F" w:rsidR="00305CCE" w:rsidRPr="00305CCE" w:rsidRDefault="00305CCE" w:rsidP="00010520">
      <w:pPr>
        <w:jc w:val="both"/>
        <w:rPr>
          <w:rFonts w:asciiTheme="majorBidi" w:hAnsiTheme="majorBidi" w:cstheme="majorBidi"/>
        </w:rPr>
      </w:pPr>
      <w:r w:rsidRPr="00305CCE">
        <w:rPr>
          <w:rFonts w:asciiTheme="majorBidi" w:hAnsiTheme="majorBidi" w:cstheme="majorBidi"/>
        </w:rPr>
        <w:t>This clustering structure served as a foundation for later risk categorization, re-clustering in the forecasting phase, and city-specific policy targeting.</w:t>
      </w:r>
    </w:p>
    <w:p w14:paraId="6E4DE71E" w14:textId="77777777" w:rsidR="008D46A3" w:rsidRPr="00376DFA" w:rsidRDefault="008D46A3" w:rsidP="00010520">
      <w:pPr>
        <w:jc w:val="both"/>
        <w:rPr>
          <w:rFonts w:asciiTheme="majorBidi" w:hAnsiTheme="majorBidi" w:cstheme="majorBidi"/>
        </w:rPr>
      </w:pPr>
    </w:p>
    <w:p w14:paraId="03ADCBA5" w14:textId="123ECC91" w:rsidR="00376DFA" w:rsidRPr="00376DFA" w:rsidRDefault="00376DFA" w:rsidP="00010520">
      <w:pPr>
        <w:pStyle w:val="Heading3"/>
        <w:numPr>
          <w:ilvl w:val="2"/>
          <w:numId w:val="15"/>
        </w:numPr>
        <w:jc w:val="both"/>
        <w:rPr>
          <w:rFonts w:asciiTheme="majorBidi" w:hAnsiTheme="majorBidi"/>
          <w:color w:val="auto"/>
        </w:rPr>
      </w:pPr>
      <w:r w:rsidRPr="00376DFA">
        <w:rPr>
          <w:rFonts w:asciiTheme="majorBidi" w:hAnsiTheme="majorBidi"/>
          <w:color w:val="auto"/>
        </w:rPr>
        <w:t>Hotspot Detection and Zone Typologies</w:t>
      </w:r>
      <w:r w:rsidR="00010520">
        <w:rPr>
          <w:rFonts w:asciiTheme="majorBidi" w:hAnsiTheme="majorBidi"/>
          <w:color w:val="auto"/>
        </w:rPr>
        <w:t>:</w:t>
      </w:r>
    </w:p>
    <w:p w14:paraId="15492580" w14:textId="77777777" w:rsidR="00513040" w:rsidRPr="00513040" w:rsidRDefault="00513040" w:rsidP="00010520">
      <w:pPr>
        <w:ind w:firstLine="360"/>
        <w:jc w:val="both"/>
        <w:rPr>
          <w:rFonts w:asciiTheme="majorBidi" w:hAnsiTheme="majorBidi" w:cstheme="majorBidi"/>
        </w:rPr>
      </w:pPr>
      <w:r w:rsidRPr="00513040">
        <w:rPr>
          <w:rFonts w:asciiTheme="majorBidi" w:hAnsiTheme="majorBidi" w:cstheme="majorBidi"/>
        </w:rPr>
        <w:t xml:space="preserve">To better contextualize the clustering results from Section 4.2.1, the geohash zones were further categorized into </w:t>
      </w:r>
      <w:r w:rsidRPr="00513040">
        <w:rPr>
          <w:rFonts w:asciiTheme="majorBidi" w:hAnsiTheme="majorBidi" w:cstheme="majorBidi"/>
          <w:b/>
          <w:bCs/>
        </w:rPr>
        <w:t>four environmental-</w:t>
      </w:r>
      <w:proofErr w:type="spellStart"/>
      <w:r w:rsidRPr="00513040">
        <w:rPr>
          <w:rFonts w:asciiTheme="majorBidi" w:hAnsiTheme="majorBidi" w:cstheme="majorBidi"/>
          <w:b/>
          <w:bCs/>
        </w:rPr>
        <w:t>behavioral</w:t>
      </w:r>
      <w:proofErr w:type="spellEnd"/>
      <w:r w:rsidRPr="00513040">
        <w:rPr>
          <w:rFonts w:asciiTheme="majorBidi" w:hAnsiTheme="majorBidi" w:cstheme="majorBidi"/>
          <w:b/>
          <w:bCs/>
        </w:rPr>
        <w:t xml:space="preserve"> typologies</w:t>
      </w:r>
      <w:r w:rsidRPr="00513040">
        <w:rPr>
          <w:rFonts w:asciiTheme="majorBidi" w:hAnsiTheme="majorBidi" w:cstheme="majorBidi"/>
        </w:rPr>
        <w:t>, based on their combined mobility and pollution characteristics. These categories were derived by cross-referencing the K-Means mobility clusters with corresponding average pollutant levels (primarily NO₂ and PM₁₀):</w:t>
      </w:r>
    </w:p>
    <w:p w14:paraId="3230651C" w14:textId="77777777" w:rsidR="00513040" w:rsidRPr="00513040" w:rsidRDefault="00513040" w:rsidP="00010520">
      <w:pPr>
        <w:numPr>
          <w:ilvl w:val="0"/>
          <w:numId w:val="25"/>
        </w:numPr>
        <w:rPr>
          <w:rFonts w:asciiTheme="majorBidi" w:hAnsiTheme="majorBidi" w:cstheme="majorBidi"/>
        </w:rPr>
      </w:pPr>
      <w:r w:rsidRPr="00513040">
        <w:rPr>
          <w:rFonts w:asciiTheme="majorBidi" w:hAnsiTheme="majorBidi" w:cstheme="majorBidi"/>
          <w:b/>
          <w:bCs/>
        </w:rPr>
        <w:t>Type A: High Mobility – Low Pollution</w:t>
      </w:r>
      <w:r w:rsidRPr="00513040">
        <w:rPr>
          <w:rFonts w:asciiTheme="majorBidi" w:hAnsiTheme="majorBidi" w:cstheme="majorBidi"/>
        </w:rPr>
        <w:br/>
      </w:r>
      <w:r w:rsidRPr="00513040">
        <w:rPr>
          <w:rFonts w:asciiTheme="majorBidi" w:hAnsiTheme="majorBidi" w:cstheme="majorBidi"/>
          <w:i/>
          <w:iCs/>
        </w:rPr>
        <w:t>Examples:</w:t>
      </w:r>
      <w:r w:rsidRPr="00513040">
        <w:rPr>
          <w:rFonts w:asciiTheme="majorBidi" w:hAnsiTheme="majorBidi" w:cstheme="majorBidi"/>
        </w:rPr>
        <w:t xml:space="preserve"> Central downtown areas with efficient public transport (e.g., metro zones in Dubai)</w:t>
      </w:r>
      <w:r w:rsidRPr="00513040">
        <w:rPr>
          <w:rFonts w:asciiTheme="majorBidi" w:hAnsiTheme="majorBidi" w:cstheme="majorBidi"/>
        </w:rPr>
        <w:br/>
      </w:r>
      <w:r w:rsidRPr="00513040">
        <w:rPr>
          <w:rFonts w:asciiTheme="majorBidi" w:hAnsiTheme="majorBidi" w:cstheme="majorBidi"/>
          <w:i/>
          <w:iCs/>
        </w:rPr>
        <w:t>Implication:</w:t>
      </w:r>
      <w:r w:rsidRPr="00513040">
        <w:rPr>
          <w:rFonts w:asciiTheme="majorBidi" w:hAnsiTheme="majorBidi" w:cstheme="majorBidi"/>
        </w:rPr>
        <w:t xml:space="preserve"> These zones are environmentally efficient and should be prioritized for green mobility investments.</w:t>
      </w:r>
    </w:p>
    <w:p w14:paraId="05A3B333" w14:textId="77777777" w:rsidR="00513040" w:rsidRPr="00513040" w:rsidRDefault="00513040" w:rsidP="00010520">
      <w:pPr>
        <w:numPr>
          <w:ilvl w:val="0"/>
          <w:numId w:val="25"/>
        </w:numPr>
        <w:rPr>
          <w:rFonts w:asciiTheme="majorBidi" w:hAnsiTheme="majorBidi" w:cstheme="majorBidi"/>
        </w:rPr>
      </w:pPr>
      <w:r w:rsidRPr="00513040">
        <w:rPr>
          <w:rFonts w:asciiTheme="majorBidi" w:hAnsiTheme="majorBidi" w:cstheme="majorBidi"/>
          <w:b/>
          <w:bCs/>
        </w:rPr>
        <w:t>Type B: Low Mobility – High Pollution</w:t>
      </w:r>
      <w:r w:rsidRPr="00513040">
        <w:rPr>
          <w:rFonts w:asciiTheme="majorBidi" w:hAnsiTheme="majorBidi" w:cstheme="majorBidi"/>
        </w:rPr>
        <w:br/>
      </w:r>
      <w:r w:rsidRPr="00513040">
        <w:rPr>
          <w:rFonts w:asciiTheme="majorBidi" w:hAnsiTheme="majorBidi" w:cstheme="majorBidi"/>
          <w:i/>
          <w:iCs/>
        </w:rPr>
        <w:t>Examples:</w:t>
      </w:r>
      <w:r w:rsidRPr="00513040">
        <w:rPr>
          <w:rFonts w:asciiTheme="majorBidi" w:hAnsiTheme="majorBidi" w:cstheme="majorBidi"/>
        </w:rPr>
        <w:t xml:space="preserve"> Industrial belts and oil refining zones with limited residential movement</w:t>
      </w:r>
      <w:r w:rsidRPr="00513040">
        <w:rPr>
          <w:rFonts w:asciiTheme="majorBidi" w:hAnsiTheme="majorBidi" w:cstheme="majorBidi"/>
        </w:rPr>
        <w:br/>
      </w:r>
      <w:r w:rsidRPr="00513040">
        <w:rPr>
          <w:rFonts w:asciiTheme="majorBidi" w:hAnsiTheme="majorBidi" w:cstheme="majorBidi"/>
          <w:i/>
          <w:iCs/>
        </w:rPr>
        <w:t>Implication:</w:t>
      </w:r>
      <w:r w:rsidRPr="00513040">
        <w:rPr>
          <w:rFonts w:asciiTheme="majorBidi" w:hAnsiTheme="majorBidi" w:cstheme="majorBidi"/>
        </w:rPr>
        <w:t xml:space="preserve"> Stationary emissions dominate; regulatory interventions and fixed-source monitoring are needed.</w:t>
      </w:r>
    </w:p>
    <w:p w14:paraId="741E5EB3" w14:textId="77777777" w:rsidR="00513040" w:rsidRPr="00513040" w:rsidRDefault="00513040" w:rsidP="00010520">
      <w:pPr>
        <w:numPr>
          <w:ilvl w:val="0"/>
          <w:numId w:val="25"/>
        </w:numPr>
        <w:rPr>
          <w:rFonts w:asciiTheme="majorBidi" w:hAnsiTheme="majorBidi" w:cstheme="majorBidi"/>
        </w:rPr>
      </w:pPr>
      <w:r w:rsidRPr="00513040">
        <w:rPr>
          <w:rFonts w:asciiTheme="majorBidi" w:hAnsiTheme="majorBidi" w:cstheme="majorBidi"/>
          <w:b/>
          <w:bCs/>
        </w:rPr>
        <w:t>Type C: High Mobility – High Pollution</w:t>
      </w:r>
      <w:r w:rsidRPr="00513040">
        <w:rPr>
          <w:rFonts w:asciiTheme="majorBidi" w:hAnsiTheme="majorBidi" w:cstheme="majorBidi"/>
        </w:rPr>
        <w:br/>
      </w:r>
      <w:r w:rsidRPr="00513040">
        <w:rPr>
          <w:rFonts w:asciiTheme="majorBidi" w:hAnsiTheme="majorBidi" w:cstheme="majorBidi"/>
          <w:i/>
          <w:iCs/>
        </w:rPr>
        <w:t>Examples:</w:t>
      </w:r>
      <w:r w:rsidRPr="00513040">
        <w:rPr>
          <w:rFonts w:asciiTheme="majorBidi" w:hAnsiTheme="majorBidi" w:cstheme="majorBidi"/>
        </w:rPr>
        <w:t xml:space="preserve"> Urban traffic corridors or road-dense commercial </w:t>
      </w:r>
      <w:proofErr w:type="spellStart"/>
      <w:r w:rsidRPr="00513040">
        <w:rPr>
          <w:rFonts w:asciiTheme="majorBidi" w:hAnsiTheme="majorBidi" w:cstheme="majorBidi"/>
        </w:rPr>
        <w:t>centers</w:t>
      </w:r>
      <w:proofErr w:type="spellEnd"/>
      <w:r w:rsidRPr="00513040">
        <w:rPr>
          <w:rFonts w:asciiTheme="majorBidi" w:hAnsiTheme="majorBidi" w:cstheme="majorBidi"/>
        </w:rPr>
        <w:br/>
      </w:r>
      <w:r w:rsidRPr="00513040">
        <w:rPr>
          <w:rFonts w:asciiTheme="majorBidi" w:hAnsiTheme="majorBidi" w:cstheme="majorBidi"/>
          <w:i/>
          <w:iCs/>
        </w:rPr>
        <w:t>Implication:</w:t>
      </w:r>
      <w:r w:rsidRPr="00513040">
        <w:rPr>
          <w:rFonts w:asciiTheme="majorBidi" w:hAnsiTheme="majorBidi" w:cstheme="majorBidi"/>
        </w:rPr>
        <w:t xml:space="preserve"> Likely tied to mobile sources (vehicles); interventions may include electrification and congestion control.</w:t>
      </w:r>
    </w:p>
    <w:p w14:paraId="4C23FB8D" w14:textId="75C4983F" w:rsidR="00513040" w:rsidRPr="00513040" w:rsidRDefault="00513040" w:rsidP="00010520">
      <w:pPr>
        <w:numPr>
          <w:ilvl w:val="0"/>
          <w:numId w:val="25"/>
        </w:numPr>
        <w:rPr>
          <w:rFonts w:asciiTheme="majorBidi" w:hAnsiTheme="majorBidi" w:cstheme="majorBidi"/>
        </w:rPr>
      </w:pPr>
      <w:r w:rsidRPr="00513040">
        <w:rPr>
          <w:rFonts w:asciiTheme="majorBidi" w:hAnsiTheme="majorBidi" w:cstheme="majorBidi"/>
          <w:b/>
          <w:bCs/>
        </w:rPr>
        <w:t>Type D: Low Mobility – Low Pollution</w:t>
      </w:r>
      <w:r w:rsidRPr="00513040">
        <w:rPr>
          <w:rFonts w:asciiTheme="majorBidi" w:hAnsiTheme="majorBidi" w:cstheme="majorBidi"/>
        </w:rPr>
        <w:br/>
      </w:r>
      <w:r w:rsidRPr="00513040">
        <w:rPr>
          <w:rFonts w:asciiTheme="majorBidi" w:hAnsiTheme="majorBidi" w:cstheme="majorBidi"/>
          <w:i/>
          <w:iCs/>
        </w:rPr>
        <w:t>Examples:</w:t>
      </w:r>
      <w:r w:rsidRPr="00513040">
        <w:rPr>
          <w:rFonts w:asciiTheme="majorBidi" w:hAnsiTheme="majorBidi" w:cstheme="majorBidi"/>
        </w:rPr>
        <w:t xml:space="preserve"> Suburban or fringe zones with low population density</w:t>
      </w:r>
      <w:r w:rsidRPr="00513040">
        <w:rPr>
          <w:rFonts w:asciiTheme="majorBidi" w:hAnsiTheme="majorBidi" w:cstheme="majorBidi"/>
        </w:rPr>
        <w:br/>
      </w:r>
      <w:r w:rsidRPr="00513040">
        <w:rPr>
          <w:rFonts w:asciiTheme="majorBidi" w:hAnsiTheme="majorBidi" w:cstheme="majorBidi"/>
          <w:i/>
          <w:iCs/>
        </w:rPr>
        <w:t>Implication:</w:t>
      </w:r>
      <w:r w:rsidRPr="00513040">
        <w:rPr>
          <w:rFonts w:asciiTheme="majorBidi" w:hAnsiTheme="majorBidi" w:cstheme="majorBidi"/>
        </w:rPr>
        <w:t xml:space="preserve"> Typically, low-risk areas, but may act as buffers or expansion zones in the future.</w:t>
      </w:r>
    </w:p>
    <w:p w14:paraId="1B763A40" w14:textId="3FB61E45" w:rsidR="00513040" w:rsidRPr="00513040" w:rsidRDefault="00513040" w:rsidP="00010520">
      <w:pPr>
        <w:ind w:firstLine="284"/>
        <w:jc w:val="both"/>
        <w:rPr>
          <w:rFonts w:asciiTheme="majorBidi" w:hAnsiTheme="majorBidi" w:cstheme="majorBidi"/>
        </w:rPr>
      </w:pPr>
      <w:r w:rsidRPr="00513040">
        <w:rPr>
          <w:rFonts w:asciiTheme="majorBidi" w:hAnsiTheme="majorBidi" w:cstheme="majorBidi"/>
        </w:rPr>
        <w:t>These four categories</w:t>
      </w:r>
      <w:r>
        <w:rPr>
          <w:rFonts w:asciiTheme="majorBidi" w:hAnsiTheme="majorBidi" w:cstheme="majorBidi"/>
        </w:rPr>
        <w:t xml:space="preserve"> </w:t>
      </w:r>
      <w:r w:rsidRPr="00513040">
        <w:rPr>
          <w:rFonts w:asciiTheme="majorBidi" w:hAnsiTheme="majorBidi" w:cstheme="majorBidi"/>
        </w:rPr>
        <w:t xml:space="preserve">were derived by analysing both </w:t>
      </w:r>
      <w:r w:rsidRPr="00513040">
        <w:rPr>
          <w:rFonts w:asciiTheme="majorBidi" w:hAnsiTheme="majorBidi" w:cstheme="majorBidi"/>
          <w:b/>
          <w:bCs/>
        </w:rPr>
        <w:t>cluster label assignments</w:t>
      </w:r>
      <w:r w:rsidRPr="00513040">
        <w:rPr>
          <w:rFonts w:asciiTheme="majorBidi" w:hAnsiTheme="majorBidi" w:cstheme="majorBidi"/>
        </w:rPr>
        <w:t xml:space="preserve"> and corresponding pollution metrics. Zones were mapped accordingly, with each geohash coloured by its behavioural type and overlaid on top of the NO₂/SO₂/aerosol composite.</w:t>
      </w:r>
    </w:p>
    <w:p w14:paraId="21A55D8D" w14:textId="77777777" w:rsidR="00513040" w:rsidRPr="00513040" w:rsidRDefault="00513040" w:rsidP="00010520">
      <w:pPr>
        <w:jc w:val="both"/>
        <w:rPr>
          <w:rFonts w:asciiTheme="majorBidi" w:hAnsiTheme="majorBidi" w:cstheme="majorBidi"/>
        </w:rPr>
      </w:pPr>
      <w:r w:rsidRPr="00513040">
        <w:rPr>
          <w:rFonts w:asciiTheme="majorBidi" w:hAnsiTheme="majorBidi" w:cstheme="majorBidi"/>
          <w:b/>
          <w:bCs/>
          <w:color w:val="FF0000"/>
        </w:rPr>
        <w:t>Figure Y</w:t>
      </w:r>
      <w:r w:rsidRPr="00513040">
        <w:rPr>
          <w:rFonts w:asciiTheme="majorBidi" w:hAnsiTheme="majorBidi" w:cstheme="majorBidi"/>
        </w:rPr>
        <w:t xml:space="preserve"> (introduced in Section 4.2.1) effectively visualizes the spatial layout of these zones. For example, Sharjah and Dubai’s industrial edges appear to concentrate Type B zones, while transit-accessible cores reflect Type A or Type D clusters.</w:t>
      </w:r>
    </w:p>
    <w:p w14:paraId="6002BBD1" w14:textId="77777777" w:rsidR="00513040" w:rsidRPr="00513040" w:rsidRDefault="00513040" w:rsidP="008C3260">
      <w:pPr>
        <w:spacing w:after="0"/>
        <w:jc w:val="both"/>
        <w:rPr>
          <w:rFonts w:asciiTheme="majorBidi" w:hAnsiTheme="majorBidi" w:cstheme="majorBidi"/>
        </w:rPr>
      </w:pPr>
      <w:r w:rsidRPr="00513040">
        <w:rPr>
          <w:rFonts w:asciiTheme="majorBidi" w:hAnsiTheme="majorBidi" w:cstheme="majorBidi"/>
        </w:rPr>
        <w:t>This typology framework allows for:</w:t>
      </w:r>
    </w:p>
    <w:p w14:paraId="63EC39B5" w14:textId="77777777" w:rsidR="00513040" w:rsidRPr="00513040" w:rsidRDefault="00513040" w:rsidP="008C3260">
      <w:pPr>
        <w:numPr>
          <w:ilvl w:val="0"/>
          <w:numId w:val="26"/>
        </w:numPr>
        <w:spacing w:after="0"/>
        <w:jc w:val="both"/>
        <w:rPr>
          <w:rFonts w:asciiTheme="majorBidi" w:hAnsiTheme="majorBidi" w:cstheme="majorBidi"/>
        </w:rPr>
      </w:pPr>
      <w:r w:rsidRPr="00513040">
        <w:rPr>
          <w:rFonts w:asciiTheme="majorBidi" w:hAnsiTheme="majorBidi" w:cstheme="majorBidi"/>
        </w:rPr>
        <w:t>Targeted air quality monitoring,</w:t>
      </w:r>
    </w:p>
    <w:p w14:paraId="786ECD76" w14:textId="77777777" w:rsidR="00513040" w:rsidRPr="00513040" w:rsidRDefault="00513040" w:rsidP="008C3260">
      <w:pPr>
        <w:numPr>
          <w:ilvl w:val="0"/>
          <w:numId w:val="26"/>
        </w:numPr>
        <w:spacing w:after="0"/>
        <w:jc w:val="both"/>
        <w:rPr>
          <w:rFonts w:asciiTheme="majorBidi" w:hAnsiTheme="majorBidi" w:cstheme="majorBidi"/>
        </w:rPr>
      </w:pPr>
      <w:r w:rsidRPr="00513040">
        <w:rPr>
          <w:rFonts w:asciiTheme="majorBidi" w:hAnsiTheme="majorBidi" w:cstheme="majorBidi"/>
        </w:rPr>
        <w:t>Policy differentiation between mobile and stationary pollution drivers,</w:t>
      </w:r>
    </w:p>
    <w:p w14:paraId="4DCD199C" w14:textId="6237FFA5" w:rsidR="00513040" w:rsidRDefault="00513040" w:rsidP="008C3260">
      <w:pPr>
        <w:numPr>
          <w:ilvl w:val="0"/>
          <w:numId w:val="26"/>
        </w:numPr>
        <w:spacing w:after="0"/>
        <w:jc w:val="both"/>
        <w:rPr>
          <w:rFonts w:asciiTheme="majorBidi" w:hAnsiTheme="majorBidi" w:cstheme="majorBidi"/>
        </w:rPr>
      </w:pPr>
      <w:r w:rsidRPr="00513040">
        <w:rPr>
          <w:rFonts w:asciiTheme="majorBidi" w:hAnsiTheme="majorBidi" w:cstheme="majorBidi"/>
        </w:rPr>
        <w:t xml:space="preserve">Prioritization of mitigation efforts based on both </w:t>
      </w:r>
      <w:r w:rsidRPr="00010520">
        <w:rPr>
          <w:rFonts w:asciiTheme="majorBidi" w:hAnsiTheme="majorBidi" w:cstheme="majorBidi"/>
        </w:rPr>
        <w:t>behavioural</w:t>
      </w:r>
      <w:r w:rsidRPr="00513040">
        <w:rPr>
          <w:rFonts w:asciiTheme="majorBidi" w:hAnsiTheme="majorBidi" w:cstheme="majorBidi"/>
        </w:rPr>
        <w:t xml:space="preserve"> and environmental risk.</w:t>
      </w:r>
    </w:p>
    <w:p w14:paraId="2C330B6F" w14:textId="77777777" w:rsidR="008C3260" w:rsidRPr="00513040" w:rsidRDefault="008C3260" w:rsidP="008C3260">
      <w:pPr>
        <w:spacing w:after="0"/>
        <w:ind w:left="720"/>
        <w:jc w:val="both"/>
        <w:rPr>
          <w:rFonts w:asciiTheme="majorBidi" w:hAnsiTheme="majorBidi" w:cstheme="majorBidi"/>
        </w:rPr>
      </w:pPr>
    </w:p>
    <w:p w14:paraId="1622C9CE" w14:textId="679D1770" w:rsidR="00AF7A2E" w:rsidRDefault="00AF7A2E" w:rsidP="008C3260">
      <w:pPr>
        <w:jc w:val="center"/>
        <w:rPr>
          <w:rFonts w:asciiTheme="majorBidi" w:hAnsiTheme="majorBidi" w:cstheme="majorBidi"/>
        </w:rPr>
      </w:pPr>
      <w:r>
        <w:rPr>
          <w:rFonts w:asciiTheme="majorBidi" w:hAnsiTheme="majorBidi" w:cstheme="majorBidi"/>
          <w:noProof/>
        </w:rPr>
        <w:lastRenderedPageBreak/>
        <w:drawing>
          <wp:inline distT="0" distB="0" distL="0" distR="0" wp14:anchorId="1098FF54" wp14:editId="02EC4601">
            <wp:extent cx="3810000" cy="2641167"/>
            <wp:effectExtent l="0" t="0" r="0" b="6985"/>
            <wp:docPr id="1737731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3134" name="Picture 173773134"/>
                    <pic:cNvPicPr/>
                  </pic:nvPicPr>
                  <pic:blipFill>
                    <a:blip r:embed="rId12">
                      <a:extLst>
                        <a:ext uri="{28A0092B-C50C-407E-A947-70E740481C1C}">
                          <a14:useLocalDpi xmlns:a14="http://schemas.microsoft.com/office/drawing/2010/main" val="0"/>
                        </a:ext>
                      </a:extLst>
                    </a:blip>
                    <a:stretch>
                      <a:fillRect/>
                    </a:stretch>
                  </pic:blipFill>
                  <pic:spPr>
                    <a:xfrm>
                      <a:off x="0" y="0"/>
                      <a:ext cx="3821885" cy="2649406"/>
                    </a:xfrm>
                    <a:prstGeom prst="rect">
                      <a:avLst/>
                    </a:prstGeom>
                  </pic:spPr>
                </pic:pic>
              </a:graphicData>
            </a:graphic>
          </wp:inline>
        </w:drawing>
      </w:r>
    </w:p>
    <w:p w14:paraId="7AF9CAF4" w14:textId="3E87224C" w:rsidR="00AF7A2E" w:rsidRDefault="00AF7A2E" w:rsidP="00AF7A2E">
      <w:pPr>
        <w:jc w:val="both"/>
        <w:rPr>
          <w:rFonts w:asciiTheme="majorBidi" w:hAnsiTheme="majorBidi" w:cstheme="majorBidi"/>
        </w:rPr>
      </w:pPr>
      <w:r w:rsidRPr="00AF7A2E">
        <w:rPr>
          <w:rFonts w:asciiTheme="majorBidi" w:hAnsiTheme="majorBidi" w:cstheme="majorBidi"/>
          <w:b/>
          <w:bCs/>
        </w:rPr>
        <w:t>Figure X.</w:t>
      </w:r>
      <w:r w:rsidRPr="00AF7A2E">
        <w:rPr>
          <w:rFonts w:asciiTheme="majorBidi" w:hAnsiTheme="majorBidi" w:cstheme="majorBidi"/>
        </w:rPr>
        <w:t xml:space="preserve"> Elbow method to identify optimal k for clustering zones based on population-weighted absolute mobility drop. Suggests that 3 clusters yield stable segmentation.</w:t>
      </w:r>
    </w:p>
    <w:p w14:paraId="349596C7" w14:textId="6F9F0ACD" w:rsidR="00AF7A2E" w:rsidRDefault="00AF7A2E" w:rsidP="008C3260">
      <w:pPr>
        <w:jc w:val="center"/>
        <w:rPr>
          <w:rFonts w:asciiTheme="majorBidi" w:hAnsiTheme="majorBidi" w:cstheme="majorBidi"/>
        </w:rPr>
      </w:pPr>
      <w:r>
        <w:rPr>
          <w:rFonts w:asciiTheme="majorBidi" w:hAnsiTheme="majorBidi" w:cstheme="majorBidi"/>
          <w:noProof/>
        </w:rPr>
        <w:drawing>
          <wp:inline distT="0" distB="0" distL="0" distR="0" wp14:anchorId="436E4997" wp14:editId="2F13F995">
            <wp:extent cx="3733893" cy="2903220"/>
            <wp:effectExtent l="0" t="0" r="0" b="0"/>
            <wp:docPr id="12171525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52541" name="Picture 12171525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43184" cy="2910444"/>
                    </a:xfrm>
                    <a:prstGeom prst="rect">
                      <a:avLst/>
                    </a:prstGeom>
                  </pic:spPr>
                </pic:pic>
              </a:graphicData>
            </a:graphic>
          </wp:inline>
        </w:drawing>
      </w:r>
    </w:p>
    <w:p w14:paraId="13AB333D" w14:textId="4BC39AEE" w:rsidR="00AF7A2E" w:rsidRDefault="00AF7A2E" w:rsidP="00AF7A2E">
      <w:pPr>
        <w:jc w:val="both"/>
        <w:rPr>
          <w:rFonts w:asciiTheme="majorBidi" w:hAnsiTheme="majorBidi" w:cstheme="majorBidi"/>
        </w:rPr>
      </w:pPr>
      <w:r w:rsidRPr="00AF7A2E">
        <w:rPr>
          <w:rFonts w:asciiTheme="majorBidi" w:hAnsiTheme="majorBidi" w:cstheme="majorBidi"/>
          <w:b/>
          <w:bCs/>
        </w:rPr>
        <w:t>Figure X.</w:t>
      </w:r>
      <w:r w:rsidRPr="00AF7A2E">
        <w:rPr>
          <w:rFonts w:asciiTheme="majorBidi" w:hAnsiTheme="majorBidi" w:cstheme="majorBidi"/>
        </w:rPr>
        <w:t xml:space="preserve"> Spatial clustering of geohash zones based on population-weighted mobility drop. Zones with the highest drop tend to align with dense metropolitan </w:t>
      </w:r>
      <w:proofErr w:type="spellStart"/>
      <w:r w:rsidRPr="00AF7A2E">
        <w:rPr>
          <w:rFonts w:asciiTheme="majorBidi" w:hAnsiTheme="majorBidi" w:cstheme="majorBidi"/>
        </w:rPr>
        <w:t>centers</w:t>
      </w:r>
      <w:proofErr w:type="spellEnd"/>
      <w:r w:rsidRPr="00AF7A2E">
        <w:rPr>
          <w:rFonts w:asciiTheme="majorBidi" w:hAnsiTheme="majorBidi" w:cstheme="majorBidi"/>
        </w:rPr>
        <w:t>.</w:t>
      </w:r>
    </w:p>
    <w:p w14:paraId="6C5045BB" w14:textId="77777777" w:rsidR="00AF7A2E" w:rsidRDefault="00AF7A2E" w:rsidP="00AF7A2E">
      <w:pPr>
        <w:jc w:val="both"/>
        <w:rPr>
          <w:rFonts w:asciiTheme="majorBidi" w:hAnsiTheme="majorBidi" w:cstheme="majorBidi"/>
        </w:rPr>
      </w:pPr>
    </w:p>
    <w:p w14:paraId="56A3E49B" w14:textId="73C8EFBE" w:rsidR="00AF7A2E" w:rsidRPr="00513040" w:rsidRDefault="00AF7A2E" w:rsidP="008C3260">
      <w:pPr>
        <w:jc w:val="center"/>
        <w:rPr>
          <w:rFonts w:asciiTheme="majorBidi" w:hAnsiTheme="majorBidi" w:cstheme="majorBidi"/>
        </w:rPr>
      </w:pPr>
      <w:r>
        <w:rPr>
          <w:rFonts w:asciiTheme="majorBidi" w:hAnsiTheme="majorBidi" w:cstheme="majorBidi"/>
          <w:noProof/>
        </w:rPr>
        <w:lastRenderedPageBreak/>
        <w:drawing>
          <wp:inline distT="0" distB="0" distL="0" distR="0" wp14:anchorId="7EA23A50" wp14:editId="45AD3BDD">
            <wp:extent cx="3309002" cy="3169920"/>
            <wp:effectExtent l="0" t="0" r="5715" b="0"/>
            <wp:docPr id="6110619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61996" name="Picture 611061996"/>
                    <pic:cNvPicPr/>
                  </pic:nvPicPr>
                  <pic:blipFill>
                    <a:blip r:embed="rId14">
                      <a:extLst>
                        <a:ext uri="{28A0092B-C50C-407E-A947-70E740481C1C}">
                          <a14:useLocalDpi xmlns:a14="http://schemas.microsoft.com/office/drawing/2010/main" val="0"/>
                        </a:ext>
                      </a:extLst>
                    </a:blip>
                    <a:stretch>
                      <a:fillRect/>
                    </a:stretch>
                  </pic:blipFill>
                  <pic:spPr>
                    <a:xfrm>
                      <a:off x="0" y="0"/>
                      <a:ext cx="3316779" cy="3177370"/>
                    </a:xfrm>
                    <a:prstGeom prst="rect">
                      <a:avLst/>
                    </a:prstGeom>
                  </pic:spPr>
                </pic:pic>
              </a:graphicData>
            </a:graphic>
          </wp:inline>
        </w:drawing>
      </w:r>
    </w:p>
    <w:p w14:paraId="58028791" w14:textId="185FBA35" w:rsidR="00376DFA" w:rsidRDefault="00AF7A2E" w:rsidP="00AF7A2E">
      <w:pPr>
        <w:jc w:val="both"/>
        <w:rPr>
          <w:rFonts w:asciiTheme="majorBidi" w:hAnsiTheme="majorBidi" w:cstheme="majorBidi"/>
        </w:rPr>
      </w:pPr>
      <w:r w:rsidRPr="00AF7A2E">
        <w:rPr>
          <w:rFonts w:asciiTheme="majorBidi" w:hAnsiTheme="majorBidi" w:cstheme="majorBidi"/>
          <w:b/>
          <w:bCs/>
        </w:rPr>
        <w:t>Figure X.</w:t>
      </w:r>
      <w:r w:rsidRPr="00AF7A2E">
        <w:rPr>
          <w:rFonts w:asciiTheme="majorBidi" w:hAnsiTheme="majorBidi" w:cstheme="majorBidi"/>
        </w:rPr>
        <w:t xml:space="preserve"> Scatterplot of zones clustered based on average mobility change and composite pollution levels. High–High, Mid–Mid, and Low–Low groups reflect underlying </w:t>
      </w:r>
      <w:proofErr w:type="spellStart"/>
      <w:r w:rsidRPr="00AF7A2E">
        <w:rPr>
          <w:rFonts w:asciiTheme="majorBidi" w:hAnsiTheme="majorBidi" w:cstheme="majorBidi"/>
        </w:rPr>
        <w:t>behavior</w:t>
      </w:r>
      <w:proofErr w:type="spellEnd"/>
      <w:r w:rsidRPr="00AF7A2E">
        <w:rPr>
          <w:rFonts w:asciiTheme="majorBidi" w:hAnsiTheme="majorBidi" w:cstheme="majorBidi"/>
        </w:rPr>
        <w:t>-pollution interactions.</w:t>
      </w:r>
    </w:p>
    <w:p w14:paraId="2D82FED4" w14:textId="77777777" w:rsidR="00AF7A2E" w:rsidRDefault="00AF7A2E" w:rsidP="00AF7A2E">
      <w:pPr>
        <w:jc w:val="both"/>
        <w:rPr>
          <w:rFonts w:asciiTheme="majorBidi" w:hAnsiTheme="majorBidi" w:cstheme="majorBidi"/>
        </w:rPr>
      </w:pPr>
    </w:p>
    <w:p w14:paraId="10F82E0C" w14:textId="77777777" w:rsidR="008C3260" w:rsidRDefault="008C3260" w:rsidP="008C3260">
      <w:pPr>
        <w:jc w:val="center"/>
        <w:rPr>
          <w:rFonts w:asciiTheme="majorBidi" w:hAnsiTheme="majorBidi" w:cstheme="majorBidi"/>
          <w:b/>
          <w:bCs/>
        </w:rPr>
      </w:pPr>
      <w:r>
        <w:rPr>
          <w:rFonts w:asciiTheme="majorBidi" w:hAnsiTheme="majorBidi" w:cstheme="majorBidi"/>
          <w:noProof/>
        </w:rPr>
        <w:drawing>
          <wp:inline distT="0" distB="0" distL="0" distR="0" wp14:anchorId="4C521F74" wp14:editId="41EFFEEF">
            <wp:extent cx="4030980" cy="3134215"/>
            <wp:effectExtent l="0" t="0" r="7620" b="9525"/>
            <wp:docPr id="642881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8104" name="Picture 6428810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41600" cy="3142472"/>
                    </a:xfrm>
                    <a:prstGeom prst="rect">
                      <a:avLst/>
                    </a:prstGeom>
                  </pic:spPr>
                </pic:pic>
              </a:graphicData>
            </a:graphic>
          </wp:inline>
        </w:drawing>
      </w:r>
    </w:p>
    <w:p w14:paraId="30CB4947" w14:textId="07ADB203" w:rsidR="008C3260" w:rsidRDefault="008C3260" w:rsidP="008C3260">
      <w:pPr>
        <w:jc w:val="both"/>
        <w:rPr>
          <w:rFonts w:asciiTheme="majorBidi" w:hAnsiTheme="majorBidi" w:cstheme="majorBidi"/>
        </w:rPr>
      </w:pPr>
      <w:r w:rsidRPr="008C3260">
        <w:rPr>
          <w:rFonts w:asciiTheme="majorBidi" w:hAnsiTheme="majorBidi" w:cstheme="majorBidi"/>
          <w:b/>
          <w:bCs/>
        </w:rPr>
        <w:t>Figure X.</w:t>
      </w:r>
      <w:r w:rsidRPr="008C3260">
        <w:rPr>
          <w:rFonts w:asciiTheme="majorBidi" w:hAnsiTheme="majorBidi" w:cstheme="majorBidi"/>
        </w:rPr>
        <w:t xml:space="preserve"> Map view of UAE zones </w:t>
      </w:r>
      <w:proofErr w:type="spellStart"/>
      <w:r w:rsidRPr="008C3260">
        <w:rPr>
          <w:rFonts w:asciiTheme="majorBidi" w:hAnsiTheme="majorBidi" w:cstheme="majorBidi"/>
        </w:rPr>
        <w:t>colored</w:t>
      </w:r>
      <w:proofErr w:type="spellEnd"/>
      <w:r w:rsidRPr="008C3260">
        <w:rPr>
          <w:rFonts w:asciiTheme="majorBidi" w:hAnsiTheme="majorBidi" w:cstheme="majorBidi"/>
        </w:rPr>
        <w:t xml:space="preserve"> by cluster label derived from joint mobility and pollution analysis. Overlay highlights spatial alignment of High–High risk zones with known industrial corridors.</w:t>
      </w:r>
    </w:p>
    <w:p w14:paraId="734C7B99" w14:textId="77777777" w:rsidR="00AF7A2E" w:rsidRPr="00376DFA" w:rsidRDefault="00AF7A2E" w:rsidP="00AF7A2E">
      <w:pPr>
        <w:jc w:val="both"/>
        <w:rPr>
          <w:rFonts w:asciiTheme="majorBidi" w:hAnsiTheme="majorBidi" w:cstheme="majorBidi"/>
        </w:rPr>
      </w:pPr>
    </w:p>
    <w:p w14:paraId="7417AD00" w14:textId="177E60C1" w:rsidR="00376DFA" w:rsidRPr="00376DFA" w:rsidRDefault="00376DFA" w:rsidP="00010520">
      <w:pPr>
        <w:pStyle w:val="Heading2"/>
        <w:numPr>
          <w:ilvl w:val="1"/>
          <w:numId w:val="15"/>
        </w:numPr>
        <w:jc w:val="both"/>
        <w:rPr>
          <w:rFonts w:asciiTheme="majorBidi" w:hAnsiTheme="majorBidi"/>
          <w:color w:val="auto"/>
        </w:rPr>
      </w:pPr>
      <w:r w:rsidRPr="00376DFA">
        <w:rPr>
          <w:rFonts w:asciiTheme="majorBidi" w:hAnsiTheme="majorBidi"/>
          <w:color w:val="auto"/>
        </w:rPr>
        <w:lastRenderedPageBreak/>
        <w:t xml:space="preserve">Pollution </w:t>
      </w:r>
      <w:r w:rsidR="00010520" w:rsidRPr="00376DFA">
        <w:rPr>
          <w:rFonts w:asciiTheme="majorBidi" w:hAnsiTheme="majorBidi"/>
          <w:color w:val="auto"/>
        </w:rPr>
        <w:t>Modelling</w:t>
      </w:r>
    </w:p>
    <w:p w14:paraId="4B54C559" w14:textId="7C508B86" w:rsidR="00376DFA" w:rsidRPr="00791455" w:rsidRDefault="00376DFA" w:rsidP="00010520">
      <w:pPr>
        <w:pStyle w:val="Heading3"/>
        <w:numPr>
          <w:ilvl w:val="2"/>
          <w:numId w:val="15"/>
        </w:numPr>
        <w:jc w:val="both"/>
        <w:rPr>
          <w:rFonts w:asciiTheme="majorBidi" w:hAnsiTheme="majorBidi"/>
          <w:color w:val="auto"/>
        </w:rPr>
      </w:pPr>
      <w:r w:rsidRPr="00791455">
        <w:rPr>
          <w:rFonts w:asciiTheme="majorBidi" w:hAnsiTheme="majorBidi"/>
          <w:color w:val="auto"/>
        </w:rPr>
        <w:t xml:space="preserve">Predictive </w:t>
      </w:r>
      <w:r w:rsidR="00010520" w:rsidRPr="00791455">
        <w:rPr>
          <w:rFonts w:asciiTheme="majorBidi" w:hAnsiTheme="majorBidi"/>
          <w:color w:val="auto"/>
        </w:rPr>
        <w:t>Modelling</w:t>
      </w:r>
      <w:r w:rsidRPr="00791455">
        <w:rPr>
          <w:rFonts w:asciiTheme="majorBidi" w:hAnsiTheme="majorBidi"/>
          <w:color w:val="auto"/>
        </w:rPr>
        <w:t xml:space="preserve"> of NO₂ Concentrations</w:t>
      </w:r>
    </w:p>
    <w:p w14:paraId="10E7CF9D" w14:textId="2C7B1DC7" w:rsidR="00671FB3" w:rsidRPr="008C3260" w:rsidRDefault="00671FB3" w:rsidP="00010520">
      <w:pPr>
        <w:ind w:firstLine="720"/>
        <w:jc w:val="both"/>
        <w:rPr>
          <w:rFonts w:asciiTheme="majorBidi" w:hAnsiTheme="majorBidi" w:cstheme="majorBidi"/>
          <w:sz w:val="24"/>
          <w:szCs w:val="24"/>
        </w:rPr>
      </w:pPr>
      <w:r w:rsidRPr="008C3260">
        <w:rPr>
          <w:rFonts w:asciiTheme="majorBidi" w:hAnsiTheme="majorBidi" w:cstheme="majorBidi"/>
          <w:sz w:val="24"/>
          <w:szCs w:val="24"/>
        </w:rPr>
        <w:t>To understand how mobility and urban characteristics influence air quality, supervised learning models were developed to predict NO₂ concentrations using multi-source features. The goal was to quantify how well variables such as mobility score, population density, and urban strata (e.g., zone type) can explain pollution variation across space and time.</w:t>
      </w:r>
    </w:p>
    <w:p w14:paraId="2814802B" w14:textId="47A55357" w:rsidR="00671FB3" w:rsidRPr="00671FB3" w:rsidRDefault="00671FB3" w:rsidP="008C3260">
      <w:pPr>
        <w:spacing w:after="0"/>
        <w:jc w:val="both"/>
        <w:rPr>
          <w:rFonts w:asciiTheme="majorBidi" w:hAnsiTheme="majorBidi" w:cstheme="majorBidi"/>
          <w:b/>
          <w:bCs/>
        </w:rPr>
      </w:pPr>
      <w:r w:rsidRPr="00671FB3">
        <w:rPr>
          <w:rFonts w:asciiTheme="majorBidi" w:hAnsiTheme="majorBidi" w:cstheme="majorBidi"/>
          <w:b/>
          <w:bCs/>
        </w:rPr>
        <w:t>Model Types Used:</w:t>
      </w:r>
    </w:p>
    <w:p w14:paraId="3585CC0F" w14:textId="77777777" w:rsidR="00671FB3" w:rsidRPr="00671FB3" w:rsidRDefault="00671FB3" w:rsidP="008C3260">
      <w:pPr>
        <w:numPr>
          <w:ilvl w:val="0"/>
          <w:numId w:val="27"/>
        </w:numPr>
        <w:spacing w:after="0"/>
        <w:jc w:val="both"/>
        <w:rPr>
          <w:rFonts w:asciiTheme="majorBidi" w:hAnsiTheme="majorBidi" w:cstheme="majorBidi"/>
          <w:sz w:val="24"/>
          <w:szCs w:val="24"/>
        </w:rPr>
      </w:pPr>
      <w:r w:rsidRPr="00671FB3">
        <w:rPr>
          <w:rFonts w:asciiTheme="majorBidi" w:hAnsiTheme="majorBidi" w:cstheme="majorBidi"/>
          <w:sz w:val="24"/>
          <w:szCs w:val="24"/>
        </w:rPr>
        <w:t>Linear Regression (baseline model)</w:t>
      </w:r>
    </w:p>
    <w:p w14:paraId="68F23E81" w14:textId="77777777" w:rsidR="00671FB3" w:rsidRPr="008C3260" w:rsidRDefault="00671FB3" w:rsidP="008C3260">
      <w:pPr>
        <w:numPr>
          <w:ilvl w:val="0"/>
          <w:numId w:val="27"/>
        </w:numPr>
        <w:spacing w:after="0"/>
        <w:jc w:val="both"/>
        <w:rPr>
          <w:rFonts w:asciiTheme="majorBidi" w:hAnsiTheme="majorBidi" w:cstheme="majorBidi"/>
          <w:sz w:val="24"/>
          <w:szCs w:val="24"/>
        </w:rPr>
      </w:pPr>
      <w:r w:rsidRPr="00671FB3">
        <w:rPr>
          <w:rFonts w:asciiTheme="majorBidi" w:hAnsiTheme="majorBidi" w:cstheme="majorBidi"/>
          <w:sz w:val="24"/>
          <w:szCs w:val="24"/>
        </w:rPr>
        <w:t>Random Forest Regressor (nonlinear model)</w:t>
      </w:r>
    </w:p>
    <w:p w14:paraId="4299C314" w14:textId="77777777" w:rsidR="008C3260" w:rsidRPr="00671FB3" w:rsidRDefault="008C3260" w:rsidP="008C3260">
      <w:pPr>
        <w:spacing w:after="0"/>
        <w:jc w:val="both"/>
        <w:rPr>
          <w:rFonts w:asciiTheme="majorBidi" w:hAnsiTheme="majorBidi" w:cstheme="majorBidi"/>
          <w:sz w:val="24"/>
          <w:szCs w:val="24"/>
        </w:rPr>
      </w:pPr>
    </w:p>
    <w:p w14:paraId="3054B9A6" w14:textId="77777777" w:rsidR="00671FB3" w:rsidRPr="00671FB3" w:rsidRDefault="00671FB3" w:rsidP="008C3260">
      <w:pPr>
        <w:spacing w:after="0"/>
        <w:jc w:val="both"/>
        <w:rPr>
          <w:rFonts w:asciiTheme="majorBidi" w:hAnsiTheme="majorBidi" w:cstheme="majorBidi"/>
          <w:sz w:val="24"/>
          <w:szCs w:val="24"/>
        </w:rPr>
      </w:pPr>
      <w:r w:rsidRPr="00671FB3">
        <w:rPr>
          <w:rFonts w:asciiTheme="majorBidi" w:hAnsiTheme="majorBidi" w:cstheme="majorBidi"/>
          <w:sz w:val="24"/>
          <w:szCs w:val="24"/>
        </w:rPr>
        <w:t>These models were trained on historical (2020–2022) geohash-level data. Features included:</w:t>
      </w:r>
    </w:p>
    <w:p w14:paraId="3D62E687" w14:textId="77777777" w:rsidR="00671FB3" w:rsidRPr="00671FB3" w:rsidRDefault="00671FB3" w:rsidP="008C3260">
      <w:pPr>
        <w:numPr>
          <w:ilvl w:val="0"/>
          <w:numId w:val="28"/>
        </w:numPr>
        <w:spacing w:after="0"/>
        <w:jc w:val="both"/>
        <w:rPr>
          <w:rFonts w:asciiTheme="majorBidi" w:hAnsiTheme="majorBidi" w:cstheme="majorBidi"/>
          <w:sz w:val="24"/>
          <w:szCs w:val="24"/>
        </w:rPr>
      </w:pPr>
      <w:proofErr w:type="spellStart"/>
      <w:r w:rsidRPr="00671FB3">
        <w:rPr>
          <w:rFonts w:asciiTheme="majorBidi" w:hAnsiTheme="majorBidi" w:cstheme="majorBidi"/>
          <w:sz w:val="24"/>
          <w:szCs w:val="24"/>
        </w:rPr>
        <w:t>mobility_score</w:t>
      </w:r>
      <w:proofErr w:type="spellEnd"/>
      <w:r w:rsidRPr="00671FB3">
        <w:rPr>
          <w:rFonts w:asciiTheme="majorBidi" w:hAnsiTheme="majorBidi" w:cstheme="majorBidi"/>
          <w:sz w:val="24"/>
          <w:szCs w:val="24"/>
        </w:rPr>
        <w:t>: Aggregated from Google mobility trends,</w:t>
      </w:r>
    </w:p>
    <w:p w14:paraId="16329EFD" w14:textId="77777777" w:rsidR="00671FB3" w:rsidRPr="00671FB3" w:rsidRDefault="00671FB3" w:rsidP="008C3260">
      <w:pPr>
        <w:numPr>
          <w:ilvl w:val="0"/>
          <w:numId w:val="28"/>
        </w:numPr>
        <w:spacing w:after="0"/>
        <w:jc w:val="both"/>
        <w:rPr>
          <w:rFonts w:asciiTheme="majorBidi" w:hAnsiTheme="majorBidi" w:cstheme="majorBidi"/>
          <w:sz w:val="24"/>
          <w:szCs w:val="24"/>
        </w:rPr>
      </w:pPr>
      <w:proofErr w:type="spellStart"/>
      <w:r w:rsidRPr="00671FB3">
        <w:rPr>
          <w:rFonts w:asciiTheme="majorBidi" w:hAnsiTheme="majorBidi" w:cstheme="majorBidi"/>
          <w:sz w:val="24"/>
          <w:szCs w:val="24"/>
        </w:rPr>
        <w:t>population_density</w:t>
      </w:r>
      <w:proofErr w:type="spellEnd"/>
      <w:r w:rsidRPr="00671FB3">
        <w:rPr>
          <w:rFonts w:asciiTheme="majorBidi" w:hAnsiTheme="majorBidi" w:cstheme="majorBidi"/>
          <w:sz w:val="24"/>
          <w:szCs w:val="24"/>
        </w:rPr>
        <w:t>: Likely derived from ancillary geospatial data,</w:t>
      </w:r>
    </w:p>
    <w:p w14:paraId="2F0A1080" w14:textId="77777777" w:rsidR="00671FB3" w:rsidRPr="00671FB3" w:rsidRDefault="00671FB3" w:rsidP="008C3260">
      <w:pPr>
        <w:numPr>
          <w:ilvl w:val="0"/>
          <w:numId w:val="28"/>
        </w:numPr>
        <w:spacing w:after="0"/>
        <w:jc w:val="both"/>
        <w:rPr>
          <w:rFonts w:asciiTheme="majorBidi" w:hAnsiTheme="majorBidi" w:cstheme="majorBidi"/>
          <w:sz w:val="24"/>
          <w:szCs w:val="24"/>
        </w:rPr>
      </w:pPr>
      <w:r w:rsidRPr="00671FB3">
        <w:rPr>
          <w:rFonts w:asciiTheme="majorBidi" w:hAnsiTheme="majorBidi" w:cstheme="majorBidi"/>
          <w:sz w:val="24"/>
          <w:szCs w:val="24"/>
        </w:rPr>
        <w:t>stratum/urban classification: Labelled based on known zone types (e.g., industrial, residential).</w:t>
      </w:r>
    </w:p>
    <w:p w14:paraId="21EC8A1E" w14:textId="3810FB8A" w:rsidR="00010520" w:rsidRPr="00671FB3" w:rsidRDefault="00671FB3" w:rsidP="008C3260">
      <w:pPr>
        <w:jc w:val="both"/>
        <w:rPr>
          <w:rFonts w:asciiTheme="majorBidi" w:hAnsiTheme="majorBidi" w:cstheme="majorBidi"/>
          <w:sz w:val="24"/>
          <w:szCs w:val="24"/>
        </w:rPr>
      </w:pPr>
      <w:r w:rsidRPr="00671FB3">
        <w:rPr>
          <w:rFonts w:asciiTheme="majorBidi" w:hAnsiTheme="majorBidi" w:cstheme="majorBidi"/>
          <w:sz w:val="24"/>
          <w:szCs w:val="24"/>
        </w:rPr>
        <w:t>The models were evaluated using the R² (coefficient of determination) score to measure predictive performance.</w:t>
      </w:r>
    </w:p>
    <w:p w14:paraId="0130AF79" w14:textId="4454B9FE" w:rsidR="00671FB3" w:rsidRPr="00671FB3" w:rsidRDefault="00671FB3" w:rsidP="00010520">
      <w:pPr>
        <w:jc w:val="both"/>
        <w:rPr>
          <w:rFonts w:asciiTheme="majorBidi" w:hAnsiTheme="majorBidi" w:cstheme="majorBidi"/>
          <w:b/>
          <w:bCs/>
          <w:sz w:val="24"/>
          <w:szCs w:val="24"/>
        </w:rPr>
      </w:pPr>
      <w:r w:rsidRPr="00671FB3">
        <w:rPr>
          <w:rFonts w:asciiTheme="majorBidi" w:hAnsiTheme="majorBidi" w:cstheme="majorBidi"/>
          <w:b/>
          <w:bCs/>
          <w:sz w:val="24"/>
          <w:szCs w:val="24"/>
        </w:rPr>
        <w:t>Key Findings:</w:t>
      </w:r>
    </w:p>
    <w:p w14:paraId="43C87805" w14:textId="77777777" w:rsidR="00671FB3" w:rsidRPr="00671FB3" w:rsidRDefault="00671FB3" w:rsidP="008C3260">
      <w:pPr>
        <w:numPr>
          <w:ilvl w:val="0"/>
          <w:numId w:val="29"/>
        </w:numPr>
        <w:spacing w:after="0"/>
        <w:jc w:val="both"/>
        <w:rPr>
          <w:rFonts w:asciiTheme="majorBidi" w:hAnsiTheme="majorBidi" w:cstheme="majorBidi"/>
          <w:sz w:val="24"/>
          <w:szCs w:val="24"/>
        </w:rPr>
      </w:pPr>
      <w:r w:rsidRPr="00671FB3">
        <w:rPr>
          <w:rFonts w:asciiTheme="majorBidi" w:hAnsiTheme="majorBidi" w:cstheme="majorBidi"/>
          <w:sz w:val="24"/>
          <w:szCs w:val="24"/>
        </w:rPr>
        <w:t>The Linear Regression model captured basic trends but underperformed in zones with nonlinear or mixed pollution patterns.</w:t>
      </w:r>
    </w:p>
    <w:p w14:paraId="7CB12118" w14:textId="77777777" w:rsidR="00671FB3" w:rsidRPr="008C3260" w:rsidRDefault="00671FB3" w:rsidP="008C3260">
      <w:pPr>
        <w:numPr>
          <w:ilvl w:val="0"/>
          <w:numId w:val="29"/>
        </w:numPr>
        <w:spacing w:after="0"/>
        <w:jc w:val="both"/>
        <w:rPr>
          <w:rFonts w:asciiTheme="majorBidi" w:hAnsiTheme="majorBidi" w:cstheme="majorBidi"/>
          <w:sz w:val="24"/>
          <w:szCs w:val="24"/>
        </w:rPr>
      </w:pPr>
      <w:r w:rsidRPr="00671FB3">
        <w:rPr>
          <w:rFonts w:asciiTheme="majorBidi" w:hAnsiTheme="majorBidi" w:cstheme="majorBidi"/>
          <w:sz w:val="24"/>
          <w:szCs w:val="24"/>
        </w:rPr>
        <w:t>The Random Forest model consistently outperformed, achieving R² scores above 0.7, indicating strong predictive accuracy and the ability to capture complex, nonlinear relationships.</w:t>
      </w:r>
    </w:p>
    <w:p w14:paraId="3F5B9932" w14:textId="77777777" w:rsidR="008C3260" w:rsidRPr="00671FB3" w:rsidRDefault="008C3260" w:rsidP="008C3260">
      <w:pPr>
        <w:spacing w:after="0"/>
        <w:ind w:left="720"/>
        <w:jc w:val="both"/>
        <w:rPr>
          <w:rFonts w:asciiTheme="majorBidi" w:hAnsiTheme="majorBidi" w:cstheme="majorBidi"/>
          <w:sz w:val="24"/>
          <w:szCs w:val="24"/>
        </w:rPr>
      </w:pPr>
    </w:p>
    <w:p w14:paraId="324F93C0" w14:textId="77777777" w:rsidR="00671FB3" w:rsidRPr="00671FB3" w:rsidRDefault="00671FB3" w:rsidP="008C3260">
      <w:pPr>
        <w:ind w:firstLine="360"/>
        <w:jc w:val="both"/>
        <w:rPr>
          <w:rFonts w:asciiTheme="majorBidi" w:hAnsiTheme="majorBidi" w:cstheme="majorBidi"/>
          <w:sz w:val="24"/>
          <w:szCs w:val="24"/>
        </w:rPr>
      </w:pPr>
      <w:r w:rsidRPr="00671FB3">
        <w:rPr>
          <w:rFonts w:asciiTheme="majorBidi" w:hAnsiTheme="majorBidi" w:cstheme="majorBidi"/>
          <w:sz w:val="24"/>
          <w:szCs w:val="24"/>
        </w:rPr>
        <w:t xml:space="preserve">This difference highlights the importance of accounting for interaction effects and nonlinearity in urban pollution </w:t>
      </w:r>
      <w:proofErr w:type="spellStart"/>
      <w:r w:rsidRPr="00671FB3">
        <w:rPr>
          <w:rFonts w:asciiTheme="majorBidi" w:hAnsiTheme="majorBidi" w:cstheme="majorBidi"/>
          <w:sz w:val="24"/>
          <w:szCs w:val="24"/>
        </w:rPr>
        <w:t>modeling</w:t>
      </w:r>
      <w:proofErr w:type="spellEnd"/>
      <w:r w:rsidRPr="00671FB3">
        <w:rPr>
          <w:rFonts w:asciiTheme="majorBidi" w:hAnsiTheme="majorBidi" w:cstheme="majorBidi"/>
          <w:sz w:val="24"/>
          <w:szCs w:val="24"/>
        </w:rPr>
        <w:t>—especially when mixing mobile and stationary pollution sources.</w:t>
      </w:r>
    </w:p>
    <w:p w14:paraId="0E23B3FD" w14:textId="372AEB18" w:rsidR="00376DFA" w:rsidRPr="008C3260" w:rsidRDefault="00671FB3" w:rsidP="00010520">
      <w:pPr>
        <w:jc w:val="both"/>
        <w:rPr>
          <w:rFonts w:asciiTheme="majorBidi" w:hAnsiTheme="majorBidi" w:cstheme="majorBidi"/>
          <w:sz w:val="24"/>
          <w:szCs w:val="24"/>
        </w:rPr>
      </w:pPr>
      <w:r w:rsidRPr="008C3260">
        <w:rPr>
          <w:rFonts w:asciiTheme="majorBidi" w:hAnsiTheme="majorBidi" w:cstheme="majorBidi"/>
          <w:sz w:val="24"/>
          <w:szCs w:val="24"/>
        </w:rPr>
        <w:t xml:space="preserve">We also generated time-series forecasts using a linear trend model for both </w:t>
      </w:r>
      <w:r w:rsidRPr="008C3260">
        <w:rPr>
          <w:rFonts w:asciiTheme="majorBidi" w:hAnsiTheme="majorBidi" w:cstheme="majorBidi"/>
          <w:b/>
          <w:bCs/>
          <w:sz w:val="24"/>
          <w:szCs w:val="24"/>
        </w:rPr>
        <w:t>mobility</w:t>
      </w:r>
      <w:r w:rsidRPr="008C3260">
        <w:rPr>
          <w:rFonts w:asciiTheme="majorBidi" w:hAnsiTheme="majorBidi" w:cstheme="majorBidi"/>
          <w:sz w:val="24"/>
          <w:szCs w:val="24"/>
        </w:rPr>
        <w:t xml:space="preserve"> and </w:t>
      </w:r>
      <w:r w:rsidRPr="008C3260">
        <w:rPr>
          <w:rFonts w:asciiTheme="majorBidi" w:hAnsiTheme="majorBidi" w:cstheme="majorBidi"/>
          <w:b/>
          <w:bCs/>
          <w:sz w:val="24"/>
          <w:szCs w:val="24"/>
        </w:rPr>
        <w:t>NO₂</w:t>
      </w:r>
      <w:r w:rsidRPr="008C3260">
        <w:rPr>
          <w:rFonts w:asciiTheme="majorBidi" w:hAnsiTheme="majorBidi" w:cstheme="majorBidi"/>
          <w:sz w:val="24"/>
          <w:szCs w:val="24"/>
        </w:rPr>
        <w:t xml:space="preserve"> from 2020 to 2025. As shown in </w:t>
      </w:r>
      <w:r w:rsidRPr="008C3260">
        <w:rPr>
          <w:rFonts w:asciiTheme="majorBidi" w:hAnsiTheme="majorBidi" w:cstheme="majorBidi"/>
          <w:color w:val="FF0000"/>
          <w:sz w:val="24"/>
          <w:szCs w:val="24"/>
        </w:rPr>
        <w:t>Fig. Z</w:t>
      </w:r>
      <w:r w:rsidRPr="008C3260">
        <w:rPr>
          <w:rFonts w:asciiTheme="majorBidi" w:hAnsiTheme="majorBidi" w:cstheme="majorBidi"/>
          <w:sz w:val="24"/>
          <w:szCs w:val="24"/>
        </w:rPr>
        <w:t>, linear-trend forecast of average UAE mobility and NO₂ levels from 2020 to 2025. Solid lines indicate observed values (2020–2022), while dashed lines represent predictions (2023–2025). The model forecasts a steady post-pandemic increase in mobility, with NO₂ levels remaining flat under the linear assumption.</w:t>
      </w:r>
    </w:p>
    <w:p w14:paraId="22EC3DB5" w14:textId="129859D4" w:rsidR="00671FB3" w:rsidRDefault="00671FB3" w:rsidP="00010520">
      <w:pPr>
        <w:jc w:val="both"/>
        <w:rPr>
          <w:rFonts w:asciiTheme="majorBidi" w:hAnsiTheme="majorBidi" w:cstheme="majorBidi"/>
        </w:rPr>
      </w:pPr>
      <w:r>
        <w:rPr>
          <w:rFonts w:asciiTheme="majorBidi" w:hAnsiTheme="majorBidi" w:cstheme="majorBidi"/>
          <w:noProof/>
        </w:rPr>
        <w:lastRenderedPageBreak/>
        <w:drawing>
          <wp:inline distT="0" distB="0" distL="0" distR="0" wp14:anchorId="79BAD49B" wp14:editId="27AA06B0">
            <wp:extent cx="5273040" cy="3270383"/>
            <wp:effectExtent l="0" t="0" r="3810" b="6350"/>
            <wp:docPr id="484766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6037" name="Picture 484766037"/>
                    <pic:cNvPicPr/>
                  </pic:nvPicPr>
                  <pic:blipFill>
                    <a:blip r:embed="rId16">
                      <a:extLst>
                        <a:ext uri="{28A0092B-C50C-407E-A947-70E740481C1C}">
                          <a14:useLocalDpi xmlns:a14="http://schemas.microsoft.com/office/drawing/2010/main" val="0"/>
                        </a:ext>
                      </a:extLst>
                    </a:blip>
                    <a:stretch>
                      <a:fillRect/>
                    </a:stretch>
                  </pic:blipFill>
                  <pic:spPr>
                    <a:xfrm>
                      <a:off x="0" y="0"/>
                      <a:ext cx="5288664" cy="3280073"/>
                    </a:xfrm>
                    <a:prstGeom prst="rect">
                      <a:avLst/>
                    </a:prstGeom>
                  </pic:spPr>
                </pic:pic>
              </a:graphicData>
            </a:graphic>
          </wp:inline>
        </w:drawing>
      </w:r>
    </w:p>
    <w:p w14:paraId="3B2780CD" w14:textId="40620852" w:rsidR="00671FB3" w:rsidRPr="008C3260" w:rsidRDefault="00671FB3" w:rsidP="00010520">
      <w:pPr>
        <w:jc w:val="both"/>
        <w:rPr>
          <w:rFonts w:asciiTheme="majorBidi" w:hAnsiTheme="majorBidi" w:cstheme="majorBidi"/>
          <w:sz w:val="24"/>
          <w:szCs w:val="24"/>
        </w:rPr>
      </w:pPr>
      <w:r w:rsidRPr="008C3260">
        <w:rPr>
          <w:rFonts w:asciiTheme="majorBidi" w:hAnsiTheme="majorBidi" w:cstheme="majorBidi"/>
          <w:b/>
          <w:bCs/>
          <w:color w:val="FF0000"/>
          <w:sz w:val="24"/>
          <w:szCs w:val="24"/>
        </w:rPr>
        <w:t>Figure Z</w:t>
      </w:r>
      <w:r w:rsidRPr="008C3260">
        <w:rPr>
          <w:rFonts w:asciiTheme="majorBidi" w:hAnsiTheme="majorBidi" w:cstheme="majorBidi"/>
          <w:b/>
          <w:bCs/>
          <w:sz w:val="24"/>
          <w:szCs w:val="24"/>
        </w:rPr>
        <w:t>:</w:t>
      </w:r>
      <w:r w:rsidRPr="008C3260">
        <w:rPr>
          <w:rFonts w:asciiTheme="majorBidi" w:hAnsiTheme="majorBidi" w:cstheme="majorBidi"/>
          <w:sz w:val="24"/>
          <w:szCs w:val="24"/>
        </w:rPr>
        <w:t xml:space="preserve"> Linear-trend forecast of average UAE mobility and NO₂ levels from 2020 to 2025. Predicted values suggest a steady rise in mobility post-2022, with NO₂ increasing in tandem if unregulated.</w:t>
      </w:r>
    </w:p>
    <w:p w14:paraId="70B9372B" w14:textId="77777777" w:rsidR="00466B57" w:rsidRPr="00376DFA" w:rsidRDefault="00466B57" w:rsidP="00010520">
      <w:pPr>
        <w:jc w:val="both"/>
        <w:rPr>
          <w:rFonts w:asciiTheme="majorBidi" w:hAnsiTheme="majorBidi" w:cstheme="majorBidi"/>
        </w:rPr>
      </w:pPr>
    </w:p>
    <w:p w14:paraId="0ABC9D6C" w14:textId="06128C28" w:rsidR="00376DFA" w:rsidRPr="00376DFA" w:rsidRDefault="00376DFA" w:rsidP="00010520">
      <w:pPr>
        <w:pStyle w:val="Heading3"/>
        <w:numPr>
          <w:ilvl w:val="2"/>
          <w:numId w:val="15"/>
        </w:numPr>
        <w:jc w:val="both"/>
        <w:rPr>
          <w:rFonts w:asciiTheme="majorBidi" w:hAnsiTheme="majorBidi"/>
          <w:color w:val="auto"/>
        </w:rPr>
      </w:pPr>
      <w:r w:rsidRPr="00376DFA">
        <w:rPr>
          <w:rFonts w:asciiTheme="majorBidi" w:hAnsiTheme="majorBidi"/>
          <w:color w:val="auto"/>
        </w:rPr>
        <w:t>Feature Importance and Interpretability</w:t>
      </w:r>
      <w:r w:rsidR="005A1D0E">
        <w:rPr>
          <w:rFonts w:asciiTheme="majorBidi" w:hAnsiTheme="majorBidi"/>
          <w:color w:val="auto"/>
        </w:rPr>
        <w:t>:</w:t>
      </w:r>
    </w:p>
    <w:p w14:paraId="4A888FC5" w14:textId="77777777" w:rsidR="005A1D0E" w:rsidRPr="005A1D0E" w:rsidRDefault="005A1D0E" w:rsidP="00010520">
      <w:pPr>
        <w:ind w:firstLine="720"/>
        <w:jc w:val="both"/>
        <w:rPr>
          <w:rFonts w:asciiTheme="majorBidi" w:hAnsiTheme="majorBidi" w:cstheme="majorBidi"/>
          <w:sz w:val="24"/>
          <w:szCs w:val="24"/>
        </w:rPr>
      </w:pPr>
      <w:r w:rsidRPr="005A1D0E">
        <w:rPr>
          <w:rFonts w:asciiTheme="majorBidi" w:hAnsiTheme="majorBidi" w:cstheme="majorBidi"/>
          <w:sz w:val="24"/>
          <w:szCs w:val="24"/>
        </w:rPr>
        <w:t>To interpret the results of the predictive model for NO₂ concentrations, a feature importance analysis was conducted using the trained Gradient Boosting Regressor (GBR). This helped identify which input features had the strongest influence on pollution levels across zones.</w:t>
      </w:r>
    </w:p>
    <w:p w14:paraId="74005CF8" w14:textId="77777777" w:rsidR="005A1D0E" w:rsidRPr="005A1D0E" w:rsidRDefault="005A1D0E" w:rsidP="00010520">
      <w:pPr>
        <w:jc w:val="both"/>
        <w:rPr>
          <w:rFonts w:asciiTheme="majorBidi" w:hAnsiTheme="majorBidi" w:cstheme="majorBidi"/>
          <w:sz w:val="24"/>
          <w:szCs w:val="24"/>
        </w:rPr>
      </w:pPr>
      <w:r w:rsidRPr="005A1D0E">
        <w:rPr>
          <w:rFonts w:asciiTheme="majorBidi" w:hAnsiTheme="majorBidi" w:cstheme="majorBidi"/>
          <w:sz w:val="24"/>
          <w:szCs w:val="24"/>
        </w:rPr>
        <w:t>The initial model considered five features, including:</w:t>
      </w:r>
    </w:p>
    <w:p w14:paraId="4CFB7F38" w14:textId="77777777" w:rsidR="005A1D0E" w:rsidRPr="005A1D0E" w:rsidRDefault="005A1D0E" w:rsidP="00010520">
      <w:pPr>
        <w:numPr>
          <w:ilvl w:val="0"/>
          <w:numId w:val="32"/>
        </w:numPr>
        <w:jc w:val="both"/>
        <w:rPr>
          <w:rFonts w:asciiTheme="majorBidi" w:hAnsiTheme="majorBidi" w:cstheme="majorBidi"/>
          <w:sz w:val="24"/>
          <w:szCs w:val="24"/>
        </w:rPr>
      </w:pPr>
      <w:proofErr w:type="spellStart"/>
      <w:r w:rsidRPr="005A1D0E">
        <w:rPr>
          <w:rFonts w:asciiTheme="majorBidi" w:hAnsiTheme="majorBidi" w:cstheme="majorBidi"/>
          <w:sz w:val="24"/>
          <w:szCs w:val="24"/>
        </w:rPr>
        <w:t>mobility_score</w:t>
      </w:r>
      <w:proofErr w:type="spellEnd"/>
      <w:r w:rsidRPr="005A1D0E">
        <w:rPr>
          <w:rFonts w:asciiTheme="majorBidi" w:hAnsiTheme="majorBidi" w:cstheme="majorBidi"/>
          <w:sz w:val="24"/>
          <w:szCs w:val="24"/>
        </w:rPr>
        <w:t>,</w:t>
      </w:r>
    </w:p>
    <w:p w14:paraId="674C5B30" w14:textId="77777777" w:rsidR="005A1D0E" w:rsidRPr="005A1D0E" w:rsidRDefault="005A1D0E" w:rsidP="00010520">
      <w:pPr>
        <w:numPr>
          <w:ilvl w:val="0"/>
          <w:numId w:val="32"/>
        </w:numPr>
        <w:jc w:val="both"/>
        <w:rPr>
          <w:rFonts w:asciiTheme="majorBidi" w:hAnsiTheme="majorBidi" w:cstheme="majorBidi"/>
          <w:sz w:val="24"/>
          <w:szCs w:val="24"/>
        </w:rPr>
      </w:pPr>
      <w:proofErr w:type="spellStart"/>
      <w:r w:rsidRPr="005A1D0E">
        <w:rPr>
          <w:rFonts w:asciiTheme="majorBidi" w:hAnsiTheme="majorBidi" w:cstheme="majorBidi"/>
          <w:sz w:val="24"/>
          <w:szCs w:val="24"/>
        </w:rPr>
        <w:t>pop_density</w:t>
      </w:r>
      <w:proofErr w:type="spellEnd"/>
      <w:r w:rsidRPr="005A1D0E">
        <w:rPr>
          <w:rFonts w:asciiTheme="majorBidi" w:hAnsiTheme="majorBidi" w:cstheme="majorBidi"/>
          <w:sz w:val="24"/>
          <w:szCs w:val="24"/>
        </w:rPr>
        <w:t>,</w:t>
      </w:r>
    </w:p>
    <w:p w14:paraId="77532417" w14:textId="77777777" w:rsidR="005A1D0E" w:rsidRPr="005A1D0E" w:rsidRDefault="005A1D0E" w:rsidP="00010520">
      <w:pPr>
        <w:numPr>
          <w:ilvl w:val="0"/>
          <w:numId w:val="32"/>
        </w:numPr>
        <w:jc w:val="both"/>
        <w:rPr>
          <w:rFonts w:asciiTheme="majorBidi" w:hAnsiTheme="majorBidi" w:cstheme="majorBidi"/>
          <w:sz w:val="24"/>
          <w:szCs w:val="24"/>
        </w:rPr>
      </w:pPr>
      <w:r w:rsidRPr="005A1D0E">
        <w:rPr>
          <w:rFonts w:asciiTheme="majorBidi" w:hAnsiTheme="majorBidi" w:cstheme="majorBidi"/>
          <w:sz w:val="24"/>
          <w:szCs w:val="24"/>
        </w:rPr>
        <w:t>and their squared and interaction terms.</w:t>
      </w:r>
    </w:p>
    <w:p w14:paraId="4B9C7686" w14:textId="700F3B08" w:rsidR="005A1D0E" w:rsidRPr="008C3260" w:rsidRDefault="005A1D0E" w:rsidP="00010520">
      <w:pPr>
        <w:jc w:val="both"/>
        <w:rPr>
          <w:rFonts w:asciiTheme="majorBidi" w:hAnsiTheme="majorBidi" w:cstheme="majorBidi"/>
          <w:sz w:val="24"/>
          <w:szCs w:val="24"/>
        </w:rPr>
      </w:pPr>
      <w:r w:rsidRPr="005A1D0E">
        <w:rPr>
          <w:rFonts w:asciiTheme="majorBidi" w:hAnsiTheme="majorBidi" w:cstheme="majorBidi"/>
          <w:sz w:val="24"/>
          <w:szCs w:val="24"/>
        </w:rPr>
        <w:t xml:space="preserve">As shown in </w:t>
      </w:r>
      <w:r w:rsidRPr="005A1D0E">
        <w:rPr>
          <w:rFonts w:asciiTheme="majorBidi" w:hAnsiTheme="majorBidi" w:cstheme="majorBidi"/>
          <w:b/>
          <w:bCs/>
          <w:color w:val="FF0000"/>
          <w:sz w:val="24"/>
          <w:szCs w:val="24"/>
        </w:rPr>
        <w:t xml:space="preserve">Figure </w:t>
      </w:r>
      <w:r w:rsidRPr="008C3260">
        <w:rPr>
          <w:rFonts w:asciiTheme="majorBidi" w:hAnsiTheme="majorBidi" w:cstheme="majorBidi"/>
          <w:b/>
          <w:bCs/>
          <w:color w:val="FF0000"/>
          <w:sz w:val="24"/>
          <w:szCs w:val="24"/>
        </w:rPr>
        <w:t>P</w:t>
      </w:r>
      <w:r w:rsidRPr="005A1D0E">
        <w:rPr>
          <w:rFonts w:asciiTheme="majorBidi" w:hAnsiTheme="majorBidi" w:cstheme="majorBidi"/>
          <w:sz w:val="24"/>
          <w:szCs w:val="24"/>
        </w:rPr>
        <w:t xml:space="preserve">, </w:t>
      </w:r>
      <w:r w:rsidRPr="005A1D0E">
        <w:rPr>
          <w:rFonts w:asciiTheme="majorBidi" w:hAnsiTheme="majorBidi" w:cstheme="majorBidi"/>
          <w:b/>
          <w:bCs/>
          <w:sz w:val="24"/>
          <w:szCs w:val="24"/>
        </w:rPr>
        <w:t>population density</w:t>
      </w:r>
      <w:r w:rsidRPr="005A1D0E">
        <w:rPr>
          <w:rFonts w:asciiTheme="majorBidi" w:hAnsiTheme="majorBidi" w:cstheme="majorBidi"/>
          <w:sz w:val="24"/>
          <w:szCs w:val="24"/>
        </w:rPr>
        <w:t xml:space="preserve"> alone contributed over 80% of the predictive power, highlighting its critical role in determining NO₂ concentrations. This suggests that high-density zones, especially those with limited green space or ventilation, may retain pollutants more effectively, regardless of human movement patterns.</w:t>
      </w:r>
    </w:p>
    <w:p w14:paraId="63B4340E" w14:textId="4A1CC939" w:rsidR="005A1D0E" w:rsidRPr="005A1D0E" w:rsidRDefault="005A1D0E" w:rsidP="00010520">
      <w:pPr>
        <w:jc w:val="center"/>
        <w:rPr>
          <w:rFonts w:asciiTheme="majorBidi" w:hAnsiTheme="majorBidi" w:cstheme="majorBidi"/>
        </w:rPr>
      </w:pPr>
      <w:r>
        <w:rPr>
          <w:rFonts w:asciiTheme="majorBidi" w:hAnsiTheme="majorBidi" w:cstheme="majorBidi"/>
          <w:noProof/>
        </w:rPr>
        <w:lastRenderedPageBreak/>
        <w:drawing>
          <wp:inline distT="0" distB="0" distL="0" distR="0" wp14:anchorId="4D605BFC" wp14:editId="3E0CF5C1">
            <wp:extent cx="4619609" cy="2865120"/>
            <wp:effectExtent l="0" t="0" r="0" b="0"/>
            <wp:docPr id="14926847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84703" name="Picture 1492684703"/>
                    <pic:cNvPicPr/>
                  </pic:nvPicPr>
                  <pic:blipFill>
                    <a:blip r:embed="rId17">
                      <a:extLst>
                        <a:ext uri="{28A0092B-C50C-407E-A947-70E740481C1C}">
                          <a14:useLocalDpi xmlns:a14="http://schemas.microsoft.com/office/drawing/2010/main" val="0"/>
                        </a:ext>
                      </a:extLst>
                    </a:blip>
                    <a:stretch>
                      <a:fillRect/>
                    </a:stretch>
                  </pic:blipFill>
                  <pic:spPr>
                    <a:xfrm>
                      <a:off x="0" y="0"/>
                      <a:ext cx="4622669" cy="2867018"/>
                    </a:xfrm>
                    <a:prstGeom prst="rect">
                      <a:avLst/>
                    </a:prstGeom>
                  </pic:spPr>
                </pic:pic>
              </a:graphicData>
            </a:graphic>
          </wp:inline>
        </w:drawing>
      </w:r>
    </w:p>
    <w:p w14:paraId="4C7BC95F" w14:textId="7796F5B5" w:rsidR="005A1D0E" w:rsidRPr="005A1D0E" w:rsidRDefault="005A1D0E" w:rsidP="00010520">
      <w:pPr>
        <w:jc w:val="both"/>
        <w:rPr>
          <w:rFonts w:asciiTheme="majorBidi" w:hAnsiTheme="majorBidi" w:cstheme="majorBidi"/>
        </w:rPr>
      </w:pPr>
      <w:r w:rsidRPr="005A1D0E">
        <w:rPr>
          <w:rFonts w:asciiTheme="majorBidi" w:hAnsiTheme="majorBidi" w:cstheme="majorBidi"/>
          <w:b/>
          <w:bCs/>
          <w:color w:val="FF0000"/>
        </w:rPr>
        <w:t>Figure P</w:t>
      </w:r>
      <w:r>
        <w:rPr>
          <w:rFonts w:asciiTheme="majorBidi" w:hAnsiTheme="majorBidi" w:cstheme="majorBidi"/>
          <w:b/>
          <w:bCs/>
        </w:rPr>
        <w:t>:</w:t>
      </w:r>
      <w:r w:rsidRPr="005A1D0E">
        <w:rPr>
          <w:rFonts w:asciiTheme="majorBidi" w:hAnsiTheme="majorBidi" w:cstheme="majorBidi"/>
        </w:rPr>
        <w:t xml:space="preserve"> Feature importance from the initial Gradient Boosting model. </w:t>
      </w:r>
      <w:proofErr w:type="spellStart"/>
      <w:r w:rsidRPr="005A1D0E">
        <w:rPr>
          <w:rFonts w:asciiTheme="majorBidi" w:hAnsiTheme="majorBidi" w:cstheme="majorBidi"/>
        </w:rPr>
        <w:t>pop_density</w:t>
      </w:r>
      <w:proofErr w:type="spellEnd"/>
      <w:r w:rsidRPr="005A1D0E">
        <w:rPr>
          <w:rFonts w:asciiTheme="majorBidi" w:hAnsiTheme="majorBidi" w:cstheme="majorBidi"/>
        </w:rPr>
        <w:t xml:space="preserve"> was the dominant predictor of NO₂, while other variables contributed marginally.</w:t>
      </w:r>
    </w:p>
    <w:p w14:paraId="43E9216C" w14:textId="77777777" w:rsidR="005A1D0E" w:rsidRPr="005A1D0E" w:rsidRDefault="005A1D0E" w:rsidP="00010520">
      <w:pPr>
        <w:jc w:val="both"/>
        <w:rPr>
          <w:rFonts w:asciiTheme="majorBidi" w:hAnsiTheme="majorBidi" w:cstheme="majorBidi"/>
        </w:rPr>
      </w:pPr>
      <w:r w:rsidRPr="005A1D0E">
        <w:rPr>
          <w:rFonts w:asciiTheme="majorBidi" w:hAnsiTheme="majorBidi" w:cstheme="majorBidi"/>
        </w:rPr>
        <w:t>To improve generalization and interpretability, a refined model included:</w:t>
      </w:r>
    </w:p>
    <w:p w14:paraId="61B3F2E4" w14:textId="77777777" w:rsidR="005A1D0E" w:rsidRPr="005A1D0E" w:rsidRDefault="005A1D0E" w:rsidP="008C3260">
      <w:pPr>
        <w:numPr>
          <w:ilvl w:val="0"/>
          <w:numId w:val="33"/>
        </w:numPr>
        <w:spacing w:after="0"/>
        <w:jc w:val="both"/>
        <w:rPr>
          <w:rFonts w:asciiTheme="majorBidi" w:hAnsiTheme="majorBidi" w:cstheme="majorBidi"/>
        </w:rPr>
      </w:pPr>
      <w:proofErr w:type="spellStart"/>
      <w:r w:rsidRPr="005A1D0E">
        <w:rPr>
          <w:rFonts w:asciiTheme="majorBidi" w:hAnsiTheme="majorBidi" w:cstheme="majorBidi"/>
        </w:rPr>
        <w:t>pop_density_log</w:t>
      </w:r>
      <w:proofErr w:type="spellEnd"/>
      <w:r w:rsidRPr="005A1D0E">
        <w:rPr>
          <w:rFonts w:asciiTheme="majorBidi" w:hAnsiTheme="majorBidi" w:cstheme="majorBidi"/>
        </w:rPr>
        <w:t xml:space="preserve"> (to normalize skew),</w:t>
      </w:r>
    </w:p>
    <w:p w14:paraId="4F79F9AE" w14:textId="77777777" w:rsidR="005A1D0E" w:rsidRPr="005A1D0E" w:rsidRDefault="005A1D0E" w:rsidP="008C3260">
      <w:pPr>
        <w:numPr>
          <w:ilvl w:val="0"/>
          <w:numId w:val="33"/>
        </w:numPr>
        <w:spacing w:after="0"/>
        <w:jc w:val="both"/>
        <w:rPr>
          <w:rFonts w:asciiTheme="majorBidi" w:hAnsiTheme="majorBidi" w:cstheme="majorBidi"/>
        </w:rPr>
      </w:pPr>
      <w:proofErr w:type="spellStart"/>
      <w:r w:rsidRPr="005A1D0E">
        <w:rPr>
          <w:rFonts w:asciiTheme="majorBidi" w:hAnsiTheme="majorBidi" w:cstheme="majorBidi"/>
        </w:rPr>
        <w:t>mobility_abs</w:t>
      </w:r>
      <w:proofErr w:type="spellEnd"/>
      <w:r w:rsidRPr="005A1D0E">
        <w:rPr>
          <w:rFonts w:asciiTheme="majorBidi" w:hAnsiTheme="majorBidi" w:cstheme="majorBidi"/>
        </w:rPr>
        <w:t xml:space="preserve"> (to reduce direction bias),</w:t>
      </w:r>
    </w:p>
    <w:p w14:paraId="156C74C9" w14:textId="77777777" w:rsidR="005A1D0E" w:rsidRDefault="005A1D0E" w:rsidP="008C3260">
      <w:pPr>
        <w:numPr>
          <w:ilvl w:val="0"/>
          <w:numId w:val="33"/>
        </w:numPr>
        <w:spacing w:after="0"/>
        <w:jc w:val="both"/>
        <w:rPr>
          <w:rFonts w:asciiTheme="majorBidi" w:hAnsiTheme="majorBidi" w:cstheme="majorBidi"/>
        </w:rPr>
      </w:pPr>
      <w:r w:rsidRPr="005A1D0E">
        <w:rPr>
          <w:rFonts w:asciiTheme="majorBidi" w:hAnsiTheme="majorBidi" w:cstheme="majorBidi"/>
        </w:rPr>
        <w:t xml:space="preserve">and </w:t>
      </w:r>
      <w:proofErr w:type="spellStart"/>
      <w:r w:rsidRPr="005A1D0E">
        <w:rPr>
          <w:rFonts w:asciiTheme="majorBidi" w:hAnsiTheme="majorBidi" w:cstheme="majorBidi"/>
        </w:rPr>
        <w:t>mobility_density_ratio</w:t>
      </w:r>
      <w:proofErr w:type="spellEnd"/>
      <w:r w:rsidRPr="005A1D0E">
        <w:rPr>
          <w:rFonts w:asciiTheme="majorBidi" w:hAnsiTheme="majorBidi" w:cstheme="majorBidi"/>
        </w:rPr>
        <w:t xml:space="preserve"> (to capture per-capita activity).</w:t>
      </w:r>
    </w:p>
    <w:p w14:paraId="4139452D" w14:textId="77777777" w:rsidR="008C3260" w:rsidRPr="005A1D0E" w:rsidRDefault="008C3260" w:rsidP="008C3260">
      <w:pPr>
        <w:spacing w:after="0"/>
        <w:ind w:left="720"/>
        <w:jc w:val="both"/>
        <w:rPr>
          <w:rFonts w:asciiTheme="majorBidi" w:hAnsiTheme="majorBidi" w:cstheme="majorBidi"/>
        </w:rPr>
      </w:pPr>
    </w:p>
    <w:p w14:paraId="7CC8FE0F" w14:textId="0394FF4B" w:rsidR="005A1D0E" w:rsidRPr="005A1D0E" w:rsidRDefault="005A1D0E" w:rsidP="00010520">
      <w:pPr>
        <w:ind w:firstLine="360"/>
        <w:jc w:val="both"/>
        <w:rPr>
          <w:rFonts w:asciiTheme="majorBidi" w:hAnsiTheme="majorBidi" w:cstheme="majorBidi"/>
        </w:rPr>
      </w:pPr>
      <w:r w:rsidRPr="005A1D0E">
        <w:rPr>
          <w:rFonts w:asciiTheme="majorBidi" w:hAnsiTheme="majorBidi" w:cstheme="majorBidi"/>
        </w:rPr>
        <w:t xml:space="preserve">As shown in </w:t>
      </w:r>
      <w:r w:rsidRPr="005A1D0E">
        <w:rPr>
          <w:rFonts w:asciiTheme="majorBidi" w:hAnsiTheme="majorBidi" w:cstheme="majorBidi"/>
          <w:color w:val="FF0000"/>
        </w:rPr>
        <w:t>Figure O</w:t>
      </w:r>
      <w:r w:rsidRPr="005A1D0E">
        <w:rPr>
          <w:rFonts w:asciiTheme="majorBidi" w:hAnsiTheme="majorBidi" w:cstheme="majorBidi"/>
        </w:rPr>
        <w:t xml:space="preserve">, the improved model distributed feature importance more evenly. </w:t>
      </w:r>
      <w:proofErr w:type="spellStart"/>
      <w:r w:rsidRPr="005A1D0E">
        <w:rPr>
          <w:rFonts w:asciiTheme="majorBidi" w:hAnsiTheme="majorBidi" w:cstheme="majorBidi"/>
        </w:rPr>
        <w:t>pop_density_log</w:t>
      </w:r>
      <w:proofErr w:type="spellEnd"/>
      <w:r w:rsidRPr="005A1D0E">
        <w:rPr>
          <w:rFonts w:asciiTheme="majorBidi" w:hAnsiTheme="majorBidi" w:cstheme="majorBidi"/>
        </w:rPr>
        <w:t xml:space="preserve"> and </w:t>
      </w:r>
      <w:proofErr w:type="spellStart"/>
      <w:r w:rsidRPr="005A1D0E">
        <w:rPr>
          <w:rFonts w:asciiTheme="majorBidi" w:hAnsiTheme="majorBidi" w:cstheme="majorBidi"/>
        </w:rPr>
        <w:t>pop_density</w:t>
      </w:r>
      <w:proofErr w:type="spellEnd"/>
      <w:r w:rsidRPr="005A1D0E">
        <w:rPr>
          <w:rFonts w:asciiTheme="majorBidi" w:hAnsiTheme="majorBidi" w:cstheme="majorBidi"/>
        </w:rPr>
        <w:t xml:space="preserve"> remained highly predictive, but engineered variables like </w:t>
      </w:r>
      <w:proofErr w:type="spellStart"/>
      <w:r w:rsidRPr="005A1D0E">
        <w:rPr>
          <w:rFonts w:asciiTheme="majorBidi" w:hAnsiTheme="majorBidi" w:cstheme="majorBidi"/>
        </w:rPr>
        <w:t>mobility_density_ratio</w:t>
      </w:r>
      <w:proofErr w:type="spellEnd"/>
      <w:r w:rsidRPr="005A1D0E">
        <w:rPr>
          <w:rFonts w:asciiTheme="majorBidi" w:hAnsiTheme="majorBidi" w:cstheme="majorBidi"/>
        </w:rPr>
        <w:t xml:space="preserve"> also gained significance, indicating that combined features capture deeper spatial and </w:t>
      </w:r>
      <w:proofErr w:type="spellStart"/>
      <w:r w:rsidRPr="005A1D0E">
        <w:rPr>
          <w:rFonts w:asciiTheme="majorBidi" w:hAnsiTheme="majorBidi" w:cstheme="majorBidi"/>
        </w:rPr>
        <w:t>behavioral</w:t>
      </w:r>
      <w:proofErr w:type="spellEnd"/>
      <w:r w:rsidRPr="005A1D0E">
        <w:rPr>
          <w:rFonts w:asciiTheme="majorBidi" w:hAnsiTheme="majorBidi" w:cstheme="majorBidi"/>
        </w:rPr>
        <w:t xml:space="preserve"> dynamics.</w:t>
      </w:r>
    </w:p>
    <w:p w14:paraId="2BD16284" w14:textId="68DC8A38" w:rsidR="005A1D0E" w:rsidRPr="005A1D0E" w:rsidRDefault="005A1D0E" w:rsidP="00010520">
      <w:pPr>
        <w:jc w:val="center"/>
        <w:rPr>
          <w:rFonts w:asciiTheme="majorBidi" w:hAnsiTheme="majorBidi" w:cstheme="majorBidi"/>
        </w:rPr>
      </w:pPr>
      <w:r>
        <w:rPr>
          <w:rFonts w:asciiTheme="majorBidi" w:hAnsiTheme="majorBidi" w:cstheme="majorBidi"/>
          <w:noProof/>
        </w:rPr>
        <w:drawing>
          <wp:inline distT="0" distB="0" distL="0" distR="0" wp14:anchorId="6FAF6666" wp14:editId="7800FB95">
            <wp:extent cx="5731510" cy="3554730"/>
            <wp:effectExtent l="0" t="0" r="2540" b="7620"/>
            <wp:docPr id="302835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3501" name="Picture 30283501"/>
                    <pic:cNvPicPr/>
                  </pic:nvPicPr>
                  <pic:blipFill>
                    <a:blip r:embed="rId18">
                      <a:extLst>
                        <a:ext uri="{28A0092B-C50C-407E-A947-70E740481C1C}">
                          <a14:useLocalDpi xmlns:a14="http://schemas.microsoft.com/office/drawing/2010/main" val="0"/>
                        </a:ext>
                      </a:extLst>
                    </a:blip>
                    <a:stretch>
                      <a:fillRect/>
                    </a:stretch>
                  </pic:blipFill>
                  <pic:spPr>
                    <a:xfrm>
                      <a:off x="0" y="0"/>
                      <a:ext cx="5731510" cy="3554730"/>
                    </a:xfrm>
                    <a:prstGeom prst="rect">
                      <a:avLst/>
                    </a:prstGeom>
                  </pic:spPr>
                </pic:pic>
              </a:graphicData>
            </a:graphic>
          </wp:inline>
        </w:drawing>
      </w:r>
    </w:p>
    <w:p w14:paraId="45C78ABF" w14:textId="1D195F78" w:rsidR="005A1D0E" w:rsidRDefault="005A1D0E" w:rsidP="00010520">
      <w:pPr>
        <w:jc w:val="both"/>
        <w:rPr>
          <w:rFonts w:asciiTheme="majorBidi" w:hAnsiTheme="majorBidi" w:cstheme="majorBidi"/>
        </w:rPr>
      </w:pPr>
      <w:r w:rsidRPr="005A1D0E">
        <w:rPr>
          <w:rFonts w:asciiTheme="majorBidi" w:hAnsiTheme="majorBidi" w:cstheme="majorBidi"/>
          <w:b/>
          <w:bCs/>
          <w:color w:val="FF0000"/>
        </w:rPr>
        <w:lastRenderedPageBreak/>
        <w:t>Figure O</w:t>
      </w:r>
      <w:r>
        <w:rPr>
          <w:rFonts w:asciiTheme="majorBidi" w:hAnsiTheme="majorBidi" w:cstheme="majorBidi"/>
          <w:b/>
          <w:bCs/>
        </w:rPr>
        <w:t>:</w:t>
      </w:r>
      <w:r w:rsidRPr="005A1D0E">
        <w:rPr>
          <w:rFonts w:asciiTheme="majorBidi" w:hAnsiTheme="majorBidi" w:cstheme="majorBidi"/>
        </w:rPr>
        <w:t xml:space="preserve"> Feature importance from the improved Gradient Boosting model. Log-transformed density and per-capita mobility enhanced interpretability and balance across features.</w:t>
      </w:r>
    </w:p>
    <w:p w14:paraId="23B9572C" w14:textId="77777777" w:rsidR="005A1D0E" w:rsidRPr="005A1D0E" w:rsidRDefault="005A1D0E" w:rsidP="00010520">
      <w:pPr>
        <w:jc w:val="both"/>
        <w:rPr>
          <w:rFonts w:asciiTheme="majorBidi" w:hAnsiTheme="majorBidi" w:cstheme="majorBidi"/>
        </w:rPr>
      </w:pPr>
    </w:p>
    <w:p w14:paraId="1322A0A0" w14:textId="77777777" w:rsidR="005A1D0E" w:rsidRPr="005A1D0E" w:rsidRDefault="005A1D0E" w:rsidP="00010520">
      <w:pPr>
        <w:ind w:firstLine="360"/>
        <w:jc w:val="both"/>
        <w:rPr>
          <w:rFonts w:asciiTheme="majorBidi" w:hAnsiTheme="majorBidi" w:cstheme="majorBidi"/>
        </w:rPr>
      </w:pPr>
      <w:r w:rsidRPr="005A1D0E">
        <w:rPr>
          <w:rFonts w:asciiTheme="majorBidi" w:hAnsiTheme="majorBidi" w:cstheme="majorBidi"/>
        </w:rPr>
        <w:t xml:space="preserve">Despite the model's strong </w:t>
      </w:r>
      <w:r w:rsidRPr="005A1D0E">
        <w:rPr>
          <w:rFonts w:asciiTheme="majorBidi" w:hAnsiTheme="majorBidi" w:cstheme="majorBidi"/>
          <w:b/>
          <w:bCs/>
        </w:rPr>
        <w:t>test R² score of 0.686</w:t>
      </w:r>
      <w:r w:rsidRPr="005A1D0E">
        <w:rPr>
          <w:rFonts w:asciiTheme="majorBidi" w:hAnsiTheme="majorBidi" w:cstheme="majorBidi"/>
        </w:rPr>
        <w:t xml:space="preserve"> and very low </w:t>
      </w:r>
      <w:r w:rsidRPr="005A1D0E">
        <w:rPr>
          <w:rFonts w:asciiTheme="majorBidi" w:hAnsiTheme="majorBidi" w:cstheme="majorBidi"/>
          <w:b/>
          <w:bCs/>
        </w:rPr>
        <w:t>mean absolute error (MAE ≈ 2.5×10⁻⁵)</w:t>
      </w:r>
      <w:r w:rsidRPr="005A1D0E">
        <w:rPr>
          <w:rFonts w:asciiTheme="majorBidi" w:hAnsiTheme="majorBidi" w:cstheme="majorBidi"/>
        </w:rPr>
        <w:t xml:space="preserve">, the </w:t>
      </w:r>
      <w:r w:rsidRPr="005A1D0E">
        <w:rPr>
          <w:rFonts w:asciiTheme="majorBidi" w:hAnsiTheme="majorBidi" w:cstheme="majorBidi"/>
          <w:b/>
          <w:bCs/>
        </w:rPr>
        <w:t>5-fold cross-validation R² was negative (–0.459)</w:t>
      </w:r>
      <w:r w:rsidRPr="005A1D0E">
        <w:rPr>
          <w:rFonts w:asciiTheme="majorBidi" w:hAnsiTheme="majorBidi" w:cstheme="majorBidi"/>
        </w:rPr>
        <w:t>. This discrepancy is likely due to:</w:t>
      </w:r>
    </w:p>
    <w:p w14:paraId="3278C86F" w14:textId="77777777" w:rsidR="005A1D0E" w:rsidRPr="005A1D0E" w:rsidRDefault="005A1D0E" w:rsidP="00010520">
      <w:pPr>
        <w:numPr>
          <w:ilvl w:val="0"/>
          <w:numId w:val="34"/>
        </w:numPr>
        <w:jc w:val="both"/>
        <w:rPr>
          <w:rFonts w:asciiTheme="majorBidi" w:hAnsiTheme="majorBidi" w:cstheme="majorBidi"/>
        </w:rPr>
      </w:pPr>
      <w:r w:rsidRPr="005A1D0E">
        <w:rPr>
          <w:rFonts w:asciiTheme="majorBidi" w:hAnsiTheme="majorBidi" w:cstheme="majorBidi"/>
        </w:rPr>
        <w:t xml:space="preserve">The </w:t>
      </w:r>
      <w:r w:rsidRPr="005A1D0E">
        <w:rPr>
          <w:rFonts w:asciiTheme="majorBidi" w:hAnsiTheme="majorBidi" w:cstheme="majorBidi"/>
          <w:b/>
          <w:bCs/>
        </w:rPr>
        <w:t>small dataset size</w:t>
      </w:r>
      <w:r w:rsidRPr="005A1D0E">
        <w:rPr>
          <w:rFonts w:asciiTheme="majorBidi" w:hAnsiTheme="majorBidi" w:cstheme="majorBidi"/>
        </w:rPr>
        <w:t>,</w:t>
      </w:r>
    </w:p>
    <w:p w14:paraId="5EAE078A" w14:textId="77777777" w:rsidR="005A1D0E" w:rsidRPr="005A1D0E" w:rsidRDefault="005A1D0E" w:rsidP="00010520">
      <w:pPr>
        <w:numPr>
          <w:ilvl w:val="0"/>
          <w:numId w:val="34"/>
        </w:numPr>
        <w:jc w:val="both"/>
        <w:rPr>
          <w:rFonts w:asciiTheme="majorBidi" w:hAnsiTheme="majorBidi" w:cstheme="majorBidi"/>
        </w:rPr>
      </w:pPr>
      <w:r w:rsidRPr="005A1D0E">
        <w:rPr>
          <w:rFonts w:asciiTheme="majorBidi" w:hAnsiTheme="majorBidi" w:cstheme="majorBidi"/>
        </w:rPr>
        <w:t>Extremely low target pollution values (close to machine precision),</w:t>
      </w:r>
    </w:p>
    <w:p w14:paraId="55642255" w14:textId="77777777" w:rsidR="005A1D0E" w:rsidRPr="005A1D0E" w:rsidRDefault="005A1D0E" w:rsidP="00010520">
      <w:pPr>
        <w:numPr>
          <w:ilvl w:val="0"/>
          <w:numId w:val="34"/>
        </w:numPr>
        <w:jc w:val="both"/>
        <w:rPr>
          <w:rFonts w:asciiTheme="majorBidi" w:hAnsiTheme="majorBidi" w:cstheme="majorBidi"/>
        </w:rPr>
      </w:pPr>
      <w:r w:rsidRPr="005A1D0E">
        <w:rPr>
          <w:rFonts w:asciiTheme="majorBidi" w:hAnsiTheme="majorBidi" w:cstheme="majorBidi"/>
        </w:rPr>
        <w:t>And high variance between geohash zones.</w:t>
      </w:r>
    </w:p>
    <w:p w14:paraId="7D85F19D" w14:textId="77777777" w:rsidR="005A1D0E" w:rsidRPr="005A1D0E" w:rsidRDefault="005A1D0E" w:rsidP="00010520">
      <w:pPr>
        <w:jc w:val="both"/>
        <w:rPr>
          <w:rFonts w:asciiTheme="majorBidi" w:hAnsiTheme="majorBidi" w:cstheme="majorBidi"/>
        </w:rPr>
      </w:pPr>
      <w:r w:rsidRPr="005A1D0E">
        <w:rPr>
          <w:rFonts w:asciiTheme="majorBidi" w:hAnsiTheme="majorBidi" w:cstheme="majorBidi"/>
        </w:rPr>
        <w:t>These results confirm that while the model performs well on seen data, it may not generalize robustly without a larger or more diverse training set.</w:t>
      </w:r>
    </w:p>
    <w:p w14:paraId="34B4F169" w14:textId="77777777" w:rsidR="00671FB3" w:rsidRPr="00376DFA" w:rsidRDefault="00671FB3" w:rsidP="00010520">
      <w:pPr>
        <w:jc w:val="both"/>
        <w:rPr>
          <w:rFonts w:asciiTheme="majorBidi" w:hAnsiTheme="majorBidi" w:cstheme="majorBidi"/>
        </w:rPr>
      </w:pPr>
    </w:p>
    <w:p w14:paraId="31EBC5D5" w14:textId="755D2958" w:rsidR="00376DFA" w:rsidRPr="00376DFA" w:rsidRDefault="00376DFA" w:rsidP="00010520">
      <w:pPr>
        <w:pStyle w:val="Heading3"/>
        <w:numPr>
          <w:ilvl w:val="2"/>
          <w:numId w:val="15"/>
        </w:numPr>
        <w:jc w:val="both"/>
        <w:rPr>
          <w:rFonts w:asciiTheme="majorBidi" w:hAnsiTheme="majorBidi"/>
          <w:color w:val="auto"/>
        </w:rPr>
      </w:pPr>
      <w:r w:rsidRPr="00376DFA">
        <w:rPr>
          <w:rFonts w:asciiTheme="majorBidi" w:hAnsiTheme="majorBidi"/>
          <w:color w:val="auto"/>
        </w:rPr>
        <w:t>Implications for Urban Air Quality Management</w:t>
      </w:r>
      <w:r w:rsidR="005A1D0E">
        <w:rPr>
          <w:rFonts w:asciiTheme="majorBidi" w:hAnsiTheme="majorBidi"/>
          <w:color w:val="auto"/>
        </w:rPr>
        <w:t>:</w:t>
      </w:r>
    </w:p>
    <w:p w14:paraId="71F1383C" w14:textId="77777777" w:rsidR="00061770" w:rsidRPr="00061770" w:rsidRDefault="00061770" w:rsidP="00010520">
      <w:pPr>
        <w:jc w:val="both"/>
        <w:rPr>
          <w:rFonts w:asciiTheme="majorBidi" w:hAnsiTheme="majorBidi" w:cstheme="majorBidi"/>
        </w:rPr>
      </w:pPr>
      <w:r>
        <w:rPr>
          <w:rFonts w:asciiTheme="majorBidi" w:hAnsiTheme="majorBidi" w:cstheme="majorBidi"/>
        </w:rPr>
        <w:t xml:space="preserve"> </w:t>
      </w:r>
      <w:r w:rsidRPr="00061770">
        <w:rPr>
          <w:rFonts w:asciiTheme="majorBidi" w:hAnsiTheme="majorBidi" w:cstheme="majorBidi"/>
        </w:rPr>
        <w:t xml:space="preserve">The </w:t>
      </w:r>
      <w:proofErr w:type="spellStart"/>
      <w:r w:rsidRPr="00061770">
        <w:rPr>
          <w:rFonts w:asciiTheme="majorBidi" w:hAnsiTheme="majorBidi" w:cstheme="majorBidi"/>
        </w:rPr>
        <w:t>modeling</w:t>
      </w:r>
      <w:proofErr w:type="spellEnd"/>
      <w:r w:rsidRPr="00061770">
        <w:rPr>
          <w:rFonts w:asciiTheme="majorBidi" w:hAnsiTheme="majorBidi" w:cstheme="majorBidi"/>
        </w:rPr>
        <w:t xml:space="preserve"> insights from Sections 4.3.1 and 4.3.2 offer actionable implications for environmental governance. Most notably, the feature importance analysis (Figure X from 4.3.2) confirmed that </w:t>
      </w:r>
      <w:r w:rsidRPr="00061770">
        <w:rPr>
          <w:rFonts w:asciiTheme="majorBidi" w:hAnsiTheme="majorBidi" w:cstheme="majorBidi"/>
          <w:b/>
          <w:bCs/>
        </w:rPr>
        <w:t>population density is a dominant predictor</w:t>
      </w:r>
      <w:r w:rsidRPr="00061770">
        <w:rPr>
          <w:rFonts w:asciiTheme="majorBidi" w:hAnsiTheme="majorBidi" w:cstheme="majorBidi"/>
        </w:rPr>
        <w:t xml:space="preserve"> of NO₂ concentrations, reinforcing the role of </w:t>
      </w:r>
      <w:r w:rsidRPr="00061770">
        <w:rPr>
          <w:rFonts w:asciiTheme="majorBidi" w:hAnsiTheme="majorBidi" w:cstheme="majorBidi"/>
          <w:b/>
          <w:bCs/>
        </w:rPr>
        <w:t>urban structure and land use</w:t>
      </w:r>
      <w:r w:rsidRPr="00061770">
        <w:rPr>
          <w:rFonts w:asciiTheme="majorBidi" w:hAnsiTheme="majorBidi" w:cstheme="majorBidi"/>
        </w:rPr>
        <w:t xml:space="preserve"> in shaping pollution outcomes.</w:t>
      </w:r>
    </w:p>
    <w:p w14:paraId="4E074F7B" w14:textId="39FEB2D1" w:rsidR="00061770" w:rsidRDefault="00061770" w:rsidP="00010520">
      <w:pPr>
        <w:jc w:val="both"/>
        <w:rPr>
          <w:rFonts w:asciiTheme="majorBidi" w:hAnsiTheme="majorBidi" w:cstheme="majorBidi"/>
        </w:rPr>
      </w:pPr>
      <w:r w:rsidRPr="00061770">
        <w:rPr>
          <w:rFonts w:asciiTheme="majorBidi" w:hAnsiTheme="majorBidi" w:cstheme="majorBidi"/>
        </w:rPr>
        <w:t xml:space="preserve">To further explore the relationship between </w:t>
      </w:r>
      <w:r w:rsidRPr="00061770">
        <w:rPr>
          <w:rFonts w:asciiTheme="majorBidi" w:hAnsiTheme="majorBidi" w:cstheme="majorBidi"/>
          <w:b/>
          <w:bCs/>
        </w:rPr>
        <w:t>mobility and pollution over time</w:t>
      </w:r>
      <w:r w:rsidRPr="00061770">
        <w:rPr>
          <w:rFonts w:asciiTheme="majorBidi" w:hAnsiTheme="majorBidi" w:cstheme="majorBidi"/>
        </w:rPr>
        <w:t xml:space="preserve">, a joint analysis of workplace activity and NO₂ concentrations from </w:t>
      </w:r>
      <w:r w:rsidRPr="00061770">
        <w:rPr>
          <w:rFonts w:asciiTheme="majorBidi" w:hAnsiTheme="majorBidi" w:cstheme="majorBidi"/>
          <w:b/>
          <w:bCs/>
        </w:rPr>
        <w:t>2020 to 2022</w:t>
      </w:r>
      <w:r w:rsidRPr="00061770">
        <w:rPr>
          <w:rFonts w:asciiTheme="majorBidi" w:hAnsiTheme="majorBidi" w:cstheme="majorBidi"/>
        </w:rPr>
        <w:t xml:space="preserve"> was conducted. As shown in </w:t>
      </w:r>
      <w:r w:rsidRPr="00061770">
        <w:rPr>
          <w:rFonts w:asciiTheme="majorBidi" w:hAnsiTheme="majorBidi" w:cstheme="majorBidi"/>
          <w:b/>
          <w:bCs/>
        </w:rPr>
        <w:t xml:space="preserve">Figure </w:t>
      </w:r>
      <w:r>
        <w:rPr>
          <w:rFonts w:asciiTheme="majorBidi" w:hAnsiTheme="majorBidi" w:cstheme="majorBidi"/>
          <w:b/>
          <w:bCs/>
        </w:rPr>
        <w:t>E</w:t>
      </w:r>
      <w:r w:rsidRPr="00061770">
        <w:rPr>
          <w:rFonts w:asciiTheme="majorBidi" w:hAnsiTheme="majorBidi" w:cstheme="majorBidi"/>
        </w:rPr>
        <w:t xml:space="preserve">, seasonal trends indicate that </w:t>
      </w:r>
      <w:r w:rsidRPr="00061770">
        <w:rPr>
          <w:rFonts w:asciiTheme="majorBidi" w:hAnsiTheme="majorBidi" w:cstheme="majorBidi"/>
          <w:b/>
          <w:bCs/>
        </w:rPr>
        <w:t>sharp reductions in mobility—especially during early 2020—were often accompanied by dips in NO₂</w:t>
      </w:r>
      <w:r w:rsidRPr="00061770">
        <w:rPr>
          <w:rFonts w:asciiTheme="majorBidi" w:hAnsiTheme="majorBidi" w:cstheme="majorBidi"/>
        </w:rPr>
        <w:t xml:space="preserve">, highlighting the sensitivity of urban air quality to </w:t>
      </w:r>
      <w:proofErr w:type="spellStart"/>
      <w:r w:rsidRPr="00061770">
        <w:rPr>
          <w:rFonts w:asciiTheme="majorBidi" w:hAnsiTheme="majorBidi" w:cstheme="majorBidi"/>
        </w:rPr>
        <w:t>behavioral</w:t>
      </w:r>
      <w:proofErr w:type="spellEnd"/>
      <w:r w:rsidRPr="00061770">
        <w:rPr>
          <w:rFonts w:asciiTheme="majorBidi" w:hAnsiTheme="majorBidi" w:cstheme="majorBidi"/>
        </w:rPr>
        <w:t xml:space="preserve"> and policy-driven shifts in activity.</w:t>
      </w:r>
    </w:p>
    <w:p w14:paraId="438545F6" w14:textId="3E727B7B" w:rsidR="00061770" w:rsidRPr="00061770" w:rsidRDefault="00061770" w:rsidP="00010520">
      <w:pPr>
        <w:jc w:val="both"/>
        <w:rPr>
          <w:rFonts w:asciiTheme="majorBidi" w:hAnsiTheme="majorBidi" w:cstheme="majorBidi"/>
        </w:rPr>
      </w:pPr>
      <w:r>
        <w:rPr>
          <w:rFonts w:asciiTheme="majorBidi" w:hAnsiTheme="majorBidi" w:cstheme="majorBidi"/>
          <w:noProof/>
        </w:rPr>
        <w:drawing>
          <wp:inline distT="0" distB="0" distL="0" distR="0" wp14:anchorId="48F7EDA2" wp14:editId="502D4063">
            <wp:extent cx="5731510" cy="2839720"/>
            <wp:effectExtent l="0" t="0" r="2540" b="0"/>
            <wp:docPr id="1331973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7376" name="Picture 133197376"/>
                    <pic:cNvPicPr/>
                  </pic:nvPicPr>
                  <pic:blipFill>
                    <a:blip r:embed="rId19">
                      <a:extLst>
                        <a:ext uri="{28A0092B-C50C-407E-A947-70E740481C1C}">
                          <a14:useLocalDpi xmlns:a14="http://schemas.microsoft.com/office/drawing/2010/main" val="0"/>
                        </a:ext>
                      </a:extLst>
                    </a:blip>
                    <a:stretch>
                      <a:fillRect/>
                    </a:stretch>
                  </pic:blipFill>
                  <pic:spPr>
                    <a:xfrm>
                      <a:off x="0" y="0"/>
                      <a:ext cx="5731510" cy="2839720"/>
                    </a:xfrm>
                    <a:prstGeom prst="rect">
                      <a:avLst/>
                    </a:prstGeom>
                  </pic:spPr>
                </pic:pic>
              </a:graphicData>
            </a:graphic>
          </wp:inline>
        </w:drawing>
      </w:r>
    </w:p>
    <w:p w14:paraId="0980FAED" w14:textId="2CDE202C" w:rsidR="00061770" w:rsidRDefault="00061770" w:rsidP="00010520">
      <w:pPr>
        <w:jc w:val="both"/>
        <w:rPr>
          <w:rFonts w:asciiTheme="majorBidi" w:hAnsiTheme="majorBidi" w:cstheme="majorBidi"/>
        </w:rPr>
      </w:pPr>
      <w:r w:rsidRPr="00061770">
        <w:rPr>
          <w:rFonts w:asciiTheme="majorBidi" w:hAnsiTheme="majorBidi" w:cstheme="majorBidi"/>
          <w:b/>
          <w:bCs/>
        </w:rPr>
        <w:t xml:space="preserve">Figure </w:t>
      </w:r>
      <w:r>
        <w:rPr>
          <w:rFonts w:asciiTheme="majorBidi" w:hAnsiTheme="majorBidi" w:cstheme="majorBidi"/>
          <w:b/>
          <w:bCs/>
        </w:rPr>
        <w:t>E:</w:t>
      </w:r>
      <w:r w:rsidRPr="00061770">
        <w:rPr>
          <w:rFonts w:asciiTheme="majorBidi" w:hAnsiTheme="majorBidi" w:cstheme="majorBidi"/>
        </w:rPr>
        <w:t xml:space="preserve"> Monthly averages of UAE workplace mobility vs. ground-level NO₂ concentration (2020–2022). While mobility dropped significantly during early COVID-19 periods, NO₂ levels followed similar seasonal dips, supporting traffic-pollution linkages.</w:t>
      </w:r>
    </w:p>
    <w:p w14:paraId="17E127FB" w14:textId="77777777" w:rsidR="00010520" w:rsidRDefault="00010520" w:rsidP="00010520">
      <w:pPr>
        <w:jc w:val="both"/>
        <w:rPr>
          <w:rFonts w:asciiTheme="majorBidi" w:hAnsiTheme="majorBidi" w:cstheme="majorBidi"/>
        </w:rPr>
      </w:pPr>
    </w:p>
    <w:p w14:paraId="34271663" w14:textId="33672AC9" w:rsidR="00061770" w:rsidRDefault="00061770" w:rsidP="00010520">
      <w:pPr>
        <w:jc w:val="both"/>
        <w:rPr>
          <w:rFonts w:asciiTheme="majorBidi" w:hAnsiTheme="majorBidi" w:cstheme="majorBidi"/>
        </w:rPr>
      </w:pPr>
      <w:r w:rsidRPr="00061770">
        <w:rPr>
          <w:rFonts w:asciiTheme="majorBidi" w:hAnsiTheme="majorBidi" w:cstheme="majorBidi"/>
        </w:rPr>
        <w:lastRenderedPageBreak/>
        <w:t xml:space="preserve">Looking forward, as shown in Figure F, Ericsson's urban mobility forecast through 2025 projects a continued rise in mobile device activity, indicative of broader growth in urban movement and energy use. In contrast, the spatial raster analysis for 2023–2025 suggests that pollution intensity may remain stagnant or increase in specific high-density corridors unless mitigated. </w:t>
      </w:r>
    </w:p>
    <w:p w14:paraId="06F3F32A" w14:textId="77777777" w:rsidR="00010520" w:rsidRPr="00061770" w:rsidRDefault="00010520" w:rsidP="00010520">
      <w:pPr>
        <w:jc w:val="both"/>
        <w:rPr>
          <w:rFonts w:asciiTheme="majorBidi" w:hAnsiTheme="majorBidi" w:cstheme="majorBidi"/>
        </w:rPr>
      </w:pPr>
    </w:p>
    <w:p w14:paraId="2F11FFF2" w14:textId="4288E241" w:rsidR="00061770" w:rsidRPr="00061770" w:rsidRDefault="00061770" w:rsidP="00010520">
      <w:pPr>
        <w:jc w:val="both"/>
        <w:rPr>
          <w:rFonts w:asciiTheme="majorBidi" w:hAnsiTheme="majorBidi" w:cstheme="majorBidi"/>
        </w:rPr>
      </w:pPr>
      <w:r>
        <w:rPr>
          <w:rFonts w:asciiTheme="majorBidi" w:hAnsiTheme="majorBidi" w:cstheme="majorBidi"/>
          <w:noProof/>
        </w:rPr>
        <w:drawing>
          <wp:inline distT="0" distB="0" distL="0" distR="0" wp14:anchorId="185CBC3F" wp14:editId="525FFF89">
            <wp:extent cx="5731510" cy="2051685"/>
            <wp:effectExtent l="0" t="0" r="2540" b="5715"/>
            <wp:docPr id="16469517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51779" name="Picture 1646951779"/>
                    <pic:cNvPicPr/>
                  </pic:nvPicPr>
                  <pic:blipFill>
                    <a:blip r:embed="rId20">
                      <a:extLst>
                        <a:ext uri="{28A0092B-C50C-407E-A947-70E740481C1C}">
                          <a14:useLocalDpi xmlns:a14="http://schemas.microsoft.com/office/drawing/2010/main" val="0"/>
                        </a:ext>
                      </a:extLst>
                    </a:blip>
                    <a:stretch>
                      <a:fillRect/>
                    </a:stretch>
                  </pic:blipFill>
                  <pic:spPr>
                    <a:xfrm>
                      <a:off x="0" y="0"/>
                      <a:ext cx="5731510" cy="2051685"/>
                    </a:xfrm>
                    <a:prstGeom prst="rect">
                      <a:avLst/>
                    </a:prstGeom>
                  </pic:spPr>
                </pic:pic>
              </a:graphicData>
            </a:graphic>
          </wp:inline>
        </w:drawing>
      </w:r>
    </w:p>
    <w:p w14:paraId="5A92A7F5" w14:textId="76DF2C6B" w:rsidR="00061770" w:rsidRDefault="00061770" w:rsidP="00010520">
      <w:pPr>
        <w:jc w:val="both"/>
        <w:rPr>
          <w:rFonts w:asciiTheme="majorBidi" w:hAnsiTheme="majorBidi" w:cstheme="majorBidi"/>
        </w:rPr>
      </w:pPr>
      <w:r w:rsidRPr="00061770">
        <w:rPr>
          <w:rFonts w:asciiTheme="majorBidi" w:hAnsiTheme="majorBidi" w:cstheme="majorBidi"/>
          <w:b/>
          <w:bCs/>
        </w:rPr>
        <w:t xml:space="preserve">Figure </w:t>
      </w:r>
      <w:r>
        <w:rPr>
          <w:rFonts w:asciiTheme="majorBidi" w:hAnsiTheme="majorBidi" w:cstheme="majorBidi"/>
          <w:b/>
          <w:bCs/>
        </w:rPr>
        <w:t>F:</w:t>
      </w:r>
      <w:r w:rsidRPr="00061770">
        <w:rPr>
          <w:rFonts w:asciiTheme="majorBidi" w:hAnsiTheme="majorBidi" w:cstheme="majorBidi"/>
        </w:rPr>
        <w:t xml:space="preserve"> Ericsson forecast of UAE mobility (EB/month) vs. projected pollution index (2023–2025). The right panel shows the composite pollution raster, where elevated NO₂/SO₂/Aerosol levels remain persistent in northern metro areas.</w:t>
      </w:r>
    </w:p>
    <w:p w14:paraId="210FDF53" w14:textId="77777777" w:rsidR="00010520" w:rsidRPr="00061770" w:rsidRDefault="00010520" w:rsidP="00010520">
      <w:pPr>
        <w:jc w:val="both"/>
        <w:rPr>
          <w:rFonts w:asciiTheme="majorBidi" w:hAnsiTheme="majorBidi" w:cstheme="majorBidi"/>
        </w:rPr>
      </w:pPr>
    </w:p>
    <w:p w14:paraId="3A6E7EF9" w14:textId="601CA9F0" w:rsidR="00061770" w:rsidRPr="00061770" w:rsidRDefault="00010520" w:rsidP="00010520">
      <w:pPr>
        <w:jc w:val="both"/>
        <w:rPr>
          <w:rFonts w:asciiTheme="majorBidi" w:hAnsiTheme="majorBidi" w:cstheme="majorBidi"/>
          <w:b/>
          <w:bCs/>
        </w:rPr>
      </w:pPr>
      <w:r w:rsidRPr="00010520">
        <w:rPr>
          <w:rFonts w:asciiTheme="majorBidi" w:hAnsiTheme="majorBidi" w:cstheme="majorBidi"/>
          <w:b/>
          <w:bCs/>
        </w:rPr>
        <w:t>Recommendations for Sustainable Urban Air Management</w:t>
      </w:r>
      <w:r w:rsidR="00061770" w:rsidRPr="00061770">
        <w:rPr>
          <w:rFonts w:asciiTheme="majorBidi" w:hAnsiTheme="majorBidi" w:cstheme="majorBidi"/>
          <w:b/>
          <w:bCs/>
        </w:rPr>
        <w:t>:</w:t>
      </w:r>
    </w:p>
    <w:p w14:paraId="3C09EE93" w14:textId="77777777" w:rsidR="00061770" w:rsidRPr="00061770" w:rsidRDefault="00061770" w:rsidP="00010520">
      <w:pPr>
        <w:numPr>
          <w:ilvl w:val="0"/>
          <w:numId w:val="35"/>
        </w:numPr>
        <w:jc w:val="both"/>
        <w:rPr>
          <w:rFonts w:asciiTheme="majorBidi" w:hAnsiTheme="majorBidi" w:cstheme="majorBidi"/>
        </w:rPr>
      </w:pPr>
      <w:r w:rsidRPr="00061770">
        <w:rPr>
          <w:rFonts w:asciiTheme="majorBidi" w:hAnsiTheme="majorBidi" w:cstheme="majorBidi"/>
        </w:rPr>
        <w:t>Type C zones (High Mobility – High Pollution) should be prioritized for green transport, low-emission zones, and real-time air quality monitoring.</w:t>
      </w:r>
    </w:p>
    <w:p w14:paraId="64124841" w14:textId="77777777" w:rsidR="00061770" w:rsidRPr="00061770" w:rsidRDefault="00061770" w:rsidP="00010520">
      <w:pPr>
        <w:numPr>
          <w:ilvl w:val="0"/>
          <w:numId w:val="35"/>
        </w:numPr>
        <w:jc w:val="both"/>
        <w:rPr>
          <w:rFonts w:asciiTheme="majorBidi" w:hAnsiTheme="majorBidi" w:cstheme="majorBidi"/>
        </w:rPr>
      </w:pPr>
      <w:r w:rsidRPr="00061770">
        <w:rPr>
          <w:rFonts w:asciiTheme="majorBidi" w:hAnsiTheme="majorBidi" w:cstheme="majorBidi"/>
        </w:rPr>
        <w:t>Type B zones (Low Mobility – High Pollution) demand industrial controls, such as tighter SO₂ regulations and cleaner energy transitions.</w:t>
      </w:r>
    </w:p>
    <w:p w14:paraId="2C6AD110" w14:textId="77777777" w:rsidR="00061770" w:rsidRPr="00061770" w:rsidRDefault="00061770" w:rsidP="00010520">
      <w:pPr>
        <w:numPr>
          <w:ilvl w:val="0"/>
          <w:numId w:val="35"/>
        </w:numPr>
        <w:jc w:val="both"/>
        <w:rPr>
          <w:rFonts w:asciiTheme="majorBidi" w:hAnsiTheme="majorBidi" w:cstheme="majorBidi"/>
        </w:rPr>
      </w:pPr>
      <w:r w:rsidRPr="00061770">
        <w:rPr>
          <w:rFonts w:asciiTheme="majorBidi" w:hAnsiTheme="majorBidi" w:cstheme="majorBidi"/>
        </w:rPr>
        <w:t>Urban densification strategies must include air quality safeguards to avoid clustering emissions.</w:t>
      </w:r>
    </w:p>
    <w:p w14:paraId="18E3186C" w14:textId="77777777" w:rsidR="00061770" w:rsidRPr="00061770" w:rsidRDefault="00061770" w:rsidP="00010520">
      <w:pPr>
        <w:numPr>
          <w:ilvl w:val="0"/>
          <w:numId w:val="35"/>
        </w:numPr>
        <w:jc w:val="both"/>
        <w:rPr>
          <w:rFonts w:asciiTheme="majorBidi" w:hAnsiTheme="majorBidi" w:cstheme="majorBidi"/>
        </w:rPr>
      </w:pPr>
      <w:r w:rsidRPr="00061770">
        <w:rPr>
          <w:rFonts w:asciiTheme="majorBidi" w:hAnsiTheme="majorBidi" w:cstheme="majorBidi"/>
        </w:rPr>
        <w:t>Continued use of satellite-integrated raster data is critical for scalable and automated monitoring.</w:t>
      </w:r>
    </w:p>
    <w:p w14:paraId="5B2CB742" w14:textId="77777777" w:rsidR="00061770" w:rsidRPr="00061770" w:rsidRDefault="00061770" w:rsidP="00010520">
      <w:pPr>
        <w:jc w:val="both"/>
        <w:rPr>
          <w:rFonts w:asciiTheme="majorBidi" w:hAnsiTheme="majorBidi" w:cstheme="majorBidi"/>
        </w:rPr>
      </w:pPr>
      <w:r w:rsidRPr="00061770">
        <w:rPr>
          <w:rFonts w:asciiTheme="majorBidi" w:hAnsiTheme="majorBidi" w:cstheme="majorBidi"/>
        </w:rPr>
        <w:t>Together, these findings underscore the need for multimodal, data-driven environmental policies that move beyond traffic control alone and address both mobile and stationary sources of air pollution.</w:t>
      </w:r>
    </w:p>
    <w:p w14:paraId="795091A5" w14:textId="77777777" w:rsidR="00061770" w:rsidRDefault="00061770" w:rsidP="00010520">
      <w:pPr>
        <w:jc w:val="both"/>
        <w:rPr>
          <w:rFonts w:asciiTheme="majorBidi" w:hAnsiTheme="majorBidi" w:cstheme="majorBidi"/>
          <w:b/>
          <w:bCs/>
        </w:rPr>
      </w:pPr>
    </w:p>
    <w:p w14:paraId="7D27775F" w14:textId="77777777" w:rsidR="00061770" w:rsidRPr="00376DFA" w:rsidRDefault="00061770" w:rsidP="00010520">
      <w:pPr>
        <w:jc w:val="both"/>
        <w:rPr>
          <w:rFonts w:asciiTheme="majorBidi" w:hAnsiTheme="majorBidi" w:cstheme="majorBidi"/>
          <w:b/>
          <w:bCs/>
        </w:rPr>
      </w:pPr>
    </w:p>
    <w:p w14:paraId="327DCB42" w14:textId="55848A76" w:rsidR="00376DFA" w:rsidRPr="00376DFA" w:rsidRDefault="00376DFA" w:rsidP="00010520">
      <w:pPr>
        <w:pStyle w:val="Heading2"/>
        <w:numPr>
          <w:ilvl w:val="1"/>
          <w:numId w:val="15"/>
        </w:numPr>
        <w:jc w:val="both"/>
        <w:rPr>
          <w:rFonts w:asciiTheme="majorBidi" w:hAnsiTheme="majorBidi"/>
          <w:color w:val="auto"/>
        </w:rPr>
      </w:pPr>
      <w:r w:rsidRPr="00376DFA">
        <w:rPr>
          <w:rFonts w:asciiTheme="majorBidi" w:hAnsiTheme="majorBidi"/>
          <w:color w:val="auto"/>
        </w:rPr>
        <w:t>Forecasting Phase Outlook (2023–2025)</w:t>
      </w:r>
    </w:p>
    <w:p w14:paraId="1EEB7121" w14:textId="78F72640" w:rsidR="00376DFA" w:rsidRPr="00791455" w:rsidRDefault="00376DFA" w:rsidP="00010520">
      <w:pPr>
        <w:pStyle w:val="Heading3"/>
        <w:numPr>
          <w:ilvl w:val="2"/>
          <w:numId w:val="15"/>
        </w:numPr>
        <w:jc w:val="both"/>
        <w:rPr>
          <w:rFonts w:asciiTheme="majorBidi" w:hAnsiTheme="majorBidi"/>
          <w:color w:val="auto"/>
        </w:rPr>
      </w:pPr>
      <w:r w:rsidRPr="00791455">
        <w:rPr>
          <w:rFonts w:asciiTheme="majorBidi" w:hAnsiTheme="majorBidi"/>
          <w:color w:val="auto"/>
        </w:rPr>
        <w:t>Forecasting Urban Mobility and Pollution</w:t>
      </w:r>
      <w:r w:rsidR="00010520">
        <w:rPr>
          <w:rFonts w:asciiTheme="majorBidi" w:hAnsiTheme="majorBidi"/>
          <w:color w:val="auto"/>
        </w:rPr>
        <w:t>:</w:t>
      </w:r>
    </w:p>
    <w:p w14:paraId="7E92BE4B" w14:textId="02DF6254" w:rsidR="00ED0D56" w:rsidRPr="00ED0D56" w:rsidRDefault="00ED0D56" w:rsidP="00010520">
      <w:pPr>
        <w:jc w:val="both"/>
        <w:rPr>
          <w:rFonts w:asciiTheme="majorBidi" w:hAnsiTheme="majorBidi" w:cstheme="majorBidi"/>
        </w:rPr>
      </w:pPr>
      <w:r w:rsidRPr="00ED0D56">
        <w:rPr>
          <w:rFonts w:asciiTheme="majorBidi" w:hAnsiTheme="majorBidi" w:cstheme="majorBidi"/>
        </w:rPr>
        <w:t>To evaluate future pollution trends in light of projected mobility increases and urban growth, a forecasting analysis was conducted for the period 2023–2025 using spatially-resolved pollution raster data. This analysis builds upon the models and environmental baselines established in the 2020–2022 historical phase.</w:t>
      </w:r>
    </w:p>
    <w:p w14:paraId="495FC3C6" w14:textId="7DD40602" w:rsidR="00376DFA" w:rsidRDefault="00ED0D56" w:rsidP="00010520">
      <w:pPr>
        <w:jc w:val="both"/>
        <w:rPr>
          <w:rFonts w:asciiTheme="majorBidi" w:hAnsiTheme="majorBidi" w:cstheme="majorBidi"/>
        </w:rPr>
      </w:pPr>
      <w:r w:rsidRPr="00ED0D56">
        <w:rPr>
          <w:rFonts w:asciiTheme="majorBidi" w:hAnsiTheme="majorBidi" w:cstheme="majorBidi"/>
          <w:b/>
          <w:bCs/>
          <w:color w:val="FF0000"/>
        </w:rPr>
        <w:t>Figure B</w:t>
      </w:r>
      <w:r w:rsidRPr="00ED0D56">
        <w:rPr>
          <w:rFonts w:asciiTheme="majorBidi" w:hAnsiTheme="majorBidi" w:cstheme="majorBidi"/>
        </w:rPr>
        <w:t xml:space="preserve"> presents the geospatial forecast of NO₂, SO₂, and aerosol index (AAI) concentrations across the UAE, based on satellite-derived emissions estimates and urban expansion models. The raster, </w:t>
      </w:r>
      <w:r w:rsidRPr="00ED0D56">
        <w:rPr>
          <w:rFonts w:asciiTheme="majorBidi" w:hAnsiTheme="majorBidi" w:cstheme="majorBidi"/>
        </w:rPr>
        <w:lastRenderedPageBreak/>
        <w:t>extracted from UAE_NO2_SO2_Aerosol_Combined_2023_2025.tif, reveals continuity in pollution hotspots previously observed in Abu Dhabi, Dubai, and the Northern Emirates.</w:t>
      </w:r>
    </w:p>
    <w:p w14:paraId="62F7F13F" w14:textId="640EFF1F" w:rsidR="00ED0D56" w:rsidRDefault="00ED0D56" w:rsidP="00010520">
      <w:pPr>
        <w:jc w:val="both"/>
        <w:rPr>
          <w:rFonts w:asciiTheme="majorBidi" w:hAnsiTheme="majorBidi" w:cstheme="majorBidi"/>
        </w:rPr>
      </w:pPr>
      <w:r>
        <w:rPr>
          <w:rFonts w:asciiTheme="majorBidi" w:hAnsiTheme="majorBidi" w:cstheme="majorBidi"/>
          <w:noProof/>
        </w:rPr>
        <w:drawing>
          <wp:inline distT="0" distB="0" distL="0" distR="0" wp14:anchorId="2E5E43D2" wp14:editId="683B316D">
            <wp:extent cx="5138938" cy="3557023"/>
            <wp:effectExtent l="0" t="0" r="5080" b="5715"/>
            <wp:docPr id="8286997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99783" name="Picture 828699783"/>
                    <pic:cNvPicPr/>
                  </pic:nvPicPr>
                  <pic:blipFill>
                    <a:blip r:embed="rId21">
                      <a:extLst>
                        <a:ext uri="{28A0092B-C50C-407E-A947-70E740481C1C}">
                          <a14:useLocalDpi xmlns:a14="http://schemas.microsoft.com/office/drawing/2010/main" val="0"/>
                        </a:ext>
                      </a:extLst>
                    </a:blip>
                    <a:stretch>
                      <a:fillRect/>
                    </a:stretch>
                  </pic:blipFill>
                  <pic:spPr>
                    <a:xfrm>
                      <a:off x="0" y="0"/>
                      <a:ext cx="5138938" cy="3557023"/>
                    </a:xfrm>
                    <a:prstGeom prst="rect">
                      <a:avLst/>
                    </a:prstGeom>
                  </pic:spPr>
                </pic:pic>
              </a:graphicData>
            </a:graphic>
          </wp:inline>
        </w:drawing>
      </w:r>
    </w:p>
    <w:p w14:paraId="2E3003A8" w14:textId="519D6434" w:rsidR="00ED0D56" w:rsidRDefault="00ED0D56" w:rsidP="00010520">
      <w:pPr>
        <w:jc w:val="both"/>
        <w:rPr>
          <w:rFonts w:asciiTheme="majorBidi" w:hAnsiTheme="majorBidi" w:cstheme="majorBidi"/>
        </w:rPr>
      </w:pPr>
      <w:r w:rsidRPr="00ED0D56">
        <w:rPr>
          <w:rFonts w:asciiTheme="majorBidi" w:hAnsiTheme="majorBidi" w:cstheme="majorBidi"/>
          <w:b/>
          <w:bCs/>
          <w:color w:val="FF0000"/>
        </w:rPr>
        <w:t>Figure B</w:t>
      </w:r>
      <w:r>
        <w:rPr>
          <w:rFonts w:asciiTheme="majorBidi" w:hAnsiTheme="majorBidi" w:cstheme="majorBidi"/>
        </w:rPr>
        <w:t>:</w:t>
      </w:r>
      <w:r w:rsidRPr="00ED0D56">
        <w:rPr>
          <w:rFonts w:asciiTheme="majorBidi" w:hAnsiTheme="majorBidi" w:cstheme="majorBidi"/>
        </w:rPr>
        <w:t xml:space="preserve"> Projected NO₂, SO₂, and aerosol index distribution in the UAE (2023–2025). Intensified pollution is expected in coastal urban </w:t>
      </w:r>
      <w:proofErr w:type="spellStart"/>
      <w:r w:rsidRPr="00ED0D56">
        <w:rPr>
          <w:rFonts w:asciiTheme="majorBidi" w:hAnsiTheme="majorBidi" w:cstheme="majorBidi"/>
        </w:rPr>
        <w:t>centers</w:t>
      </w:r>
      <w:proofErr w:type="spellEnd"/>
      <w:r w:rsidRPr="00ED0D56">
        <w:rPr>
          <w:rFonts w:asciiTheme="majorBidi" w:hAnsiTheme="majorBidi" w:cstheme="majorBidi"/>
        </w:rPr>
        <w:t>, consistent with mobility and industrial growth forecasts.</w:t>
      </w:r>
    </w:p>
    <w:p w14:paraId="2483569B" w14:textId="77777777" w:rsidR="00ED0D56" w:rsidRPr="00ED0D56" w:rsidRDefault="00ED0D56" w:rsidP="00010520">
      <w:pPr>
        <w:jc w:val="both"/>
        <w:rPr>
          <w:rFonts w:asciiTheme="majorBidi" w:hAnsiTheme="majorBidi" w:cstheme="majorBidi"/>
        </w:rPr>
      </w:pPr>
      <w:r w:rsidRPr="00ED0D56">
        <w:rPr>
          <w:rFonts w:asciiTheme="majorBidi" w:hAnsiTheme="majorBidi" w:cstheme="majorBidi"/>
        </w:rPr>
        <w:t xml:space="preserve">To quantify the shift, a </w:t>
      </w:r>
      <w:r w:rsidRPr="00ED0D56">
        <w:rPr>
          <w:rFonts w:asciiTheme="majorBidi" w:hAnsiTheme="majorBidi" w:cstheme="majorBidi"/>
          <w:b/>
          <w:bCs/>
        </w:rPr>
        <w:t>pixel-wise comparison</w:t>
      </w:r>
      <w:r w:rsidRPr="00ED0D56">
        <w:rPr>
          <w:rFonts w:asciiTheme="majorBidi" w:hAnsiTheme="majorBidi" w:cstheme="majorBidi"/>
        </w:rPr>
        <w:t xml:space="preserve"> was conducted between the 2020–2022 and 2023–2025 </w:t>
      </w:r>
      <w:proofErr w:type="spellStart"/>
      <w:r w:rsidRPr="00ED0D56">
        <w:rPr>
          <w:rFonts w:asciiTheme="majorBidi" w:hAnsiTheme="majorBidi" w:cstheme="majorBidi"/>
        </w:rPr>
        <w:t>rasters</w:t>
      </w:r>
      <w:proofErr w:type="spellEnd"/>
      <w:r w:rsidRPr="00ED0D56">
        <w:rPr>
          <w:rFonts w:asciiTheme="majorBidi" w:hAnsiTheme="majorBidi" w:cstheme="majorBidi"/>
        </w:rPr>
        <w:t>. The results indicate:</w:t>
      </w:r>
    </w:p>
    <w:p w14:paraId="5D9E2F3B" w14:textId="77777777" w:rsidR="00ED0D56" w:rsidRPr="00ED0D56" w:rsidRDefault="00ED0D56" w:rsidP="00010520">
      <w:pPr>
        <w:numPr>
          <w:ilvl w:val="0"/>
          <w:numId w:val="18"/>
        </w:numPr>
        <w:jc w:val="both"/>
        <w:rPr>
          <w:rFonts w:asciiTheme="majorBidi" w:hAnsiTheme="majorBidi" w:cstheme="majorBidi"/>
        </w:rPr>
      </w:pPr>
      <w:r w:rsidRPr="00ED0D56">
        <w:rPr>
          <w:rFonts w:asciiTheme="majorBidi" w:hAnsiTheme="majorBidi" w:cstheme="majorBidi"/>
          <w:b/>
          <w:bCs/>
        </w:rPr>
        <w:t>Mean absolute difference:</w:t>
      </w:r>
      <w:r w:rsidRPr="00ED0D56">
        <w:rPr>
          <w:rFonts w:asciiTheme="majorBidi" w:hAnsiTheme="majorBidi" w:cstheme="majorBidi"/>
        </w:rPr>
        <w:t xml:space="preserve"> 3.09 × 10⁻⁶</w:t>
      </w:r>
    </w:p>
    <w:p w14:paraId="1886E0C0" w14:textId="77777777" w:rsidR="00ED0D56" w:rsidRPr="00ED0D56" w:rsidRDefault="00ED0D56" w:rsidP="00010520">
      <w:pPr>
        <w:numPr>
          <w:ilvl w:val="0"/>
          <w:numId w:val="18"/>
        </w:numPr>
        <w:jc w:val="both"/>
        <w:rPr>
          <w:rFonts w:asciiTheme="majorBidi" w:hAnsiTheme="majorBidi" w:cstheme="majorBidi"/>
        </w:rPr>
      </w:pPr>
      <w:r w:rsidRPr="00ED0D56">
        <w:rPr>
          <w:rFonts w:asciiTheme="majorBidi" w:hAnsiTheme="majorBidi" w:cstheme="majorBidi"/>
          <w:b/>
          <w:bCs/>
        </w:rPr>
        <w:t>Maximum difference:</w:t>
      </w:r>
      <w:r w:rsidRPr="00ED0D56">
        <w:rPr>
          <w:rFonts w:asciiTheme="majorBidi" w:hAnsiTheme="majorBidi" w:cstheme="majorBidi"/>
        </w:rPr>
        <w:t xml:space="preserve"> 2.59 × 10⁻⁵</w:t>
      </w:r>
    </w:p>
    <w:p w14:paraId="0968D1F6" w14:textId="77777777" w:rsidR="00ED0D56" w:rsidRPr="00ED0D56" w:rsidRDefault="00ED0D56" w:rsidP="00010520">
      <w:pPr>
        <w:numPr>
          <w:ilvl w:val="0"/>
          <w:numId w:val="18"/>
        </w:numPr>
        <w:jc w:val="both"/>
        <w:rPr>
          <w:rFonts w:asciiTheme="majorBidi" w:hAnsiTheme="majorBidi" w:cstheme="majorBidi"/>
        </w:rPr>
      </w:pPr>
      <w:r w:rsidRPr="00ED0D56">
        <w:rPr>
          <w:rFonts w:asciiTheme="majorBidi" w:hAnsiTheme="majorBidi" w:cstheme="majorBidi"/>
          <w:b/>
          <w:bCs/>
        </w:rPr>
        <w:t>Changed pixels:</w:t>
      </w:r>
      <w:r w:rsidRPr="00ED0D56">
        <w:rPr>
          <w:rFonts w:asciiTheme="majorBidi" w:hAnsiTheme="majorBidi" w:cstheme="majorBidi"/>
        </w:rPr>
        <w:t xml:space="preserve"> 80,422</w:t>
      </w:r>
    </w:p>
    <w:p w14:paraId="154B844A" w14:textId="77777777" w:rsidR="00ED0D56" w:rsidRPr="00ED0D56" w:rsidRDefault="00ED0D56" w:rsidP="00010520">
      <w:pPr>
        <w:jc w:val="both"/>
        <w:rPr>
          <w:rFonts w:asciiTheme="majorBidi" w:hAnsiTheme="majorBidi" w:cstheme="majorBidi"/>
        </w:rPr>
      </w:pPr>
      <w:r w:rsidRPr="00ED0D56">
        <w:rPr>
          <w:rFonts w:asciiTheme="majorBidi" w:hAnsiTheme="majorBidi" w:cstheme="majorBidi"/>
        </w:rPr>
        <w:t xml:space="preserve">These results suggest that while </w:t>
      </w:r>
      <w:r w:rsidRPr="00ED0D56">
        <w:rPr>
          <w:rFonts w:asciiTheme="majorBidi" w:hAnsiTheme="majorBidi" w:cstheme="majorBidi"/>
          <w:b/>
          <w:bCs/>
        </w:rPr>
        <w:t>average changes in pollutant intensity are modest</w:t>
      </w:r>
      <w:r w:rsidRPr="00ED0D56">
        <w:rPr>
          <w:rFonts w:asciiTheme="majorBidi" w:hAnsiTheme="majorBidi" w:cstheme="majorBidi"/>
        </w:rPr>
        <w:t xml:space="preserve">, they are </w:t>
      </w:r>
      <w:r w:rsidRPr="00ED0D56">
        <w:rPr>
          <w:rFonts w:asciiTheme="majorBidi" w:hAnsiTheme="majorBidi" w:cstheme="majorBidi"/>
          <w:b/>
          <w:bCs/>
        </w:rPr>
        <w:t>geographically widespread</w:t>
      </w:r>
      <w:r w:rsidRPr="00ED0D56">
        <w:rPr>
          <w:rFonts w:asciiTheme="majorBidi" w:hAnsiTheme="majorBidi" w:cstheme="majorBidi"/>
        </w:rPr>
        <w:t xml:space="preserve">, especially in zones of projected mobility increase. This supports the hypothesis that pollution burdens will </w:t>
      </w:r>
      <w:r w:rsidRPr="00ED0D56">
        <w:rPr>
          <w:rFonts w:asciiTheme="majorBidi" w:hAnsiTheme="majorBidi" w:cstheme="majorBidi"/>
          <w:b/>
          <w:bCs/>
        </w:rPr>
        <w:t>intensify cumulatively</w:t>
      </w:r>
      <w:r w:rsidRPr="00ED0D56">
        <w:rPr>
          <w:rFonts w:asciiTheme="majorBidi" w:hAnsiTheme="majorBidi" w:cstheme="majorBidi"/>
        </w:rPr>
        <w:t xml:space="preserve"> across metropolitan zones unless mitigated by policy interventions.</w:t>
      </w:r>
    </w:p>
    <w:p w14:paraId="0D1ECE06" w14:textId="77777777" w:rsidR="00ED0D56" w:rsidRPr="00ED0D56" w:rsidRDefault="00ED0D56" w:rsidP="00010520">
      <w:pPr>
        <w:jc w:val="both"/>
        <w:rPr>
          <w:rFonts w:asciiTheme="majorBidi" w:hAnsiTheme="majorBidi" w:cstheme="majorBidi"/>
        </w:rPr>
      </w:pPr>
      <w:r w:rsidRPr="00ED0D56">
        <w:rPr>
          <w:rFonts w:asciiTheme="majorBidi" w:hAnsiTheme="majorBidi" w:cstheme="majorBidi"/>
        </w:rPr>
        <w:t>The forecasting analysis integrates:</w:t>
      </w:r>
    </w:p>
    <w:p w14:paraId="71D26610" w14:textId="77777777" w:rsidR="00ED0D56" w:rsidRPr="00ED0D56" w:rsidRDefault="00ED0D56" w:rsidP="00010520">
      <w:pPr>
        <w:numPr>
          <w:ilvl w:val="0"/>
          <w:numId w:val="19"/>
        </w:numPr>
        <w:jc w:val="both"/>
        <w:rPr>
          <w:rFonts w:asciiTheme="majorBidi" w:hAnsiTheme="majorBidi" w:cstheme="majorBidi"/>
        </w:rPr>
      </w:pPr>
      <w:r w:rsidRPr="00ED0D56">
        <w:rPr>
          <w:rFonts w:asciiTheme="majorBidi" w:hAnsiTheme="majorBidi" w:cstheme="majorBidi"/>
          <w:b/>
          <w:bCs/>
        </w:rPr>
        <w:t>Ericsson mobility projections</w:t>
      </w:r>
      <w:r w:rsidRPr="00ED0D56">
        <w:rPr>
          <w:rFonts w:asciiTheme="majorBidi" w:hAnsiTheme="majorBidi" w:cstheme="majorBidi"/>
        </w:rPr>
        <w:t xml:space="preserve"> through 2025,</w:t>
      </w:r>
    </w:p>
    <w:p w14:paraId="2FA26242" w14:textId="77777777" w:rsidR="00ED0D56" w:rsidRPr="00ED0D56" w:rsidRDefault="00ED0D56" w:rsidP="00010520">
      <w:pPr>
        <w:numPr>
          <w:ilvl w:val="0"/>
          <w:numId w:val="19"/>
        </w:numPr>
        <w:jc w:val="both"/>
        <w:rPr>
          <w:rFonts w:asciiTheme="majorBidi" w:hAnsiTheme="majorBidi" w:cstheme="majorBidi"/>
        </w:rPr>
      </w:pPr>
      <w:r w:rsidRPr="00ED0D56">
        <w:rPr>
          <w:rFonts w:asciiTheme="majorBidi" w:hAnsiTheme="majorBidi" w:cstheme="majorBidi"/>
        </w:rPr>
        <w:t>Historical NO₂ and mobility regression models (trained in Section 4.3), and</w:t>
      </w:r>
    </w:p>
    <w:p w14:paraId="03A04DEE" w14:textId="77777777" w:rsidR="00ED0D56" w:rsidRPr="00ED0D56" w:rsidRDefault="00ED0D56" w:rsidP="00010520">
      <w:pPr>
        <w:numPr>
          <w:ilvl w:val="0"/>
          <w:numId w:val="19"/>
        </w:numPr>
        <w:jc w:val="both"/>
        <w:rPr>
          <w:rFonts w:asciiTheme="majorBidi" w:hAnsiTheme="majorBidi" w:cstheme="majorBidi"/>
        </w:rPr>
      </w:pPr>
      <w:r w:rsidRPr="00ED0D56">
        <w:rPr>
          <w:rFonts w:asciiTheme="majorBidi" w:hAnsiTheme="majorBidi" w:cstheme="majorBidi"/>
        </w:rPr>
        <w:t>The clustering framework from Section 4.2 to anticipate shifts in zone risk levels.</w:t>
      </w:r>
    </w:p>
    <w:p w14:paraId="37DA4FAB" w14:textId="77777777" w:rsidR="00ED0D56" w:rsidRPr="00ED0D56" w:rsidRDefault="00ED0D56" w:rsidP="00010520">
      <w:pPr>
        <w:jc w:val="both"/>
        <w:rPr>
          <w:rFonts w:asciiTheme="majorBidi" w:hAnsiTheme="majorBidi" w:cstheme="majorBidi"/>
        </w:rPr>
      </w:pPr>
      <w:r w:rsidRPr="00ED0D56">
        <w:rPr>
          <w:rFonts w:asciiTheme="majorBidi" w:hAnsiTheme="majorBidi" w:cstheme="majorBidi"/>
        </w:rPr>
        <w:t>Together, these components provide a predictive lens through which emerging environmental risks can be mapped and monitored at fine spatial resolution.</w:t>
      </w:r>
    </w:p>
    <w:p w14:paraId="0B4B198C" w14:textId="77777777" w:rsidR="00ED0D56" w:rsidRPr="00376DFA" w:rsidRDefault="00ED0D56" w:rsidP="00010520">
      <w:pPr>
        <w:jc w:val="both"/>
        <w:rPr>
          <w:rFonts w:asciiTheme="majorBidi" w:hAnsiTheme="majorBidi" w:cstheme="majorBidi"/>
        </w:rPr>
      </w:pPr>
    </w:p>
    <w:p w14:paraId="2E6A0EC4" w14:textId="3C8360CF" w:rsidR="00376DFA" w:rsidRPr="00376DFA" w:rsidRDefault="00376DFA" w:rsidP="00010520">
      <w:pPr>
        <w:pStyle w:val="Heading3"/>
        <w:numPr>
          <w:ilvl w:val="2"/>
          <w:numId w:val="15"/>
        </w:numPr>
        <w:jc w:val="both"/>
        <w:rPr>
          <w:rFonts w:asciiTheme="majorBidi" w:hAnsiTheme="majorBidi"/>
          <w:color w:val="auto"/>
        </w:rPr>
      </w:pPr>
      <w:r w:rsidRPr="00376DFA">
        <w:rPr>
          <w:rFonts w:asciiTheme="majorBidi" w:hAnsiTheme="majorBidi"/>
          <w:color w:val="auto"/>
        </w:rPr>
        <w:lastRenderedPageBreak/>
        <w:t>Strategic Recommendations for Policy and Planning</w:t>
      </w:r>
      <w:r w:rsidR="00010520">
        <w:rPr>
          <w:rFonts w:asciiTheme="majorBidi" w:hAnsiTheme="majorBidi"/>
          <w:color w:val="auto"/>
        </w:rPr>
        <w:t>:</w:t>
      </w:r>
    </w:p>
    <w:p w14:paraId="0F2B286A" w14:textId="77777777" w:rsidR="00010520" w:rsidRPr="00010520" w:rsidRDefault="00010520" w:rsidP="00010520">
      <w:pPr>
        <w:jc w:val="both"/>
        <w:rPr>
          <w:rFonts w:asciiTheme="majorBidi" w:hAnsiTheme="majorBidi" w:cstheme="majorBidi"/>
        </w:rPr>
      </w:pPr>
      <w:r w:rsidRPr="00010520">
        <w:rPr>
          <w:rFonts w:asciiTheme="majorBidi" w:hAnsiTheme="majorBidi" w:cstheme="majorBidi"/>
        </w:rPr>
        <w:t xml:space="preserve">The pollution and mobility forecasts for 2023–2025 provide a valuable forward-looking lens for urban policymakers. By integrating mobility trend projections with spatial pollution mapping, the analysis highlights specific </w:t>
      </w:r>
      <w:r w:rsidRPr="00010520">
        <w:rPr>
          <w:rFonts w:asciiTheme="majorBidi" w:hAnsiTheme="majorBidi" w:cstheme="majorBidi"/>
          <w:b/>
          <w:bCs/>
        </w:rPr>
        <w:t>high-risk geohash zones</w:t>
      </w:r>
      <w:r w:rsidRPr="00010520">
        <w:rPr>
          <w:rFonts w:asciiTheme="majorBidi" w:hAnsiTheme="majorBidi" w:cstheme="majorBidi"/>
        </w:rPr>
        <w:t xml:space="preserve"> where interventions can yield the most environmental benefit.</w:t>
      </w:r>
    </w:p>
    <w:p w14:paraId="64169A4A" w14:textId="77777777" w:rsidR="00010520" w:rsidRDefault="00010520" w:rsidP="00010520">
      <w:pPr>
        <w:jc w:val="both"/>
        <w:rPr>
          <w:rFonts w:asciiTheme="majorBidi" w:hAnsiTheme="majorBidi" w:cstheme="majorBidi"/>
        </w:rPr>
      </w:pPr>
      <w:r w:rsidRPr="00010520">
        <w:rPr>
          <w:rFonts w:asciiTheme="majorBidi" w:hAnsiTheme="majorBidi" w:cstheme="majorBidi"/>
        </w:rPr>
        <w:t xml:space="preserve">These zones—many of which align with previously identified </w:t>
      </w:r>
      <w:r w:rsidRPr="00010520">
        <w:rPr>
          <w:rFonts w:asciiTheme="majorBidi" w:hAnsiTheme="majorBidi" w:cstheme="majorBidi"/>
          <w:b/>
          <w:bCs/>
        </w:rPr>
        <w:t>Type B</w:t>
      </w:r>
      <w:r w:rsidRPr="00010520">
        <w:rPr>
          <w:rFonts w:asciiTheme="majorBidi" w:hAnsiTheme="majorBidi" w:cstheme="majorBidi"/>
        </w:rPr>
        <w:t xml:space="preserve"> (Low Mobility – High Pollution) and </w:t>
      </w:r>
      <w:r w:rsidRPr="00010520">
        <w:rPr>
          <w:rFonts w:asciiTheme="majorBidi" w:hAnsiTheme="majorBidi" w:cstheme="majorBidi"/>
          <w:b/>
          <w:bCs/>
        </w:rPr>
        <w:t>Type C</w:t>
      </w:r>
      <w:r w:rsidRPr="00010520">
        <w:rPr>
          <w:rFonts w:asciiTheme="majorBidi" w:hAnsiTheme="majorBidi" w:cstheme="majorBidi"/>
        </w:rPr>
        <w:t xml:space="preserve"> (High Mobility – High Pollution) areas—should be prioritized in future city-level air quality strategies.</w:t>
      </w:r>
    </w:p>
    <w:p w14:paraId="53647874" w14:textId="6AEEBEB2" w:rsidR="00010520" w:rsidRPr="00010520" w:rsidRDefault="00010520" w:rsidP="00010520">
      <w:pPr>
        <w:jc w:val="both"/>
        <w:rPr>
          <w:rFonts w:asciiTheme="majorBidi" w:hAnsiTheme="majorBidi" w:cstheme="majorBidi"/>
        </w:rPr>
      </w:pPr>
      <w:r w:rsidRPr="00010520">
        <w:rPr>
          <w:rFonts w:asciiTheme="majorBidi" w:hAnsiTheme="majorBidi" w:cstheme="majorBidi"/>
          <w:b/>
          <w:bCs/>
        </w:rPr>
        <w:t>Recommended Interventions:</w:t>
      </w:r>
    </w:p>
    <w:p w14:paraId="506DEBCE" w14:textId="77777777" w:rsidR="00010520" w:rsidRPr="00010520" w:rsidRDefault="00010520" w:rsidP="00010520">
      <w:pPr>
        <w:numPr>
          <w:ilvl w:val="0"/>
          <w:numId w:val="36"/>
        </w:numPr>
        <w:jc w:val="both"/>
        <w:rPr>
          <w:rFonts w:asciiTheme="majorBidi" w:hAnsiTheme="majorBidi" w:cstheme="majorBidi"/>
        </w:rPr>
      </w:pPr>
      <w:r w:rsidRPr="00010520">
        <w:rPr>
          <w:rFonts w:asciiTheme="majorBidi" w:hAnsiTheme="majorBidi" w:cstheme="majorBidi"/>
        </w:rPr>
        <w:t>Electrification of public transport fleets, particularly in zones with increasing mobility and congestion. This will reduce traffic-related NO₂ and PM emissions while supporting carbon neutrality goals.</w:t>
      </w:r>
    </w:p>
    <w:p w14:paraId="23FC2CBB" w14:textId="77777777" w:rsidR="00010520" w:rsidRPr="00010520" w:rsidRDefault="00010520" w:rsidP="00010520">
      <w:pPr>
        <w:numPr>
          <w:ilvl w:val="0"/>
          <w:numId w:val="36"/>
        </w:numPr>
        <w:jc w:val="both"/>
        <w:rPr>
          <w:rFonts w:asciiTheme="majorBidi" w:hAnsiTheme="majorBidi" w:cstheme="majorBidi"/>
        </w:rPr>
      </w:pPr>
      <w:r w:rsidRPr="00010520">
        <w:rPr>
          <w:rFonts w:asciiTheme="majorBidi" w:hAnsiTheme="majorBidi" w:cstheme="majorBidi"/>
        </w:rPr>
        <w:t>Development of urban green corridors that integrate vegetation into mobility infrastructure. These buffers can capture particulate matter, mitigate heat islands, and improve pedestrian usability.</w:t>
      </w:r>
    </w:p>
    <w:p w14:paraId="1C4CD52E" w14:textId="77777777" w:rsidR="00010520" w:rsidRPr="00010520" w:rsidRDefault="00010520" w:rsidP="00010520">
      <w:pPr>
        <w:numPr>
          <w:ilvl w:val="0"/>
          <w:numId w:val="36"/>
        </w:numPr>
        <w:jc w:val="both"/>
        <w:rPr>
          <w:rFonts w:asciiTheme="majorBidi" w:hAnsiTheme="majorBidi" w:cstheme="majorBidi"/>
        </w:rPr>
      </w:pPr>
      <w:r w:rsidRPr="00010520">
        <w:rPr>
          <w:rFonts w:asciiTheme="majorBidi" w:hAnsiTheme="majorBidi" w:cstheme="majorBidi"/>
        </w:rPr>
        <w:t>Expansion of air quality monitoring infrastructure, especially in zones with uncertain pollution dynamics or recent urban expansion. Ground-based monitors should complement satellite-based forecasting tools to ensure fine-grained regulatory responsiveness.</w:t>
      </w:r>
    </w:p>
    <w:p w14:paraId="4A9B17FB" w14:textId="7E3E8DC5" w:rsidR="00010520" w:rsidRPr="00010520" w:rsidRDefault="00010520" w:rsidP="00010520">
      <w:pPr>
        <w:jc w:val="both"/>
        <w:rPr>
          <w:rFonts w:asciiTheme="majorBidi" w:hAnsiTheme="majorBidi" w:cstheme="majorBidi"/>
        </w:rPr>
      </w:pPr>
      <w:r w:rsidRPr="00010520">
        <w:rPr>
          <w:rFonts w:asciiTheme="majorBidi" w:hAnsiTheme="majorBidi" w:cstheme="majorBidi"/>
        </w:rPr>
        <w:t xml:space="preserve">The visual forecast in </w:t>
      </w:r>
      <w:r w:rsidRPr="00ED0D56">
        <w:rPr>
          <w:rFonts w:asciiTheme="majorBidi" w:hAnsiTheme="majorBidi" w:cstheme="majorBidi"/>
          <w:b/>
          <w:bCs/>
          <w:color w:val="FF0000"/>
        </w:rPr>
        <w:t>Figure B</w:t>
      </w:r>
      <w:r w:rsidRPr="00010520">
        <w:rPr>
          <w:rFonts w:asciiTheme="majorBidi" w:hAnsiTheme="majorBidi" w:cstheme="majorBidi"/>
        </w:rPr>
        <w:t xml:space="preserve"> (Section 4.4.1) clearly shows intensifying pollution in select urban belts. Without strategic action, these zones may transition from moderate-risk to chronically polluted environments.</w:t>
      </w:r>
    </w:p>
    <w:p w14:paraId="3AF3E2F5" w14:textId="475A16DD" w:rsidR="00010520" w:rsidRPr="00010520" w:rsidRDefault="00010520" w:rsidP="00010520">
      <w:pPr>
        <w:jc w:val="both"/>
        <w:rPr>
          <w:rFonts w:asciiTheme="majorBidi" w:hAnsiTheme="majorBidi" w:cstheme="majorBidi"/>
          <w:b/>
          <w:bCs/>
        </w:rPr>
      </w:pPr>
      <w:r w:rsidRPr="00010520">
        <w:rPr>
          <w:rFonts w:asciiTheme="majorBidi" w:hAnsiTheme="majorBidi" w:cstheme="majorBidi"/>
          <w:b/>
          <w:bCs/>
        </w:rPr>
        <w:t>Long-Term Planning Implications:</w:t>
      </w:r>
    </w:p>
    <w:p w14:paraId="3956A4A0" w14:textId="77777777" w:rsidR="00010520" w:rsidRPr="00010520" w:rsidRDefault="00010520" w:rsidP="00010520">
      <w:pPr>
        <w:numPr>
          <w:ilvl w:val="0"/>
          <w:numId w:val="37"/>
        </w:numPr>
        <w:jc w:val="both"/>
        <w:rPr>
          <w:rFonts w:asciiTheme="majorBidi" w:hAnsiTheme="majorBidi" w:cstheme="majorBidi"/>
        </w:rPr>
      </w:pPr>
      <w:r w:rsidRPr="00010520">
        <w:rPr>
          <w:rFonts w:asciiTheme="majorBidi" w:hAnsiTheme="majorBidi" w:cstheme="majorBidi"/>
        </w:rPr>
        <w:t>Dynamic environmental zoning using satellite and model-integrated data streams will allow for real-time classification of risk areas.</w:t>
      </w:r>
    </w:p>
    <w:p w14:paraId="4BF65CE0" w14:textId="77777777" w:rsidR="00010520" w:rsidRPr="00010520" w:rsidRDefault="00010520" w:rsidP="00010520">
      <w:pPr>
        <w:numPr>
          <w:ilvl w:val="0"/>
          <w:numId w:val="37"/>
        </w:numPr>
        <w:jc w:val="both"/>
        <w:rPr>
          <w:rFonts w:asciiTheme="majorBidi" w:hAnsiTheme="majorBidi" w:cstheme="majorBidi"/>
        </w:rPr>
      </w:pPr>
      <w:r w:rsidRPr="00010520">
        <w:rPr>
          <w:rFonts w:asciiTheme="majorBidi" w:hAnsiTheme="majorBidi" w:cstheme="majorBidi"/>
        </w:rPr>
        <w:t>Cross-sector collaboration (e.g., between transport, energy, and environmental ministries) is essential to avoid fragmented policy implementation.</w:t>
      </w:r>
    </w:p>
    <w:p w14:paraId="4555D38B" w14:textId="77777777" w:rsidR="00010520" w:rsidRPr="00010520" w:rsidRDefault="00010520" w:rsidP="00010520">
      <w:pPr>
        <w:numPr>
          <w:ilvl w:val="0"/>
          <w:numId w:val="37"/>
        </w:numPr>
        <w:jc w:val="both"/>
        <w:rPr>
          <w:rFonts w:asciiTheme="majorBidi" w:hAnsiTheme="majorBidi" w:cstheme="majorBidi"/>
        </w:rPr>
      </w:pPr>
      <w:r w:rsidRPr="00010520">
        <w:rPr>
          <w:rFonts w:asciiTheme="majorBidi" w:hAnsiTheme="majorBidi" w:cstheme="majorBidi"/>
        </w:rPr>
        <w:t>Integration of predictive models into city digital twins may offer simulation tools for assessing the environmental impact of infrastructure before it’s built.</w:t>
      </w:r>
    </w:p>
    <w:p w14:paraId="08A150FE" w14:textId="77777777" w:rsidR="00010520" w:rsidRPr="00010520" w:rsidRDefault="00010520" w:rsidP="00010520">
      <w:pPr>
        <w:jc w:val="both"/>
        <w:rPr>
          <w:rFonts w:asciiTheme="majorBidi" w:hAnsiTheme="majorBidi" w:cstheme="majorBidi"/>
        </w:rPr>
      </w:pPr>
      <w:r w:rsidRPr="00010520">
        <w:rPr>
          <w:rFonts w:asciiTheme="majorBidi" w:hAnsiTheme="majorBidi" w:cstheme="majorBidi"/>
        </w:rPr>
        <w:t>These strategies represent a shift from reactive air quality management to proactive, data-informed governance, well-suited for rapidly urbanizing environments like the UAE.</w:t>
      </w:r>
    </w:p>
    <w:p w14:paraId="618DAD86" w14:textId="77777777" w:rsidR="00376DFA" w:rsidRPr="00376DFA" w:rsidRDefault="00376DFA" w:rsidP="006068D4">
      <w:pPr>
        <w:rPr>
          <w:rFonts w:asciiTheme="majorBidi" w:hAnsiTheme="majorBidi" w:cstheme="majorBidi"/>
          <w:b/>
          <w:bCs/>
        </w:rPr>
      </w:pPr>
    </w:p>
    <w:p w14:paraId="1B4E4AC8" w14:textId="17F7BFD0" w:rsidR="006068D4" w:rsidRPr="00791455" w:rsidRDefault="006068D4" w:rsidP="00791455">
      <w:pPr>
        <w:pStyle w:val="Heading1"/>
        <w:numPr>
          <w:ilvl w:val="0"/>
          <w:numId w:val="12"/>
        </w:numPr>
        <w:rPr>
          <w:rFonts w:asciiTheme="majorBidi" w:hAnsiTheme="majorBidi"/>
          <w:color w:val="auto"/>
          <w:sz w:val="32"/>
          <w:szCs w:val="32"/>
        </w:rPr>
      </w:pPr>
      <w:r w:rsidRPr="00791455">
        <w:rPr>
          <w:rFonts w:asciiTheme="majorBidi" w:hAnsiTheme="majorBidi"/>
          <w:color w:val="auto"/>
          <w:sz w:val="32"/>
          <w:szCs w:val="32"/>
        </w:rPr>
        <w:t>Conclusion and Future Work</w:t>
      </w:r>
    </w:p>
    <w:p w14:paraId="5E5ED331" w14:textId="1CEDFFE7" w:rsidR="00896659" w:rsidRPr="00896659" w:rsidRDefault="00896659" w:rsidP="00896659">
      <w:pPr>
        <w:jc w:val="both"/>
        <w:rPr>
          <w:rFonts w:asciiTheme="majorBidi" w:hAnsiTheme="majorBidi" w:cstheme="majorBidi"/>
        </w:rPr>
      </w:pPr>
      <w:r w:rsidRPr="00896659">
        <w:rPr>
          <w:rFonts w:asciiTheme="majorBidi" w:hAnsiTheme="majorBidi" w:cstheme="majorBidi"/>
        </w:rPr>
        <w:t>This study introduced a two-phase, satellite-based approach to understand how urban mobility affects air quality in major cities across the UAE. By combining data from satellites (Sentinel-5P), Google mobility reports, ground-based pollution sensors (</w:t>
      </w:r>
      <w:proofErr w:type="spellStart"/>
      <w:r w:rsidRPr="00896659">
        <w:rPr>
          <w:rFonts w:asciiTheme="majorBidi" w:hAnsiTheme="majorBidi" w:cstheme="majorBidi"/>
        </w:rPr>
        <w:t>OpenAQ</w:t>
      </w:r>
      <w:proofErr w:type="spellEnd"/>
      <w:r w:rsidRPr="00896659">
        <w:rPr>
          <w:rFonts w:asciiTheme="majorBidi" w:hAnsiTheme="majorBidi" w:cstheme="majorBidi"/>
        </w:rPr>
        <w:t xml:space="preserve">), and population maps, we created a geospatial system that analysed pollution patterns down to the neighbourhood level using geohash zones. In the historical phase (2020–2022), we found a clear trend: when people moved around less, NO₂ pollution usually dropped, especially in busy city areas. However, some zones still had high pollution despite low movement—likely due to industrial activity. We used clustering and machine learning models to group these zones and predict NO₂ levels based on population, mobility, and land use. Among the models, random forest performed best, helping us see which factors mattered most. The </w:t>
      </w:r>
      <w:r w:rsidRPr="00896659">
        <w:rPr>
          <w:rFonts w:asciiTheme="majorBidi" w:hAnsiTheme="majorBidi" w:cstheme="majorBidi"/>
        </w:rPr>
        <w:lastRenderedPageBreak/>
        <w:t>forecast phase (2023–2025) used future mobility projections to estimate how air pollution might change. This helped us spot zones at higher risk in the future, giving city planners a chance to act before pollution worsens. To build on this research, future work will:</w:t>
      </w:r>
    </w:p>
    <w:p w14:paraId="69ACBB3B" w14:textId="77777777" w:rsidR="00896659" w:rsidRDefault="00896659" w:rsidP="00896659">
      <w:pPr>
        <w:pStyle w:val="ListParagraph"/>
        <w:numPr>
          <w:ilvl w:val="0"/>
          <w:numId w:val="39"/>
        </w:numPr>
        <w:jc w:val="both"/>
        <w:rPr>
          <w:rFonts w:asciiTheme="majorBidi" w:hAnsiTheme="majorBidi" w:cstheme="majorBidi"/>
        </w:rPr>
      </w:pPr>
      <w:r w:rsidRPr="00896659">
        <w:rPr>
          <w:rFonts w:asciiTheme="majorBidi" w:hAnsiTheme="majorBidi" w:cstheme="majorBidi"/>
        </w:rPr>
        <w:t>Add weather data (like wind and temperature) to improve predictions.</w:t>
      </w:r>
    </w:p>
    <w:p w14:paraId="5D7702B1" w14:textId="77777777" w:rsidR="00896659" w:rsidRDefault="00896659" w:rsidP="00896659">
      <w:pPr>
        <w:pStyle w:val="ListParagraph"/>
        <w:numPr>
          <w:ilvl w:val="0"/>
          <w:numId w:val="39"/>
        </w:numPr>
        <w:jc w:val="both"/>
        <w:rPr>
          <w:rFonts w:asciiTheme="majorBidi" w:hAnsiTheme="majorBidi" w:cstheme="majorBidi"/>
        </w:rPr>
      </w:pPr>
      <w:r w:rsidRPr="00896659">
        <w:rPr>
          <w:rFonts w:asciiTheme="majorBidi" w:hAnsiTheme="majorBidi" w:cstheme="majorBidi"/>
        </w:rPr>
        <w:t>Include more pollutants, such as CO and PM2.5.</w:t>
      </w:r>
    </w:p>
    <w:p w14:paraId="049B9816" w14:textId="77777777" w:rsidR="00896659" w:rsidRDefault="00896659" w:rsidP="00896659">
      <w:pPr>
        <w:pStyle w:val="ListParagraph"/>
        <w:numPr>
          <w:ilvl w:val="0"/>
          <w:numId w:val="39"/>
        </w:numPr>
        <w:jc w:val="both"/>
        <w:rPr>
          <w:rFonts w:asciiTheme="majorBidi" w:hAnsiTheme="majorBidi" w:cstheme="majorBidi"/>
        </w:rPr>
      </w:pPr>
      <w:r w:rsidRPr="00896659">
        <w:rPr>
          <w:rFonts w:asciiTheme="majorBidi" w:hAnsiTheme="majorBidi" w:cstheme="majorBidi"/>
        </w:rPr>
        <w:t>Use time-series models (like LSTM) to better capture how pollution changes over time.</w:t>
      </w:r>
    </w:p>
    <w:p w14:paraId="53F98E4A" w14:textId="4D9C6A01" w:rsidR="00896659" w:rsidRPr="00896659" w:rsidRDefault="00896659" w:rsidP="00896659">
      <w:pPr>
        <w:pStyle w:val="ListParagraph"/>
        <w:numPr>
          <w:ilvl w:val="0"/>
          <w:numId w:val="39"/>
        </w:numPr>
        <w:jc w:val="both"/>
        <w:rPr>
          <w:rFonts w:asciiTheme="majorBidi" w:hAnsiTheme="majorBidi" w:cstheme="majorBidi"/>
        </w:rPr>
      </w:pPr>
      <w:r w:rsidRPr="00896659">
        <w:rPr>
          <w:rFonts w:asciiTheme="majorBidi" w:hAnsiTheme="majorBidi" w:cstheme="majorBidi"/>
        </w:rPr>
        <w:t>Create a user-friendly dashboard so city leaders can track and respond to air quality in real time.</w:t>
      </w:r>
    </w:p>
    <w:p w14:paraId="5FB3F166" w14:textId="54FD2433" w:rsidR="00C14340" w:rsidRDefault="00896659" w:rsidP="00896659">
      <w:pPr>
        <w:jc w:val="both"/>
        <w:rPr>
          <w:rFonts w:asciiTheme="majorBidi" w:hAnsiTheme="majorBidi" w:cstheme="majorBidi"/>
        </w:rPr>
      </w:pPr>
      <w:r w:rsidRPr="00896659">
        <w:rPr>
          <w:rFonts w:asciiTheme="majorBidi" w:hAnsiTheme="majorBidi" w:cstheme="majorBidi"/>
        </w:rPr>
        <w:t>Overall, this research offers a practical, scalable method for monitoring and managing urban air pollution. It can support smarter environmental decisions in the UAE and in other fast-growing cities with access to similar data.</w:t>
      </w:r>
    </w:p>
    <w:p w14:paraId="0E62AE78" w14:textId="77777777" w:rsidR="00C14340" w:rsidRDefault="00C14340">
      <w:pPr>
        <w:rPr>
          <w:rFonts w:asciiTheme="majorBidi" w:hAnsiTheme="majorBidi" w:cstheme="majorBidi"/>
        </w:rPr>
      </w:pPr>
      <w:r>
        <w:rPr>
          <w:rFonts w:asciiTheme="majorBidi" w:hAnsiTheme="majorBidi" w:cstheme="majorBidi"/>
        </w:rPr>
        <w:br w:type="page"/>
      </w:r>
    </w:p>
    <w:p w14:paraId="0D5019DE" w14:textId="43C744F5" w:rsidR="006068D4" w:rsidRDefault="00C14340" w:rsidP="00C14340">
      <w:pPr>
        <w:jc w:val="center"/>
        <w:rPr>
          <w:rFonts w:asciiTheme="majorBidi" w:hAnsiTheme="majorBidi" w:cstheme="majorBidi"/>
          <w:sz w:val="32"/>
          <w:szCs w:val="32"/>
        </w:rPr>
      </w:pPr>
      <w:r w:rsidRPr="00C14340">
        <w:rPr>
          <w:rFonts w:asciiTheme="majorBidi" w:hAnsiTheme="majorBidi" w:cstheme="majorBidi"/>
          <w:sz w:val="32"/>
          <w:szCs w:val="32"/>
        </w:rPr>
        <w:lastRenderedPageBreak/>
        <w:t>References</w:t>
      </w:r>
    </w:p>
    <w:p w14:paraId="1150CBC5" w14:textId="77777777" w:rsidR="00C14340" w:rsidRPr="00C14340" w:rsidRDefault="00C14340" w:rsidP="00C14340">
      <w:pPr>
        <w:jc w:val="center"/>
        <w:rPr>
          <w:rFonts w:asciiTheme="majorBidi" w:hAnsiTheme="majorBidi" w:cstheme="majorBidi"/>
          <w:sz w:val="32"/>
          <w:szCs w:val="32"/>
        </w:rPr>
      </w:pPr>
    </w:p>
    <w:p w14:paraId="3CBEB0C6" w14:textId="77777777" w:rsidR="00C14340" w:rsidRDefault="00C14340" w:rsidP="00C14340">
      <w:pPr>
        <w:jc w:val="both"/>
        <w:rPr>
          <w:rFonts w:asciiTheme="majorBidi" w:hAnsiTheme="majorBidi" w:cstheme="majorBidi"/>
        </w:rPr>
      </w:pPr>
      <w:r w:rsidRPr="00C14340">
        <w:rPr>
          <w:rFonts w:asciiTheme="majorBidi" w:hAnsiTheme="majorBidi" w:cstheme="majorBidi"/>
        </w:rPr>
        <w:t xml:space="preserve">[1] World Health Organization, “Air Quality Guidelines: Global Update 2005,” WHO Regional Office for Europe, </w:t>
      </w:r>
      <w:hyperlink r:id="rId22" w:tgtFrame="_new" w:history="1">
        <w:r w:rsidRPr="00C14340">
          <w:rPr>
            <w:rStyle w:val="Hyperlink"/>
            <w:rFonts w:asciiTheme="majorBidi" w:hAnsiTheme="majorBidi" w:cstheme="majorBidi"/>
          </w:rPr>
          <w:t>https://www.who.int/publications/i/item/WHO-SDE-PHE-OEH-06.02</w:t>
        </w:r>
      </w:hyperlink>
      <w:r w:rsidRPr="00C14340">
        <w:rPr>
          <w:rFonts w:asciiTheme="majorBidi" w:hAnsiTheme="majorBidi" w:cstheme="majorBidi"/>
        </w:rPr>
        <w:t xml:space="preserve"> (accessed Apr. 30, 2025).</w:t>
      </w:r>
    </w:p>
    <w:p w14:paraId="65EC7E85" w14:textId="77777777" w:rsidR="00C14340" w:rsidRPr="00376DFA" w:rsidRDefault="00C14340" w:rsidP="00896659">
      <w:pPr>
        <w:jc w:val="both"/>
        <w:rPr>
          <w:rFonts w:asciiTheme="majorBidi" w:hAnsiTheme="majorBidi" w:cstheme="majorBidi"/>
        </w:rPr>
      </w:pPr>
    </w:p>
    <w:sectPr w:rsidR="00C14340" w:rsidRPr="00376D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D7A10"/>
    <w:multiLevelType w:val="multilevel"/>
    <w:tmpl w:val="3B5ED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76D92"/>
    <w:multiLevelType w:val="multilevel"/>
    <w:tmpl w:val="AA527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A54A9"/>
    <w:multiLevelType w:val="multilevel"/>
    <w:tmpl w:val="2C648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E15B0C"/>
    <w:multiLevelType w:val="multilevel"/>
    <w:tmpl w:val="2AEA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013814"/>
    <w:multiLevelType w:val="multilevel"/>
    <w:tmpl w:val="1DB61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532BE3"/>
    <w:multiLevelType w:val="multilevel"/>
    <w:tmpl w:val="C61CDD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D74602"/>
    <w:multiLevelType w:val="hybridMultilevel"/>
    <w:tmpl w:val="7B9C84EA"/>
    <w:lvl w:ilvl="0" w:tplc="FFFFFFFF">
      <w:start w:val="1"/>
      <w:numFmt w:val="upperLetter"/>
      <w:lvlText w:val="%1."/>
      <w:lvlJc w:val="left"/>
      <w:pPr>
        <w:ind w:left="720" w:hanging="360"/>
      </w:pPr>
    </w:lvl>
    <w:lvl w:ilvl="1" w:tplc="4C090015">
      <w:start w:val="1"/>
      <w:numFmt w:val="upperLetter"/>
      <w:lvlText w:val="%2."/>
      <w:lvlJc w:val="left"/>
      <w:pPr>
        <w:ind w:left="36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14D3E55"/>
    <w:multiLevelType w:val="hybridMultilevel"/>
    <w:tmpl w:val="14A8DDFA"/>
    <w:lvl w:ilvl="0" w:tplc="4C09000F">
      <w:start w:val="1"/>
      <w:numFmt w:val="decimal"/>
      <w:lvlText w:val="%1."/>
      <w:lvlJc w:val="left"/>
      <w:pPr>
        <w:ind w:left="720" w:hanging="360"/>
      </w:pPr>
    </w:lvl>
    <w:lvl w:ilvl="1" w:tplc="F2902004">
      <w:start w:val="1"/>
      <w:numFmt w:val="upperLetter"/>
      <w:lvlText w:val="%2."/>
      <w:lvlJc w:val="left"/>
      <w:pPr>
        <w:ind w:left="1440" w:hanging="360"/>
      </w:pPr>
      <w:rPr>
        <w:rFonts w:hint="default"/>
      </w:r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22B11754"/>
    <w:multiLevelType w:val="multilevel"/>
    <w:tmpl w:val="66FC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B1287B"/>
    <w:multiLevelType w:val="hybridMultilevel"/>
    <w:tmpl w:val="475E5ADC"/>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0" w15:restartNumberingAfterBreak="0">
    <w:nsid w:val="23052FFC"/>
    <w:multiLevelType w:val="multilevel"/>
    <w:tmpl w:val="4B7A1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2F787B"/>
    <w:multiLevelType w:val="multilevel"/>
    <w:tmpl w:val="9A540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AC1657"/>
    <w:multiLevelType w:val="multilevel"/>
    <w:tmpl w:val="67C66DCA"/>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FE309B"/>
    <w:multiLevelType w:val="multilevel"/>
    <w:tmpl w:val="D322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416F57"/>
    <w:multiLevelType w:val="multilevel"/>
    <w:tmpl w:val="3FC26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C11480"/>
    <w:multiLevelType w:val="hybridMultilevel"/>
    <w:tmpl w:val="35464470"/>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6" w15:restartNumberingAfterBreak="0">
    <w:nsid w:val="37852AA4"/>
    <w:multiLevelType w:val="multilevel"/>
    <w:tmpl w:val="2D98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AE344E"/>
    <w:multiLevelType w:val="hybridMultilevel"/>
    <w:tmpl w:val="921CCA94"/>
    <w:lvl w:ilvl="0" w:tplc="4C090015">
      <w:start w:val="1"/>
      <w:numFmt w:val="upperLetter"/>
      <w:lvlText w:val="%1."/>
      <w:lvlJc w:val="left"/>
      <w:pPr>
        <w:ind w:left="720" w:hanging="360"/>
      </w:pPr>
    </w:lvl>
    <w:lvl w:ilvl="1" w:tplc="4C090019">
      <w:start w:val="1"/>
      <w:numFmt w:val="lowerLetter"/>
      <w:lvlText w:val="%2."/>
      <w:lvlJc w:val="left"/>
      <w:pPr>
        <w:ind w:left="1069"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8" w15:restartNumberingAfterBreak="0">
    <w:nsid w:val="3BEF0A14"/>
    <w:multiLevelType w:val="multilevel"/>
    <w:tmpl w:val="9B8CD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F62D57"/>
    <w:multiLevelType w:val="multilevel"/>
    <w:tmpl w:val="32C29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974FF8"/>
    <w:multiLevelType w:val="multilevel"/>
    <w:tmpl w:val="4E5A4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5553A3"/>
    <w:multiLevelType w:val="multilevel"/>
    <w:tmpl w:val="AA68C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274A75"/>
    <w:multiLevelType w:val="multilevel"/>
    <w:tmpl w:val="57E0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5208C9"/>
    <w:multiLevelType w:val="multilevel"/>
    <w:tmpl w:val="595A3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91301C"/>
    <w:multiLevelType w:val="multilevel"/>
    <w:tmpl w:val="E0384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EE48B0"/>
    <w:multiLevelType w:val="multilevel"/>
    <w:tmpl w:val="7FD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B4324F"/>
    <w:multiLevelType w:val="multilevel"/>
    <w:tmpl w:val="75C0D4F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1985E88"/>
    <w:multiLevelType w:val="multilevel"/>
    <w:tmpl w:val="BCF6B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71243D"/>
    <w:multiLevelType w:val="multilevel"/>
    <w:tmpl w:val="BC408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CF79F6"/>
    <w:multiLevelType w:val="multilevel"/>
    <w:tmpl w:val="45AE7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882B37"/>
    <w:multiLevelType w:val="multilevel"/>
    <w:tmpl w:val="4FD03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D00E54"/>
    <w:multiLevelType w:val="multilevel"/>
    <w:tmpl w:val="CB0C0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E66C43"/>
    <w:multiLevelType w:val="multilevel"/>
    <w:tmpl w:val="238E8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4B71E9"/>
    <w:multiLevelType w:val="multilevel"/>
    <w:tmpl w:val="71C2B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0D4877"/>
    <w:multiLevelType w:val="multilevel"/>
    <w:tmpl w:val="89203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2A683F"/>
    <w:multiLevelType w:val="multilevel"/>
    <w:tmpl w:val="279E3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7B5764"/>
    <w:multiLevelType w:val="multilevel"/>
    <w:tmpl w:val="E4AC1DFE"/>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7" w15:restartNumberingAfterBreak="0">
    <w:nsid w:val="799360E9"/>
    <w:multiLevelType w:val="multilevel"/>
    <w:tmpl w:val="353A6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3E2382"/>
    <w:multiLevelType w:val="hybridMultilevel"/>
    <w:tmpl w:val="C6821DB8"/>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num w:numId="1" w16cid:durableId="1808086095">
    <w:abstractNumId w:val="14"/>
  </w:num>
  <w:num w:numId="2" w16cid:durableId="2088530675">
    <w:abstractNumId w:val="12"/>
  </w:num>
  <w:num w:numId="3" w16cid:durableId="1524974882">
    <w:abstractNumId w:val="5"/>
  </w:num>
  <w:num w:numId="4" w16cid:durableId="1072316256">
    <w:abstractNumId w:val="18"/>
  </w:num>
  <w:num w:numId="5" w16cid:durableId="666784723">
    <w:abstractNumId w:val="1"/>
  </w:num>
  <w:num w:numId="6" w16cid:durableId="1594123960">
    <w:abstractNumId w:val="33"/>
  </w:num>
  <w:num w:numId="7" w16cid:durableId="1101292833">
    <w:abstractNumId w:val="35"/>
  </w:num>
  <w:num w:numId="8" w16cid:durableId="1731876960">
    <w:abstractNumId w:val="32"/>
  </w:num>
  <w:num w:numId="9" w16cid:durableId="5331775">
    <w:abstractNumId w:val="3"/>
  </w:num>
  <w:num w:numId="10" w16cid:durableId="810902038">
    <w:abstractNumId w:val="23"/>
  </w:num>
  <w:num w:numId="11" w16cid:durableId="1527255755">
    <w:abstractNumId w:val="15"/>
  </w:num>
  <w:num w:numId="12" w16cid:durableId="860319481">
    <w:abstractNumId w:val="7"/>
  </w:num>
  <w:num w:numId="13" w16cid:durableId="1700474006">
    <w:abstractNumId w:val="17"/>
  </w:num>
  <w:num w:numId="14" w16cid:durableId="1845121774">
    <w:abstractNumId w:val="6"/>
  </w:num>
  <w:num w:numId="15" w16cid:durableId="1339188235">
    <w:abstractNumId w:val="26"/>
  </w:num>
  <w:num w:numId="16" w16cid:durableId="1382023781">
    <w:abstractNumId w:val="24"/>
  </w:num>
  <w:num w:numId="17" w16cid:durableId="221332343">
    <w:abstractNumId w:val="31"/>
  </w:num>
  <w:num w:numId="18" w16cid:durableId="1106538422">
    <w:abstractNumId w:val="29"/>
  </w:num>
  <w:num w:numId="19" w16cid:durableId="240453763">
    <w:abstractNumId w:val="25"/>
  </w:num>
  <w:num w:numId="20" w16cid:durableId="389887755">
    <w:abstractNumId w:val="10"/>
  </w:num>
  <w:num w:numId="21" w16cid:durableId="1077628030">
    <w:abstractNumId w:val="21"/>
  </w:num>
  <w:num w:numId="22" w16cid:durableId="1563252542">
    <w:abstractNumId w:val="34"/>
  </w:num>
  <w:num w:numId="23" w16cid:durableId="1145858681">
    <w:abstractNumId w:val="4"/>
  </w:num>
  <w:num w:numId="24" w16cid:durableId="254099955">
    <w:abstractNumId w:val="20"/>
  </w:num>
  <w:num w:numId="25" w16cid:durableId="171453402">
    <w:abstractNumId w:val="36"/>
  </w:num>
  <w:num w:numId="26" w16cid:durableId="110977250">
    <w:abstractNumId w:val="30"/>
  </w:num>
  <w:num w:numId="27" w16cid:durableId="1896967299">
    <w:abstractNumId w:val="37"/>
  </w:num>
  <w:num w:numId="28" w16cid:durableId="810563401">
    <w:abstractNumId w:val="8"/>
  </w:num>
  <w:num w:numId="29" w16cid:durableId="2080134858">
    <w:abstractNumId w:val="11"/>
  </w:num>
  <w:num w:numId="30" w16cid:durableId="899948082">
    <w:abstractNumId w:val="9"/>
  </w:num>
  <w:num w:numId="31" w16cid:durableId="145707220">
    <w:abstractNumId w:val="13"/>
  </w:num>
  <w:num w:numId="32" w16cid:durableId="1746805102">
    <w:abstractNumId w:val="27"/>
  </w:num>
  <w:num w:numId="33" w16cid:durableId="1501196614">
    <w:abstractNumId w:val="28"/>
  </w:num>
  <w:num w:numId="34" w16cid:durableId="946155177">
    <w:abstractNumId w:val="0"/>
  </w:num>
  <w:num w:numId="35" w16cid:durableId="1061754080">
    <w:abstractNumId w:val="16"/>
  </w:num>
  <w:num w:numId="36" w16cid:durableId="1062483771">
    <w:abstractNumId w:val="19"/>
  </w:num>
  <w:num w:numId="37" w16cid:durableId="559755548">
    <w:abstractNumId w:val="22"/>
  </w:num>
  <w:num w:numId="38" w16cid:durableId="507404565">
    <w:abstractNumId w:val="2"/>
  </w:num>
  <w:num w:numId="39" w16cid:durableId="165684115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E49"/>
    <w:rsid w:val="00010520"/>
    <w:rsid w:val="00014841"/>
    <w:rsid w:val="0004775B"/>
    <w:rsid w:val="00061770"/>
    <w:rsid w:val="00220F49"/>
    <w:rsid w:val="002D6154"/>
    <w:rsid w:val="00305CCE"/>
    <w:rsid w:val="00316918"/>
    <w:rsid w:val="00376DFA"/>
    <w:rsid w:val="00466B57"/>
    <w:rsid w:val="00493781"/>
    <w:rsid w:val="00513040"/>
    <w:rsid w:val="0053260B"/>
    <w:rsid w:val="005A1D0E"/>
    <w:rsid w:val="005D695A"/>
    <w:rsid w:val="006068D4"/>
    <w:rsid w:val="00671FB3"/>
    <w:rsid w:val="007578CA"/>
    <w:rsid w:val="00791455"/>
    <w:rsid w:val="007F6E49"/>
    <w:rsid w:val="00820C87"/>
    <w:rsid w:val="008356EF"/>
    <w:rsid w:val="00896659"/>
    <w:rsid w:val="008C3260"/>
    <w:rsid w:val="008D46A3"/>
    <w:rsid w:val="00921A0E"/>
    <w:rsid w:val="009E0C72"/>
    <w:rsid w:val="00A57CBB"/>
    <w:rsid w:val="00A62F8F"/>
    <w:rsid w:val="00AF7A2E"/>
    <w:rsid w:val="00C14340"/>
    <w:rsid w:val="00C5348C"/>
    <w:rsid w:val="00E71792"/>
    <w:rsid w:val="00ED0D56"/>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F49BF"/>
  <w15:chartTrackingRefBased/>
  <w15:docId w15:val="{05BFA865-B8B1-4422-A68F-466BEF67E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6E4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F6E4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F6E4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F6E4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F6E4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F6E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6E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6E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6E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6E4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F6E4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F6E4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F6E4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F6E4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F6E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6E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6E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6E49"/>
    <w:rPr>
      <w:rFonts w:eastAsiaTheme="majorEastAsia" w:cstheme="majorBidi"/>
      <w:color w:val="272727" w:themeColor="text1" w:themeTint="D8"/>
    </w:rPr>
  </w:style>
  <w:style w:type="paragraph" w:styleId="Title">
    <w:name w:val="Title"/>
    <w:basedOn w:val="Normal"/>
    <w:next w:val="Normal"/>
    <w:link w:val="TitleChar"/>
    <w:uiPriority w:val="10"/>
    <w:qFormat/>
    <w:rsid w:val="007F6E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E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6E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6E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6E49"/>
    <w:pPr>
      <w:spacing w:before="160"/>
      <w:jc w:val="center"/>
    </w:pPr>
    <w:rPr>
      <w:i/>
      <w:iCs/>
      <w:color w:val="404040" w:themeColor="text1" w:themeTint="BF"/>
    </w:rPr>
  </w:style>
  <w:style w:type="character" w:customStyle="1" w:styleId="QuoteChar">
    <w:name w:val="Quote Char"/>
    <w:basedOn w:val="DefaultParagraphFont"/>
    <w:link w:val="Quote"/>
    <w:uiPriority w:val="29"/>
    <w:rsid w:val="007F6E49"/>
    <w:rPr>
      <w:i/>
      <w:iCs/>
      <w:color w:val="404040" w:themeColor="text1" w:themeTint="BF"/>
    </w:rPr>
  </w:style>
  <w:style w:type="paragraph" w:styleId="ListParagraph">
    <w:name w:val="List Paragraph"/>
    <w:basedOn w:val="Normal"/>
    <w:uiPriority w:val="34"/>
    <w:qFormat/>
    <w:rsid w:val="007F6E49"/>
    <w:pPr>
      <w:ind w:left="720"/>
      <w:contextualSpacing/>
    </w:pPr>
  </w:style>
  <w:style w:type="character" w:styleId="IntenseEmphasis">
    <w:name w:val="Intense Emphasis"/>
    <w:basedOn w:val="DefaultParagraphFont"/>
    <w:uiPriority w:val="21"/>
    <w:qFormat/>
    <w:rsid w:val="007F6E49"/>
    <w:rPr>
      <w:i/>
      <w:iCs/>
      <w:color w:val="2F5496" w:themeColor="accent1" w:themeShade="BF"/>
    </w:rPr>
  </w:style>
  <w:style w:type="paragraph" w:styleId="IntenseQuote">
    <w:name w:val="Intense Quote"/>
    <w:basedOn w:val="Normal"/>
    <w:next w:val="Normal"/>
    <w:link w:val="IntenseQuoteChar"/>
    <w:uiPriority w:val="30"/>
    <w:qFormat/>
    <w:rsid w:val="007F6E4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F6E49"/>
    <w:rPr>
      <w:i/>
      <w:iCs/>
      <w:color w:val="2F5496" w:themeColor="accent1" w:themeShade="BF"/>
    </w:rPr>
  </w:style>
  <w:style w:type="character" w:styleId="IntenseReference">
    <w:name w:val="Intense Reference"/>
    <w:basedOn w:val="DefaultParagraphFont"/>
    <w:uiPriority w:val="32"/>
    <w:qFormat/>
    <w:rsid w:val="007F6E49"/>
    <w:rPr>
      <w:b/>
      <w:bCs/>
      <w:smallCaps/>
      <w:color w:val="2F5496" w:themeColor="accent1" w:themeShade="BF"/>
      <w:spacing w:val="5"/>
    </w:rPr>
  </w:style>
  <w:style w:type="table" w:styleId="PlainTable3">
    <w:name w:val="Plain Table 3"/>
    <w:basedOn w:val="TableNormal"/>
    <w:uiPriority w:val="43"/>
    <w:rsid w:val="00E7179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717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E71792"/>
    <w:rPr>
      <w:b/>
      <w:bCs/>
    </w:rPr>
  </w:style>
  <w:style w:type="character" w:styleId="HTMLCode">
    <w:name w:val="HTML Code"/>
    <w:basedOn w:val="DefaultParagraphFont"/>
    <w:uiPriority w:val="99"/>
    <w:semiHidden/>
    <w:unhideWhenUsed/>
    <w:rsid w:val="00E71792"/>
    <w:rPr>
      <w:rFonts w:ascii="Courier New" w:eastAsia="Times New Roman" w:hAnsi="Courier New" w:cs="Courier New"/>
      <w:sz w:val="20"/>
      <w:szCs w:val="20"/>
    </w:rPr>
  </w:style>
  <w:style w:type="table" w:styleId="PlainTable1">
    <w:name w:val="Plain Table 1"/>
    <w:basedOn w:val="TableNormal"/>
    <w:uiPriority w:val="41"/>
    <w:rsid w:val="00220F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220F49"/>
    <w:rPr>
      <w:color w:val="0563C1" w:themeColor="hyperlink"/>
      <w:u w:val="single"/>
    </w:rPr>
  </w:style>
  <w:style w:type="character" w:styleId="UnresolvedMention">
    <w:name w:val="Unresolved Mention"/>
    <w:basedOn w:val="DefaultParagraphFont"/>
    <w:uiPriority w:val="99"/>
    <w:semiHidden/>
    <w:unhideWhenUsed/>
    <w:rsid w:val="00220F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426">
      <w:bodyDiv w:val="1"/>
      <w:marLeft w:val="0"/>
      <w:marRight w:val="0"/>
      <w:marTop w:val="0"/>
      <w:marBottom w:val="0"/>
      <w:divBdr>
        <w:top w:val="none" w:sz="0" w:space="0" w:color="auto"/>
        <w:left w:val="none" w:sz="0" w:space="0" w:color="auto"/>
        <w:bottom w:val="none" w:sz="0" w:space="0" w:color="auto"/>
        <w:right w:val="none" w:sz="0" w:space="0" w:color="auto"/>
      </w:divBdr>
    </w:div>
    <w:div w:id="63259835">
      <w:bodyDiv w:val="1"/>
      <w:marLeft w:val="0"/>
      <w:marRight w:val="0"/>
      <w:marTop w:val="0"/>
      <w:marBottom w:val="0"/>
      <w:divBdr>
        <w:top w:val="none" w:sz="0" w:space="0" w:color="auto"/>
        <w:left w:val="none" w:sz="0" w:space="0" w:color="auto"/>
        <w:bottom w:val="none" w:sz="0" w:space="0" w:color="auto"/>
        <w:right w:val="none" w:sz="0" w:space="0" w:color="auto"/>
      </w:divBdr>
    </w:div>
    <w:div w:id="69546122">
      <w:bodyDiv w:val="1"/>
      <w:marLeft w:val="0"/>
      <w:marRight w:val="0"/>
      <w:marTop w:val="0"/>
      <w:marBottom w:val="0"/>
      <w:divBdr>
        <w:top w:val="none" w:sz="0" w:space="0" w:color="auto"/>
        <w:left w:val="none" w:sz="0" w:space="0" w:color="auto"/>
        <w:bottom w:val="none" w:sz="0" w:space="0" w:color="auto"/>
        <w:right w:val="none" w:sz="0" w:space="0" w:color="auto"/>
      </w:divBdr>
    </w:div>
    <w:div w:id="85925323">
      <w:bodyDiv w:val="1"/>
      <w:marLeft w:val="0"/>
      <w:marRight w:val="0"/>
      <w:marTop w:val="0"/>
      <w:marBottom w:val="0"/>
      <w:divBdr>
        <w:top w:val="none" w:sz="0" w:space="0" w:color="auto"/>
        <w:left w:val="none" w:sz="0" w:space="0" w:color="auto"/>
        <w:bottom w:val="none" w:sz="0" w:space="0" w:color="auto"/>
        <w:right w:val="none" w:sz="0" w:space="0" w:color="auto"/>
      </w:divBdr>
    </w:div>
    <w:div w:id="109320115">
      <w:bodyDiv w:val="1"/>
      <w:marLeft w:val="0"/>
      <w:marRight w:val="0"/>
      <w:marTop w:val="0"/>
      <w:marBottom w:val="0"/>
      <w:divBdr>
        <w:top w:val="none" w:sz="0" w:space="0" w:color="auto"/>
        <w:left w:val="none" w:sz="0" w:space="0" w:color="auto"/>
        <w:bottom w:val="none" w:sz="0" w:space="0" w:color="auto"/>
        <w:right w:val="none" w:sz="0" w:space="0" w:color="auto"/>
      </w:divBdr>
    </w:div>
    <w:div w:id="124008561">
      <w:bodyDiv w:val="1"/>
      <w:marLeft w:val="0"/>
      <w:marRight w:val="0"/>
      <w:marTop w:val="0"/>
      <w:marBottom w:val="0"/>
      <w:divBdr>
        <w:top w:val="none" w:sz="0" w:space="0" w:color="auto"/>
        <w:left w:val="none" w:sz="0" w:space="0" w:color="auto"/>
        <w:bottom w:val="none" w:sz="0" w:space="0" w:color="auto"/>
        <w:right w:val="none" w:sz="0" w:space="0" w:color="auto"/>
      </w:divBdr>
      <w:divsChild>
        <w:div w:id="1954701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231744">
      <w:bodyDiv w:val="1"/>
      <w:marLeft w:val="0"/>
      <w:marRight w:val="0"/>
      <w:marTop w:val="0"/>
      <w:marBottom w:val="0"/>
      <w:divBdr>
        <w:top w:val="none" w:sz="0" w:space="0" w:color="auto"/>
        <w:left w:val="none" w:sz="0" w:space="0" w:color="auto"/>
        <w:bottom w:val="none" w:sz="0" w:space="0" w:color="auto"/>
        <w:right w:val="none" w:sz="0" w:space="0" w:color="auto"/>
      </w:divBdr>
    </w:div>
    <w:div w:id="230580826">
      <w:bodyDiv w:val="1"/>
      <w:marLeft w:val="0"/>
      <w:marRight w:val="0"/>
      <w:marTop w:val="0"/>
      <w:marBottom w:val="0"/>
      <w:divBdr>
        <w:top w:val="none" w:sz="0" w:space="0" w:color="auto"/>
        <w:left w:val="none" w:sz="0" w:space="0" w:color="auto"/>
        <w:bottom w:val="none" w:sz="0" w:space="0" w:color="auto"/>
        <w:right w:val="none" w:sz="0" w:space="0" w:color="auto"/>
      </w:divBdr>
    </w:div>
    <w:div w:id="308831446">
      <w:bodyDiv w:val="1"/>
      <w:marLeft w:val="0"/>
      <w:marRight w:val="0"/>
      <w:marTop w:val="0"/>
      <w:marBottom w:val="0"/>
      <w:divBdr>
        <w:top w:val="none" w:sz="0" w:space="0" w:color="auto"/>
        <w:left w:val="none" w:sz="0" w:space="0" w:color="auto"/>
        <w:bottom w:val="none" w:sz="0" w:space="0" w:color="auto"/>
        <w:right w:val="none" w:sz="0" w:space="0" w:color="auto"/>
      </w:divBdr>
    </w:div>
    <w:div w:id="346257290">
      <w:bodyDiv w:val="1"/>
      <w:marLeft w:val="0"/>
      <w:marRight w:val="0"/>
      <w:marTop w:val="0"/>
      <w:marBottom w:val="0"/>
      <w:divBdr>
        <w:top w:val="none" w:sz="0" w:space="0" w:color="auto"/>
        <w:left w:val="none" w:sz="0" w:space="0" w:color="auto"/>
        <w:bottom w:val="none" w:sz="0" w:space="0" w:color="auto"/>
        <w:right w:val="none" w:sz="0" w:space="0" w:color="auto"/>
      </w:divBdr>
    </w:div>
    <w:div w:id="348411238">
      <w:bodyDiv w:val="1"/>
      <w:marLeft w:val="0"/>
      <w:marRight w:val="0"/>
      <w:marTop w:val="0"/>
      <w:marBottom w:val="0"/>
      <w:divBdr>
        <w:top w:val="none" w:sz="0" w:space="0" w:color="auto"/>
        <w:left w:val="none" w:sz="0" w:space="0" w:color="auto"/>
        <w:bottom w:val="none" w:sz="0" w:space="0" w:color="auto"/>
        <w:right w:val="none" w:sz="0" w:space="0" w:color="auto"/>
      </w:divBdr>
    </w:div>
    <w:div w:id="353850370">
      <w:bodyDiv w:val="1"/>
      <w:marLeft w:val="0"/>
      <w:marRight w:val="0"/>
      <w:marTop w:val="0"/>
      <w:marBottom w:val="0"/>
      <w:divBdr>
        <w:top w:val="none" w:sz="0" w:space="0" w:color="auto"/>
        <w:left w:val="none" w:sz="0" w:space="0" w:color="auto"/>
        <w:bottom w:val="none" w:sz="0" w:space="0" w:color="auto"/>
        <w:right w:val="none" w:sz="0" w:space="0" w:color="auto"/>
      </w:divBdr>
    </w:div>
    <w:div w:id="365447540">
      <w:bodyDiv w:val="1"/>
      <w:marLeft w:val="0"/>
      <w:marRight w:val="0"/>
      <w:marTop w:val="0"/>
      <w:marBottom w:val="0"/>
      <w:divBdr>
        <w:top w:val="none" w:sz="0" w:space="0" w:color="auto"/>
        <w:left w:val="none" w:sz="0" w:space="0" w:color="auto"/>
        <w:bottom w:val="none" w:sz="0" w:space="0" w:color="auto"/>
        <w:right w:val="none" w:sz="0" w:space="0" w:color="auto"/>
      </w:divBdr>
    </w:div>
    <w:div w:id="376054064">
      <w:bodyDiv w:val="1"/>
      <w:marLeft w:val="0"/>
      <w:marRight w:val="0"/>
      <w:marTop w:val="0"/>
      <w:marBottom w:val="0"/>
      <w:divBdr>
        <w:top w:val="none" w:sz="0" w:space="0" w:color="auto"/>
        <w:left w:val="none" w:sz="0" w:space="0" w:color="auto"/>
        <w:bottom w:val="none" w:sz="0" w:space="0" w:color="auto"/>
        <w:right w:val="none" w:sz="0" w:space="0" w:color="auto"/>
      </w:divBdr>
    </w:div>
    <w:div w:id="394276745">
      <w:bodyDiv w:val="1"/>
      <w:marLeft w:val="0"/>
      <w:marRight w:val="0"/>
      <w:marTop w:val="0"/>
      <w:marBottom w:val="0"/>
      <w:divBdr>
        <w:top w:val="none" w:sz="0" w:space="0" w:color="auto"/>
        <w:left w:val="none" w:sz="0" w:space="0" w:color="auto"/>
        <w:bottom w:val="none" w:sz="0" w:space="0" w:color="auto"/>
        <w:right w:val="none" w:sz="0" w:space="0" w:color="auto"/>
      </w:divBdr>
    </w:div>
    <w:div w:id="452359828">
      <w:bodyDiv w:val="1"/>
      <w:marLeft w:val="0"/>
      <w:marRight w:val="0"/>
      <w:marTop w:val="0"/>
      <w:marBottom w:val="0"/>
      <w:divBdr>
        <w:top w:val="none" w:sz="0" w:space="0" w:color="auto"/>
        <w:left w:val="none" w:sz="0" w:space="0" w:color="auto"/>
        <w:bottom w:val="none" w:sz="0" w:space="0" w:color="auto"/>
        <w:right w:val="none" w:sz="0" w:space="0" w:color="auto"/>
      </w:divBdr>
    </w:div>
    <w:div w:id="471288565">
      <w:bodyDiv w:val="1"/>
      <w:marLeft w:val="0"/>
      <w:marRight w:val="0"/>
      <w:marTop w:val="0"/>
      <w:marBottom w:val="0"/>
      <w:divBdr>
        <w:top w:val="none" w:sz="0" w:space="0" w:color="auto"/>
        <w:left w:val="none" w:sz="0" w:space="0" w:color="auto"/>
        <w:bottom w:val="none" w:sz="0" w:space="0" w:color="auto"/>
        <w:right w:val="none" w:sz="0" w:space="0" w:color="auto"/>
      </w:divBdr>
    </w:div>
    <w:div w:id="471604520">
      <w:bodyDiv w:val="1"/>
      <w:marLeft w:val="0"/>
      <w:marRight w:val="0"/>
      <w:marTop w:val="0"/>
      <w:marBottom w:val="0"/>
      <w:divBdr>
        <w:top w:val="none" w:sz="0" w:space="0" w:color="auto"/>
        <w:left w:val="none" w:sz="0" w:space="0" w:color="auto"/>
        <w:bottom w:val="none" w:sz="0" w:space="0" w:color="auto"/>
        <w:right w:val="none" w:sz="0" w:space="0" w:color="auto"/>
      </w:divBdr>
    </w:div>
    <w:div w:id="519274465">
      <w:bodyDiv w:val="1"/>
      <w:marLeft w:val="0"/>
      <w:marRight w:val="0"/>
      <w:marTop w:val="0"/>
      <w:marBottom w:val="0"/>
      <w:divBdr>
        <w:top w:val="none" w:sz="0" w:space="0" w:color="auto"/>
        <w:left w:val="none" w:sz="0" w:space="0" w:color="auto"/>
        <w:bottom w:val="none" w:sz="0" w:space="0" w:color="auto"/>
        <w:right w:val="none" w:sz="0" w:space="0" w:color="auto"/>
      </w:divBdr>
    </w:div>
    <w:div w:id="551499272">
      <w:bodyDiv w:val="1"/>
      <w:marLeft w:val="0"/>
      <w:marRight w:val="0"/>
      <w:marTop w:val="0"/>
      <w:marBottom w:val="0"/>
      <w:divBdr>
        <w:top w:val="none" w:sz="0" w:space="0" w:color="auto"/>
        <w:left w:val="none" w:sz="0" w:space="0" w:color="auto"/>
        <w:bottom w:val="none" w:sz="0" w:space="0" w:color="auto"/>
        <w:right w:val="none" w:sz="0" w:space="0" w:color="auto"/>
      </w:divBdr>
    </w:div>
    <w:div w:id="563881052">
      <w:bodyDiv w:val="1"/>
      <w:marLeft w:val="0"/>
      <w:marRight w:val="0"/>
      <w:marTop w:val="0"/>
      <w:marBottom w:val="0"/>
      <w:divBdr>
        <w:top w:val="none" w:sz="0" w:space="0" w:color="auto"/>
        <w:left w:val="none" w:sz="0" w:space="0" w:color="auto"/>
        <w:bottom w:val="none" w:sz="0" w:space="0" w:color="auto"/>
        <w:right w:val="none" w:sz="0" w:space="0" w:color="auto"/>
      </w:divBdr>
    </w:div>
    <w:div w:id="579173023">
      <w:bodyDiv w:val="1"/>
      <w:marLeft w:val="0"/>
      <w:marRight w:val="0"/>
      <w:marTop w:val="0"/>
      <w:marBottom w:val="0"/>
      <w:divBdr>
        <w:top w:val="none" w:sz="0" w:space="0" w:color="auto"/>
        <w:left w:val="none" w:sz="0" w:space="0" w:color="auto"/>
        <w:bottom w:val="none" w:sz="0" w:space="0" w:color="auto"/>
        <w:right w:val="none" w:sz="0" w:space="0" w:color="auto"/>
      </w:divBdr>
    </w:div>
    <w:div w:id="664548280">
      <w:bodyDiv w:val="1"/>
      <w:marLeft w:val="0"/>
      <w:marRight w:val="0"/>
      <w:marTop w:val="0"/>
      <w:marBottom w:val="0"/>
      <w:divBdr>
        <w:top w:val="none" w:sz="0" w:space="0" w:color="auto"/>
        <w:left w:val="none" w:sz="0" w:space="0" w:color="auto"/>
        <w:bottom w:val="none" w:sz="0" w:space="0" w:color="auto"/>
        <w:right w:val="none" w:sz="0" w:space="0" w:color="auto"/>
      </w:divBdr>
    </w:div>
    <w:div w:id="708728462">
      <w:bodyDiv w:val="1"/>
      <w:marLeft w:val="0"/>
      <w:marRight w:val="0"/>
      <w:marTop w:val="0"/>
      <w:marBottom w:val="0"/>
      <w:divBdr>
        <w:top w:val="none" w:sz="0" w:space="0" w:color="auto"/>
        <w:left w:val="none" w:sz="0" w:space="0" w:color="auto"/>
        <w:bottom w:val="none" w:sz="0" w:space="0" w:color="auto"/>
        <w:right w:val="none" w:sz="0" w:space="0" w:color="auto"/>
      </w:divBdr>
    </w:div>
    <w:div w:id="727873622">
      <w:bodyDiv w:val="1"/>
      <w:marLeft w:val="0"/>
      <w:marRight w:val="0"/>
      <w:marTop w:val="0"/>
      <w:marBottom w:val="0"/>
      <w:divBdr>
        <w:top w:val="none" w:sz="0" w:space="0" w:color="auto"/>
        <w:left w:val="none" w:sz="0" w:space="0" w:color="auto"/>
        <w:bottom w:val="none" w:sz="0" w:space="0" w:color="auto"/>
        <w:right w:val="none" w:sz="0" w:space="0" w:color="auto"/>
      </w:divBdr>
    </w:div>
    <w:div w:id="756561953">
      <w:bodyDiv w:val="1"/>
      <w:marLeft w:val="0"/>
      <w:marRight w:val="0"/>
      <w:marTop w:val="0"/>
      <w:marBottom w:val="0"/>
      <w:divBdr>
        <w:top w:val="none" w:sz="0" w:space="0" w:color="auto"/>
        <w:left w:val="none" w:sz="0" w:space="0" w:color="auto"/>
        <w:bottom w:val="none" w:sz="0" w:space="0" w:color="auto"/>
        <w:right w:val="none" w:sz="0" w:space="0" w:color="auto"/>
      </w:divBdr>
    </w:div>
    <w:div w:id="846285537">
      <w:bodyDiv w:val="1"/>
      <w:marLeft w:val="0"/>
      <w:marRight w:val="0"/>
      <w:marTop w:val="0"/>
      <w:marBottom w:val="0"/>
      <w:divBdr>
        <w:top w:val="none" w:sz="0" w:space="0" w:color="auto"/>
        <w:left w:val="none" w:sz="0" w:space="0" w:color="auto"/>
        <w:bottom w:val="none" w:sz="0" w:space="0" w:color="auto"/>
        <w:right w:val="none" w:sz="0" w:space="0" w:color="auto"/>
      </w:divBdr>
    </w:div>
    <w:div w:id="891237175">
      <w:bodyDiv w:val="1"/>
      <w:marLeft w:val="0"/>
      <w:marRight w:val="0"/>
      <w:marTop w:val="0"/>
      <w:marBottom w:val="0"/>
      <w:divBdr>
        <w:top w:val="none" w:sz="0" w:space="0" w:color="auto"/>
        <w:left w:val="none" w:sz="0" w:space="0" w:color="auto"/>
        <w:bottom w:val="none" w:sz="0" w:space="0" w:color="auto"/>
        <w:right w:val="none" w:sz="0" w:space="0" w:color="auto"/>
      </w:divBdr>
    </w:div>
    <w:div w:id="898712933">
      <w:bodyDiv w:val="1"/>
      <w:marLeft w:val="0"/>
      <w:marRight w:val="0"/>
      <w:marTop w:val="0"/>
      <w:marBottom w:val="0"/>
      <w:divBdr>
        <w:top w:val="none" w:sz="0" w:space="0" w:color="auto"/>
        <w:left w:val="none" w:sz="0" w:space="0" w:color="auto"/>
        <w:bottom w:val="none" w:sz="0" w:space="0" w:color="auto"/>
        <w:right w:val="none" w:sz="0" w:space="0" w:color="auto"/>
      </w:divBdr>
    </w:div>
    <w:div w:id="924266694">
      <w:bodyDiv w:val="1"/>
      <w:marLeft w:val="0"/>
      <w:marRight w:val="0"/>
      <w:marTop w:val="0"/>
      <w:marBottom w:val="0"/>
      <w:divBdr>
        <w:top w:val="none" w:sz="0" w:space="0" w:color="auto"/>
        <w:left w:val="none" w:sz="0" w:space="0" w:color="auto"/>
        <w:bottom w:val="none" w:sz="0" w:space="0" w:color="auto"/>
        <w:right w:val="none" w:sz="0" w:space="0" w:color="auto"/>
      </w:divBdr>
    </w:div>
    <w:div w:id="939141331">
      <w:bodyDiv w:val="1"/>
      <w:marLeft w:val="0"/>
      <w:marRight w:val="0"/>
      <w:marTop w:val="0"/>
      <w:marBottom w:val="0"/>
      <w:divBdr>
        <w:top w:val="none" w:sz="0" w:space="0" w:color="auto"/>
        <w:left w:val="none" w:sz="0" w:space="0" w:color="auto"/>
        <w:bottom w:val="none" w:sz="0" w:space="0" w:color="auto"/>
        <w:right w:val="none" w:sz="0" w:space="0" w:color="auto"/>
      </w:divBdr>
    </w:div>
    <w:div w:id="972171724">
      <w:bodyDiv w:val="1"/>
      <w:marLeft w:val="0"/>
      <w:marRight w:val="0"/>
      <w:marTop w:val="0"/>
      <w:marBottom w:val="0"/>
      <w:divBdr>
        <w:top w:val="none" w:sz="0" w:space="0" w:color="auto"/>
        <w:left w:val="none" w:sz="0" w:space="0" w:color="auto"/>
        <w:bottom w:val="none" w:sz="0" w:space="0" w:color="auto"/>
        <w:right w:val="none" w:sz="0" w:space="0" w:color="auto"/>
      </w:divBdr>
      <w:divsChild>
        <w:div w:id="43144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051289">
      <w:bodyDiv w:val="1"/>
      <w:marLeft w:val="0"/>
      <w:marRight w:val="0"/>
      <w:marTop w:val="0"/>
      <w:marBottom w:val="0"/>
      <w:divBdr>
        <w:top w:val="none" w:sz="0" w:space="0" w:color="auto"/>
        <w:left w:val="none" w:sz="0" w:space="0" w:color="auto"/>
        <w:bottom w:val="none" w:sz="0" w:space="0" w:color="auto"/>
        <w:right w:val="none" w:sz="0" w:space="0" w:color="auto"/>
      </w:divBdr>
    </w:div>
    <w:div w:id="1060859808">
      <w:bodyDiv w:val="1"/>
      <w:marLeft w:val="0"/>
      <w:marRight w:val="0"/>
      <w:marTop w:val="0"/>
      <w:marBottom w:val="0"/>
      <w:divBdr>
        <w:top w:val="none" w:sz="0" w:space="0" w:color="auto"/>
        <w:left w:val="none" w:sz="0" w:space="0" w:color="auto"/>
        <w:bottom w:val="none" w:sz="0" w:space="0" w:color="auto"/>
        <w:right w:val="none" w:sz="0" w:space="0" w:color="auto"/>
      </w:divBdr>
    </w:div>
    <w:div w:id="1070690482">
      <w:bodyDiv w:val="1"/>
      <w:marLeft w:val="0"/>
      <w:marRight w:val="0"/>
      <w:marTop w:val="0"/>
      <w:marBottom w:val="0"/>
      <w:divBdr>
        <w:top w:val="none" w:sz="0" w:space="0" w:color="auto"/>
        <w:left w:val="none" w:sz="0" w:space="0" w:color="auto"/>
        <w:bottom w:val="none" w:sz="0" w:space="0" w:color="auto"/>
        <w:right w:val="none" w:sz="0" w:space="0" w:color="auto"/>
      </w:divBdr>
    </w:div>
    <w:div w:id="1090546366">
      <w:bodyDiv w:val="1"/>
      <w:marLeft w:val="0"/>
      <w:marRight w:val="0"/>
      <w:marTop w:val="0"/>
      <w:marBottom w:val="0"/>
      <w:divBdr>
        <w:top w:val="none" w:sz="0" w:space="0" w:color="auto"/>
        <w:left w:val="none" w:sz="0" w:space="0" w:color="auto"/>
        <w:bottom w:val="none" w:sz="0" w:space="0" w:color="auto"/>
        <w:right w:val="none" w:sz="0" w:space="0" w:color="auto"/>
      </w:divBdr>
    </w:div>
    <w:div w:id="1095977844">
      <w:bodyDiv w:val="1"/>
      <w:marLeft w:val="0"/>
      <w:marRight w:val="0"/>
      <w:marTop w:val="0"/>
      <w:marBottom w:val="0"/>
      <w:divBdr>
        <w:top w:val="none" w:sz="0" w:space="0" w:color="auto"/>
        <w:left w:val="none" w:sz="0" w:space="0" w:color="auto"/>
        <w:bottom w:val="none" w:sz="0" w:space="0" w:color="auto"/>
        <w:right w:val="none" w:sz="0" w:space="0" w:color="auto"/>
      </w:divBdr>
    </w:div>
    <w:div w:id="1108935335">
      <w:bodyDiv w:val="1"/>
      <w:marLeft w:val="0"/>
      <w:marRight w:val="0"/>
      <w:marTop w:val="0"/>
      <w:marBottom w:val="0"/>
      <w:divBdr>
        <w:top w:val="none" w:sz="0" w:space="0" w:color="auto"/>
        <w:left w:val="none" w:sz="0" w:space="0" w:color="auto"/>
        <w:bottom w:val="none" w:sz="0" w:space="0" w:color="auto"/>
        <w:right w:val="none" w:sz="0" w:space="0" w:color="auto"/>
      </w:divBdr>
    </w:div>
    <w:div w:id="1182669902">
      <w:bodyDiv w:val="1"/>
      <w:marLeft w:val="0"/>
      <w:marRight w:val="0"/>
      <w:marTop w:val="0"/>
      <w:marBottom w:val="0"/>
      <w:divBdr>
        <w:top w:val="none" w:sz="0" w:space="0" w:color="auto"/>
        <w:left w:val="none" w:sz="0" w:space="0" w:color="auto"/>
        <w:bottom w:val="none" w:sz="0" w:space="0" w:color="auto"/>
        <w:right w:val="none" w:sz="0" w:space="0" w:color="auto"/>
      </w:divBdr>
    </w:div>
    <w:div w:id="1216896138">
      <w:bodyDiv w:val="1"/>
      <w:marLeft w:val="0"/>
      <w:marRight w:val="0"/>
      <w:marTop w:val="0"/>
      <w:marBottom w:val="0"/>
      <w:divBdr>
        <w:top w:val="none" w:sz="0" w:space="0" w:color="auto"/>
        <w:left w:val="none" w:sz="0" w:space="0" w:color="auto"/>
        <w:bottom w:val="none" w:sz="0" w:space="0" w:color="auto"/>
        <w:right w:val="none" w:sz="0" w:space="0" w:color="auto"/>
      </w:divBdr>
    </w:div>
    <w:div w:id="1313872001">
      <w:bodyDiv w:val="1"/>
      <w:marLeft w:val="0"/>
      <w:marRight w:val="0"/>
      <w:marTop w:val="0"/>
      <w:marBottom w:val="0"/>
      <w:divBdr>
        <w:top w:val="none" w:sz="0" w:space="0" w:color="auto"/>
        <w:left w:val="none" w:sz="0" w:space="0" w:color="auto"/>
        <w:bottom w:val="none" w:sz="0" w:space="0" w:color="auto"/>
        <w:right w:val="none" w:sz="0" w:space="0" w:color="auto"/>
      </w:divBdr>
      <w:divsChild>
        <w:div w:id="740444027">
          <w:blockQuote w:val="1"/>
          <w:marLeft w:val="720"/>
          <w:marRight w:val="720"/>
          <w:marTop w:val="100"/>
          <w:marBottom w:val="100"/>
          <w:divBdr>
            <w:top w:val="none" w:sz="0" w:space="0" w:color="auto"/>
            <w:left w:val="none" w:sz="0" w:space="0" w:color="auto"/>
            <w:bottom w:val="none" w:sz="0" w:space="0" w:color="auto"/>
            <w:right w:val="none" w:sz="0" w:space="0" w:color="auto"/>
          </w:divBdr>
        </w:div>
        <w:div w:id="16293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152412">
      <w:bodyDiv w:val="1"/>
      <w:marLeft w:val="0"/>
      <w:marRight w:val="0"/>
      <w:marTop w:val="0"/>
      <w:marBottom w:val="0"/>
      <w:divBdr>
        <w:top w:val="none" w:sz="0" w:space="0" w:color="auto"/>
        <w:left w:val="none" w:sz="0" w:space="0" w:color="auto"/>
        <w:bottom w:val="none" w:sz="0" w:space="0" w:color="auto"/>
        <w:right w:val="none" w:sz="0" w:space="0" w:color="auto"/>
      </w:divBdr>
    </w:div>
    <w:div w:id="1320845303">
      <w:bodyDiv w:val="1"/>
      <w:marLeft w:val="0"/>
      <w:marRight w:val="0"/>
      <w:marTop w:val="0"/>
      <w:marBottom w:val="0"/>
      <w:divBdr>
        <w:top w:val="none" w:sz="0" w:space="0" w:color="auto"/>
        <w:left w:val="none" w:sz="0" w:space="0" w:color="auto"/>
        <w:bottom w:val="none" w:sz="0" w:space="0" w:color="auto"/>
        <w:right w:val="none" w:sz="0" w:space="0" w:color="auto"/>
      </w:divBdr>
    </w:div>
    <w:div w:id="1338270374">
      <w:bodyDiv w:val="1"/>
      <w:marLeft w:val="0"/>
      <w:marRight w:val="0"/>
      <w:marTop w:val="0"/>
      <w:marBottom w:val="0"/>
      <w:divBdr>
        <w:top w:val="none" w:sz="0" w:space="0" w:color="auto"/>
        <w:left w:val="none" w:sz="0" w:space="0" w:color="auto"/>
        <w:bottom w:val="none" w:sz="0" w:space="0" w:color="auto"/>
        <w:right w:val="none" w:sz="0" w:space="0" w:color="auto"/>
      </w:divBdr>
    </w:div>
    <w:div w:id="1478762681">
      <w:bodyDiv w:val="1"/>
      <w:marLeft w:val="0"/>
      <w:marRight w:val="0"/>
      <w:marTop w:val="0"/>
      <w:marBottom w:val="0"/>
      <w:divBdr>
        <w:top w:val="none" w:sz="0" w:space="0" w:color="auto"/>
        <w:left w:val="none" w:sz="0" w:space="0" w:color="auto"/>
        <w:bottom w:val="none" w:sz="0" w:space="0" w:color="auto"/>
        <w:right w:val="none" w:sz="0" w:space="0" w:color="auto"/>
      </w:divBdr>
    </w:div>
    <w:div w:id="1481074736">
      <w:bodyDiv w:val="1"/>
      <w:marLeft w:val="0"/>
      <w:marRight w:val="0"/>
      <w:marTop w:val="0"/>
      <w:marBottom w:val="0"/>
      <w:divBdr>
        <w:top w:val="none" w:sz="0" w:space="0" w:color="auto"/>
        <w:left w:val="none" w:sz="0" w:space="0" w:color="auto"/>
        <w:bottom w:val="none" w:sz="0" w:space="0" w:color="auto"/>
        <w:right w:val="none" w:sz="0" w:space="0" w:color="auto"/>
      </w:divBdr>
    </w:div>
    <w:div w:id="1481076943">
      <w:bodyDiv w:val="1"/>
      <w:marLeft w:val="0"/>
      <w:marRight w:val="0"/>
      <w:marTop w:val="0"/>
      <w:marBottom w:val="0"/>
      <w:divBdr>
        <w:top w:val="none" w:sz="0" w:space="0" w:color="auto"/>
        <w:left w:val="none" w:sz="0" w:space="0" w:color="auto"/>
        <w:bottom w:val="none" w:sz="0" w:space="0" w:color="auto"/>
        <w:right w:val="none" w:sz="0" w:space="0" w:color="auto"/>
      </w:divBdr>
    </w:div>
    <w:div w:id="1489125561">
      <w:bodyDiv w:val="1"/>
      <w:marLeft w:val="0"/>
      <w:marRight w:val="0"/>
      <w:marTop w:val="0"/>
      <w:marBottom w:val="0"/>
      <w:divBdr>
        <w:top w:val="none" w:sz="0" w:space="0" w:color="auto"/>
        <w:left w:val="none" w:sz="0" w:space="0" w:color="auto"/>
        <w:bottom w:val="none" w:sz="0" w:space="0" w:color="auto"/>
        <w:right w:val="none" w:sz="0" w:space="0" w:color="auto"/>
      </w:divBdr>
    </w:div>
    <w:div w:id="1533498471">
      <w:bodyDiv w:val="1"/>
      <w:marLeft w:val="0"/>
      <w:marRight w:val="0"/>
      <w:marTop w:val="0"/>
      <w:marBottom w:val="0"/>
      <w:divBdr>
        <w:top w:val="none" w:sz="0" w:space="0" w:color="auto"/>
        <w:left w:val="none" w:sz="0" w:space="0" w:color="auto"/>
        <w:bottom w:val="none" w:sz="0" w:space="0" w:color="auto"/>
        <w:right w:val="none" w:sz="0" w:space="0" w:color="auto"/>
      </w:divBdr>
    </w:div>
    <w:div w:id="1544487534">
      <w:bodyDiv w:val="1"/>
      <w:marLeft w:val="0"/>
      <w:marRight w:val="0"/>
      <w:marTop w:val="0"/>
      <w:marBottom w:val="0"/>
      <w:divBdr>
        <w:top w:val="none" w:sz="0" w:space="0" w:color="auto"/>
        <w:left w:val="none" w:sz="0" w:space="0" w:color="auto"/>
        <w:bottom w:val="none" w:sz="0" w:space="0" w:color="auto"/>
        <w:right w:val="none" w:sz="0" w:space="0" w:color="auto"/>
      </w:divBdr>
    </w:div>
    <w:div w:id="1566451030">
      <w:bodyDiv w:val="1"/>
      <w:marLeft w:val="0"/>
      <w:marRight w:val="0"/>
      <w:marTop w:val="0"/>
      <w:marBottom w:val="0"/>
      <w:divBdr>
        <w:top w:val="none" w:sz="0" w:space="0" w:color="auto"/>
        <w:left w:val="none" w:sz="0" w:space="0" w:color="auto"/>
        <w:bottom w:val="none" w:sz="0" w:space="0" w:color="auto"/>
        <w:right w:val="none" w:sz="0" w:space="0" w:color="auto"/>
      </w:divBdr>
    </w:div>
    <w:div w:id="1635865986">
      <w:bodyDiv w:val="1"/>
      <w:marLeft w:val="0"/>
      <w:marRight w:val="0"/>
      <w:marTop w:val="0"/>
      <w:marBottom w:val="0"/>
      <w:divBdr>
        <w:top w:val="none" w:sz="0" w:space="0" w:color="auto"/>
        <w:left w:val="none" w:sz="0" w:space="0" w:color="auto"/>
        <w:bottom w:val="none" w:sz="0" w:space="0" w:color="auto"/>
        <w:right w:val="none" w:sz="0" w:space="0" w:color="auto"/>
      </w:divBdr>
    </w:div>
    <w:div w:id="1681616517">
      <w:bodyDiv w:val="1"/>
      <w:marLeft w:val="0"/>
      <w:marRight w:val="0"/>
      <w:marTop w:val="0"/>
      <w:marBottom w:val="0"/>
      <w:divBdr>
        <w:top w:val="none" w:sz="0" w:space="0" w:color="auto"/>
        <w:left w:val="none" w:sz="0" w:space="0" w:color="auto"/>
        <w:bottom w:val="none" w:sz="0" w:space="0" w:color="auto"/>
        <w:right w:val="none" w:sz="0" w:space="0" w:color="auto"/>
      </w:divBdr>
    </w:div>
    <w:div w:id="1750299676">
      <w:bodyDiv w:val="1"/>
      <w:marLeft w:val="0"/>
      <w:marRight w:val="0"/>
      <w:marTop w:val="0"/>
      <w:marBottom w:val="0"/>
      <w:divBdr>
        <w:top w:val="none" w:sz="0" w:space="0" w:color="auto"/>
        <w:left w:val="none" w:sz="0" w:space="0" w:color="auto"/>
        <w:bottom w:val="none" w:sz="0" w:space="0" w:color="auto"/>
        <w:right w:val="none" w:sz="0" w:space="0" w:color="auto"/>
      </w:divBdr>
    </w:div>
    <w:div w:id="1816920073">
      <w:bodyDiv w:val="1"/>
      <w:marLeft w:val="0"/>
      <w:marRight w:val="0"/>
      <w:marTop w:val="0"/>
      <w:marBottom w:val="0"/>
      <w:divBdr>
        <w:top w:val="none" w:sz="0" w:space="0" w:color="auto"/>
        <w:left w:val="none" w:sz="0" w:space="0" w:color="auto"/>
        <w:bottom w:val="none" w:sz="0" w:space="0" w:color="auto"/>
        <w:right w:val="none" w:sz="0" w:space="0" w:color="auto"/>
      </w:divBdr>
    </w:div>
    <w:div w:id="1928228274">
      <w:bodyDiv w:val="1"/>
      <w:marLeft w:val="0"/>
      <w:marRight w:val="0"/>
      <w:marTop w:val="0"/>
      <w:marBottom w:val="0"/>
      <w:divBdr>
        <w:top w:val="none" w:sz="0" w:space="0" w:color="auto"/>
        <w:left w:val="none" w:sz="0" w:space="0" w:color="auto"/>
        <w:bottom w:val="none" w:sz="0" w:space="0" w:color="auto"/>
        <w:right w:val="none" w:sz="0" w:space="0" w:color="auto"/>
      </w:divBdr>
      <w:divsChild>
        <w:div w:id="534119828">
          <w:blockQuote w:val="1"/>
          <w:marLeft w:val="720"/>
          <w:marRight w:val="720"/>
          <w:marTop w:val="100"/>
          <w:marBottom w:val="100"/>
          <w:divBdr>
            <w:top w:val="none" w:sz="0" w:space="0" w:color="auto"/>
            <w:left w:val="none" w:sz="0" w:space="0" w:color="auto"/>
            <w:bottom w:val="none" w:sz="0" w:space="0" w:color="auto"/>
            <w:right w:val="none" w:sz="0" w:space="0" w:color="auto"/>
          </w:divBdr>
        </w:div>
        <w:div w:id="431704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3386">
      <w:bodyDiv w:val="1"/>
      <w:marLeft w:val="0"/>
      <w:marRight w:val="0"/>
      <w:marTop w:val="0"/>
      <w:marBottom w:val="0"/>
      <w:divBdr>
        <w:top w:val="none" w:sz="0" w:space="0" w:color="auto"/>
        <w:left w:val="none" w:sz="0" w:space="0" w:color="auto"/>
        <w:bottom w:val="none" w:sz="0" w:space="0" w:color="auto"/>
        <w:right w:val="none" w:sz="0" w:space="0" w:color="auto"/>
      </w:divBdr>
    </w:div>
    <w:div w:id="2034570138">
      <w:bodyDiv w:val="1"/>
      <w:marLeft w:val="0"/>
      <w:marRight w:val="0"/>
      <w:marTop w:val="0"/>
      <w:marBottom w:val="0"/>
      <w:divBdr>
        <w:top w:val="none" w:sz="0" w:space="0" w:color="auto"/>
        <w:left w:val="none" w:sz="0" w:space="0" w:color="auto"/>
        <w:bottom w:val="none" w:sz="0" w:space="0" w:color="auto"/>
        <w:right w:val="none" w:sz="0" w:space="0" w:color="auto"/>
      </w:divBdr>
    </w:div>
    <w:div w:id="2051222252">
      <w:bodyDiv w:val="1"/>
      <w:marLeft w:val="0"/>
      <w:marRight w:val="0"/>
      <w:marTop w:val="0"/>
      <w:marBottom w:val="0"/>
      <w:divBdr>
        <w:top w:val="none" w:sz="0" w:space="0" w:color="auto"/>
        <w:left w:val="none" w:sz="0" w:space="0" w:color="auto"/>
        <w:bottom w:val="none" w:sz="0" w:space="0" w:color="auto"/>
        <w:right w:val="none" w:sz="0" w:space="0" w:color="auto"/>
      </w:divBdr>
      <w:divsChild>
        <w:div w:id="9413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50252">
      <w:bodyDiv w:val="1"/>
      <w:marLeft w:val="0"/>
      <w:marRight w:val="0"/>
      <w:marTop w:val="0"/>
      <w:marBottom w:val="0"/>
      <w:divBdr>
        <w:top w:val="none" w:sz="0" w:space="0" w:color="auto"/>
        <w:left w:val="none" w:sz="0" w:space="0" w:color="auto"/>
        <w:bottom w:val="none" w:sz="0" w:space="0" w:color="auto"/>
        <w:right w:val="none" w:sz="0" w:space="0" w:color="auto"/>
      </w:divBdr>
    </w:div>
    <w:div w:id="2085296209">
      <w:bodyDiv w:val="1"/>
      <w:marLeft w:val="0"/>
      <w:marRight w:val="0"/>
      <w:marTop w:val="0"/>
      <w:marBottom w:val="0"/>
      <w:divBdr>
        <w:top w:val="none" w:sz="0" w:space="0" w:color="auto"/>
        <w:left w:val="none" w:sz="0" w:space="0" w:color="auto"/>
        <w:bottom w:val="none" w:sz="0" w:space="0" w:color="auto"/>
        <w:right w:val="none" w:sz="0" w:space="0" w:color="auto"/>
      </w:divBdr>
    </w:div>
    <w:div w:id="2092583383">
      <w:bodyDiv w:val="1"/>
      <w:marLeft w:val="0"/>
      <w:marRight w:val="0"/>
      <w:marTop w:val="0"/>
      <w:marBottom w:val="0"/>
      <w:divBdr>
        <w:top w:val="none" w:sz="0" w:space="0" w:color="auto"/>
        <w:left w:val="none" w:sz="0" w:space="0" w:color="auto"/>
        <w:bottom w:val="none" w:sz="0" w:space="0" w:color="auto"/>
        <w:right w:val="none" w:sz="0" w:space="0" w:color="auto"/>
      </w:divBdr>
      <w:divsChild>
        <w:div w:id="18587194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70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494782">
      <w:bodyDiv w:val="1"/>
      <w:marLeft w:val="0"/>
      <w:marRight w:val="0"/>
      <w:marTop w:val="0"/>
      <w:marBottom w:val="0"/>
      <w:divBdr>
        <w:top w:val="none" w:sz="0" w:space="0" w:color="auto"/>
        <w:left w:val="none" w:sz="0" w:space="0" w:color="auto"/>
        <w:bottom w:val="none" w:sz="0" w:space="0" w:color="auto"/>
        <w:right w:val="none" w:sz="0" w:space="0" w:color="auto"/>
      </w:divBdr>
    </w:div>
    <w:div w:id="2128967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who.int/publications/i/item/WHO-SDE-PHE-OEH-06.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20</Pages>
  <Words>3947</Words>
  <Characters>22498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Kh</dc:creator>
  <cp:keywords/>
  <dc:description/>
  <cp:lastModifiedBy>Mariam Kh</cp:lastModifiedBy>
  <cp:revision>15</cp:revision>
  <dcterms:created xsi:type="dcterms:W3CDTF">2025-04-16T08:05:00Z</dcterms:created>
  <dcterms:modified xsi:type="dcterms:W3CDTF">2025-05-05T05:57:00Z</dcterms:modified>
</cp:coreProperties>
</file>