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D465" w14:textId="7A66B27D" w:rsidR="0053260B" w:rsidRPr="00791455" w:rsidRDefault="006068D4" w:rsidP="00791455">
      <w:pPr>
        <w:jc w:val="center"/>
        <w:rPr>
          <w:rFonts w:asciiTheme="majorBidi" w:hAnsiTheme="majorBidi" w:cstheme="majorBidi"/>
          <w:sz w:val="40"/>
          <w:szCs w:val="40"/>
        </w:rPr>
      </w:pPr>
      <w:r w:rsidRPr="00791455">
        <w:rPr>
          <w:rFonts w:asciiTheme="majorBidi" w:hAnsiTheme="majorBidi" w:cstheme="majorBidi"/>
          <w:sz w:val="40"/>
          <w:szCs w:val="40"/>
        </w:rPr>
        <w:t>Urban Mobility and Air Quality in UAE Cities: A Satellite-Based Spatiotemporal Comparative Study</w:t>
      </w:r>
    </w:p>
    <w:p w14:paraId="092AAAC6" w14:textId="77777777" w:rsidR="006068D4" w:rsidRPr="00376DFA" w:rsidRDefault="006068D4" w:rsidP="006068D4">
      <w:pPr>
        <w:rPr>
          <w:rFonts w:asciiTheme="majorBidi" w:hAnsiTheme="majorBidi" w:cstheme="majorBidi"/>
          <w:b/>
          <w:bCs/>
        </w:rPr>
      </w:pPr>
    </w:p>
    <w:p w14:paraId="75C95B29" w14:textId="46781E2E" w:rsidR="006068D4" w:rsidRPr="00376DFA" w:rsidRDefault="006068D4" w:rsidP="006068D4">
      <w:pPr>
        <w:rPr>
          <w:rFonts w:asciiTheme="majorBidi" w:hAnsiTheme="majorBidi" w:cstheme="majorBidi"/>
          <w:b/>
          <w:bCs/>
          <w:sz w:val="32"/>
          <w:szCs w:val="32"/>
        </w:rPr>
      </w:pPr>
      <w:r w:rsidRPr="00376DFA">
        <w:rPr>
          <w:rFonts w:asciiTheme="majorBidi" w:hAnsiTheme="majorBidi" w:cstheme="majorBidi"/>
          <w:b/>
          <w:bCs/>
          <w:sz w:val="32"/>
          <w:szCs w:val="32"/>
        </w:rPr>
        <w:t>Abstract</w:t>
      </w:r>
    </w:p>
    <w:p w14:paraId="48BB209E" w14:textId="56C69912" w:rsidR="006068D4" w:rsidRPr="00376DFA" w:rsidRDefault="006068D4" w:rsidP="006068D4">
      <w:pPr>
        <w:jc w:val="both"/>
        <w:rPr>
          <w:rFonts w:asciiTheme="majorBidi" w:hAnsiTheme="majorBidi" w:cstheme="majorBidi"/>
          <w:sz w:val="24"/>
          <w:szCs w:val="24"/>
        </w:rPr>
      </w:pPr>
      <w:r w:rsidRPr="00376DFA">
        <w:rPr>
          <w:rFonts w:asciiTheme="majorBidi" w:hAnsiTheme="majorBidi" w:cstheme="majorBidi"/>
          <w:sz w:val="24"/>
          <w:szCs w:val="24"/>
        </w:rPr>
        <w:t>The increasing rate of urbanization across the UAE has intensified concerns over air quality and its relationship with human mobility patterns. This study presents a two-phase geospatial analysis that investigates the correlation between air pollution and mobility trends across four major cities: Dubai, Abu Dhabi, Sharjah, and Al Ain. Leveraging high-resolution satellite data (Sentinel-5P), mobility reports (Google), and ground-based sensor networks (</w:t>
      </w:r>
      <w:proofErr w:type="spellStart"/>
      <w:r w:rsidRPr="00376DFA">
        <w:rPr>
          <w:rFonts w:asciiTheme="majorBidi" w:hAnsiTheme="majorBidi" w:cstheme="majorBidi"/>
          <w:sz w:val="24"/>
          <w:szCs w:val="24"/>
        </w:rPr>
        <w:t>OpenAQ</w:t>
      </w:r>
      <w:proofErr w:type="spellEnd"/>
      <w:r w:rsidRPr="00376DFA">
        <w:rPr>
          <w:rFonts w:asciiTheme="majorBidi" w:hAnsiTheme="majorBidi" w:cstheme="majorBidi"/>
          <w:sz w:val="24"/>
          <w:szCs w:val="24"/>
        </w:rPr>
        <w:t xml:space="preserve">), we employ a geohash-based zoning framework to spatially standardize the analysis. The first phase focuses on historical data from 2020 to 2022, using exploratory analysis, clustering, and regression </w:t>
      </w:r>
      <w:r w:rsidR="00C14340" w:rsidRPr="00376DFA">
        <w:rPr>
          <w:rFonts w:asciiTheme="majorBidi" w:hAnsiTheme="majorBidi" w:cstheme="majorBidi"/>
          <w:sz w:val="24"/>
          <w:szCs w:val="24"/>
        </w:rPr>
        <w:t>modelling</w:t>
      </w:r>
      <w:r w:rsidRPr="00376DFA">
        <w:rPr>
          <w:rFonts w:asciiTheme="majorBidi" w:hAnsiTheme="majorBidi" w:cstheme="majorBidi"/>
          <w:sz w:val="24"/>
          <w:szCs w:val="24"/>
        </w:rPr>
        <w:t xml:space="preserve"> to identify urban hotspots and mobility-pollution dynamics. The second phase applies forecast data (2023–2025) to simulate future pollution scenarios under projected mobility trends (Ericsson). The results reveal key spatial patterns, highlight zones of environmental concern, and propose data-driven insights for sustainable urban planning and clean mobility policy in UAE cities.</w:t>
      </w:r>
    </w:p>
    <w:p w14:paraId="3B2E2590" w14:textId="77777777" w:rsidR="006068D4" w:rsidRPr="00791455" w:rsidRDefault="006068D4" w:rsidP="006068D4">
      <w:pPr>
        <w:rPr>
          <w:rFonts w:asciiTheme="majorBidi" w:hAnsiTheme="majorBidi" w:cstheme="majorBidi"/>
          <w:b/>
          <w:bCs/>
          <w:sz w:val="24"/>
          <w:szCs w:val="24"/>
        </w:rPr>
      </w:pPr>
      <w:r w:rsidRPr="00791455">
        <w:rPr>
          <w:rFonts w:asciiTheme="majorBidi" w:hAnsiTheme="majorBidi" w:cstheme="majorBidi"/>
          <w:b/>
          <w:bCs/>
          <w:sz w:val="24"/>
          <w:szCs w:val="24"/>
        </w:rPr>
        <w:t>Keywords</w:t>
      </w:r>
    </w:p>
    <w:p w14:paraId="7463C8D2" w14:textId="25947C25" w:rsidR="006068D4" w:rsidRPr="00376DFA" w:rsidRDefault="006068D4" w:rsidP="006068D4">
      <w:pPr>
        <w:rPr>
          <w:rFonts w:asciiTheme="majorBidi" w:hAnsiTheme="majorBidi" w:cstheme="majorBidi"/>
        </w:rPr>
      </w:pPr>
      <w:r w:rsidRPr="00376DFA">
        <w:rPr>
          <w:rFonts w:asciiTheme="majorBidi" w:hAnsiTheme="majorBidi" w:cstheme="majorBidi"/>
        </w:rPr>
        <w:t xml:space="preserve">Air Quality, Urban Mobility, Sentinel-5P, Spatial Analysis, UAE, Geohash, Pollution Forecast, Clustering, Regression </w:t>
      </w:r>
      <w:r w:rsidR="00C14340" w:rsidRPr="00376DFA">
        <w:rPr>
          <w:rFonts w:asciiTheme="majorBidi" w:hAnsiTheme="majorBidi" w:cstheme="majorBidi"/>
        </w:rPr>
        <w:t>Modelling</w:t>
      </w:r>
    </w:p>
    <w:p w14:paraId="03C5D639" w14:textId="41DBFEA7" w:rsidR="006068D4" w:rsidRPr="00791455" w:rsidRDefault="006068D4" w:rsidP="00376DFA">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Introduction</w:t>
      </w:r>
    </w:p>
    <w:p w14:paraId="57B7FC8E" w14:textId="77777777" w:rsidR="006068D4" w:rsidRPr="00791455" w:rsidRDefault="006068D4" w:rsidP="00A57CBB">
      <w:pPr>
        <w:jc w:val="both"/>
        <w:rPr>
          <w:rFonts w:asciiTheme="majorBidi" w:hAnsiTheme="majorBidi" w:cstheme="majorBidi"/>
          <w:sz w:val="24"/>
          <w:szCs w:val="24"/>
        </w:rPr>
      </w:pPr>
      <w:r w:rsidRPr="00791455">
        <w:rPr>
          <w:rFonts w:asciiTheme="majorBidi" w:hAnsiTheme="majorBidi" w:cstheme="majorBidi"/>
          <w:sz w:val="24"/>
          <w:szCs w:val="24"/>
        </w:rPr>
        <w:t>The rapid pace of urban expansion in the United Arab Emirates (UAE) has brought significant environmental challenges, particularly in relation to air quality in densely populated and highly mobile urban areas. As cities grow, the interaction between transportation activity, population density, and emissions becomes a critical factor in shaping atmospheric health and sustainability.</w:t>
      </w:r>
    </w:p>
    <w:p w14:paraId="4860C819" w14:textId="4B81E6E7" w:rsidR="006068D4" w:rsidRPr="00791455" w:rsidRDefault="006068D4" w:rsidP="00A57CBB">
      <w:pPr>
        <w:jc w:val="both"/>
        <w:rPr>
          <w:rFonts w:asciiTheme="majorBidi" w:hAnsiTheme="majorBidi" w:cstheme="majorBidi"/>
          <w:sz w:val="24"/>
          <w:szCs w:val="24"/>
        </w:rPr>
      </w:pPr>
      <w:r w:rsidRPr="00791455">
        <w:rPr>
          <w:rFonts w:asciiTheme="majorBidi" w:hAnsiTheme="majorBidi" w:cstheme="majorBidi"/>
          <w:sz w:val="24"/>
          <w:szCs w:val="24"/>
        </w:rPr>
        <w:t xml:space="preserve">Recent advancements in satellite remote sensing and publicly available mobility data have made it feasible to </w:t>
      </w:r>
      <w:r w:rsidR="00C14340" w:rsidRPr="00791455">
        <w:rPr>
          <w:rFonts w:asciiTheme="majorBidi" w:hAnsiTheme="majorBidi" w:cstheme="majorBidi"/>
          <w:sz w:val="24"/>
          <w:szCs w:val="24"/>
        </w:rPr>
        <w:t>analyse</w:t>
      </w:r>
      <w:r w:rsidRPr="00791455">
        <w:rPr>
          <w:rFonts w:asciiTheme="majorBidi" w:hAnsiTheme="majorBidi" w:cstheme="majorBidi"/>
          <w:sz w:val="24"/>
          <w:szCs w:val="24"/>
        </w:rPr>
        <w:t xml:space="preserve"> the spatial and temporal impact of urban movement on air pollution at a granular level. Several global studies have shown that human mobility contributes significantly to variations in air pollutant concentrations, especially nitrogen dioxide (NO₂), </w:t>
      </w:r>
      <w:proofErr w:type="spellStart"/>
      <w:r w:rsidRPr="00791455">
        <w:rPr>
          <w:rFonts w:asciiTheme="majorBidi" w:hAnsiTheme="majorBidi" w:cstheme="majorBidi"/>
          <w:sz w:val="24"/>
          <w:szCs w:val="24"/>
        </w:rPr>
        <w:t>sulfur</w:t>
      </w:r>
      <w:proofErr w:type="spellEnd"/>
      <w:r w:rsidRPr="00791455">
        <w:rPr>
          <w:rFonts w:asciiTheme="majorBidi" w:hAnsiTheme="majorBidi" w:cstheme="majorBidi"/>
          <w:sz w:val="24"/>
          <w:szCs w:val="24"/>
        </w:rPr>
        <w:t xml:space="preserve"> dioxide (SO₂), and aerosols, which are primary indicators of traffic and industrial emissions. However, few studies have focused on Gulf cities like Dubai, Abu Dhabi, Sharjah, and Al Ain using open-source geospatial data and comparative methods.</w:t>
      </w:r>
    </w:p>
    <w:p w14:paraId="43E9523B" w14:textId="61DB4E23" w:rsidR="006068D4" w:rsidRPr="00791455" w:rsidRDefault="006068D4" w:rsidP="00A57CBB">
      <w:pPr>
        <w:jc w:val="both"/>
        <w:rPr>
          <w:rFonts w:asciiTheme="majorBidi" w:hAnsiTheme="majorBidi" w:cstheme="majorBidi"/>
          <w:sz w:val="24"/>
          <w:szCs w:val="24"/>
        </w:rPr>
      </w:pPr>
      <w:r w:rsidRPr="00791455">
        <w:rPr>
          <w:rFonts w:asciiTheme="majorBidi" w:hAnsiTheme="majorBidi" w:cstheme="majorBidi"/>
          <w:sz w:val="24"/>
          <w:szCs w:val="24"/>
        </w:rPr>
        <w:t xml:space="preserve">This paper addresses this gap by presenting a two-phase study that combines satellite-based pollution readings with human mobility trends to </w:t>
      </w:r>
      <w:r w:rsidR="00C14340" w:rsidRPr="00791455">
        <w:rPr>
          <w:rFonts w:asciiTheme="majorBidi" w:hAnsiTheme="majorBidi" w:cstheme="majorBidi"/>
          <w:sz w:val="24"/>
          <w:szCs w:val="24"/>
        </w:rPr>
        <w:t>analyse</w:t>
      </w:r>
      <w:r w:rsidRPr="00791455">
        <w:rPr>
          <w:rFonts w:asciiTheme="majorBidi" w:hAnsiTheme="majorBidi" w:cstheme="majorBidi"/>
          <w:sz w:val="24"/>
          <w:szCs w:val="24"/>
        </w:rPr>
        <w:t xml:space="preserve"> urban environmental </w:t>
      </w:r>
      <w:r w:rsidR="00C14340" w:rsidRPr="00791455">
        <w:rPr>
          <w:rFonts w:asciiTheme="majorBidi" w:hAnsiTheme="majorBidi" w:cstheme="majorBidi"/>
          <w:sz w:val="24"/>
          <w:szCs w:val="24"/>
        </w:rPr>
        <w:t>behaviour</w:t>
      </w:r>
      <w:r w:rsidRPr="00791455">
        <w:rPr>
          <w:rFonts w:asciiTheme="majorBidi" w:hAnsiTheme="majorBidi" w:cstheme="majorBidi"/>
          <w:sz w:val="24"/>
          <w:szCs w:val="24"/>
        </w:rPr>
        <w:t xml:space="preserve"> across multiple UAE cities. In Phase 1, we conduct a historical geospatial analysis (2020–2022) using Sentinel-5P imagery, Google mobility reports, and </w:t>
      </w:r>
      <w:proofErr w:type="spellStart"/>
      <w:r w:rsidRPr="00791455">
        <w:rPr>
          <w:rFonts w:asciiTheme="majorBidi" w:hAnsiTheme="majorBidi" w:cstheme="majorBidi"/>
          <w:sz w:val="24"/>
          <w:szCs w:val="24"/>
        </w:rPr>
        <w:t>OpenAQ</w:t>
      </w:r>
      <w:proofErr w:type="spellEnd"/>
      <w:r w:rsidRPr="00791455">
        <w:rPr>
          <w:rFonts w:asciiTheme="majorBidi" w:hAnsiTheme="majorBidi" w:cstheme="majorBidi"/>
          <w:sz w:val="24"/>
          <w:szCs w:val="24"/>
        </w:rPr>
        <w:t xml:space="preserve"> sensor data. Cities are subdivided using </w:t>
      </w:r>
      <w:proofErr w:type="spellStart"/>
      <w:r w:rsidRPr="00791455">
        <w:rPr>
          <w:rFonts w:asciiTheme="majorBidi" w:hAnsiTheme="majorBidi" w:cstheme="majorBidi"/>
          <w:sz w:val="24"/>
          <w:szCs w:val="24"/>
        </w:rPr>
        <w:t>geohashing</w:t>
      </w:r>
      <w:proofErr w:type="spellEnd"/>
      <w:r w:rsidRPr="00791455">
        <w:rPr>
          <w:rFonts w:asciiTheme="majorBidi" w:hAnsiTheme="majorBidi" w:cstheme="majorBidi"/>
          <w:sz w:val="24"/>
          <w:szCs w:val="24"/>
        </w:rPr>
        <w:t xml:space="preserve"> to enable fine-grained comparisons across different urban zones. We apply clustering and regression techniques to assess how mobility and population density influence pollution levels.</w:t>
      </w:r>
    </w:p>
    <w:p w14:paraId="69047188" w14:textId="77777777" w:rsidR="006068D4" w:rsidRPr="00791455" w:rsidRDefault="006068D4" w:rsidP="00A57CBB">
      <w:pPr>
        <w:jc w:val="both"/>
        <w:rPr>
          <w:rFonts w:asciiTheme="majorBidi" w:hAnsiTheme="majorBidi" w:cstheme="majorBidi"/>
          <w:sz w:val="24"/>
          <w:szCs w:val="24"/>
        </w:rPr>
      </w:pPr>
      <w:r w:rsidRPr="00791455">
        <w:rPr>
          <w:rFonts w:asciiTheme="majorBidi" w:hAnsiTheme="majorBidi" w:cstheme="majorBidi"/>
          <w:sz w:val="24"/>
          <w:szCs w:val="24"/>
        </w:rPr>
        <w:lastRenderedPageBreak/>
        <w:t>In Phase 2, we incorporate forecast data from 2023 to 2025, including projected pollution levels and mobility growth estimates from Ericsson’s regional reports. By applying predictive models from Phase 1 to future data, we simulate expected environmental conditions and identify potential high-risk zones.</w:t>
      </w:r>
    </w:p>
    <w:p w14:paraId="6A844EE9" w14:textId="77777777" w:rsidR="006068D4" w:rsidRPr="00791455" w:rsidRDefault="006068D4" w:rsidP="00A57CBB">
      <w:pPr>
        <w:jc w:val="both"/>
        <w:rPr>
          <w:rFonts w:asciiTheme="majorBidi" w:hAnsiTheme="majorBidi" w:cstheme="majorBidi"/>
          <w:sz w:val="24"/>
          <w:szCs w:val="24"/>
        </w:rPr>
      </w:pPr>
      <w:r w:rsidRPr="00791455">
        <w:rPr>
          <w:rFonts w:asciiTheme="majorBidi" w:hAnsiTheme="majorBidi" w:cstheme="majorBidi"/>
          <w:sz w:val="24"/>
          <w:szCs w:val="24"/>
        </w:rPr>
        <w:t>Through this work, we aim to provide a reproducible, data-driven framework for smart city planning and sustainable mobility policy in fast-developing urban environments.</w:t>
      </w:r>
    </w:p>
    <w:p w14:paraId="46EB96D1" w14:textId="0487E9A5" w:rsidR="006068D4" w:rsidRPr="00791455" w:rsidRDefault="006068D4" w:rsidP="00376DFA">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Related Work</w:t>
      </w:r>
    </w:p>
    <w:p w14:paraId="0C96F52D" w14:textId="3854ECD6" w:rsidR="006068D4" w:rsidRPr="00493781" w:rsidRDefault="006068D4" w:rsidP="00A57CBB">
      <w:pPr>
        <w:jc w:val="both"/>
        <w:rPr>
          <w:rFonts w:asciiTheme="majorBidi" w:hAnsiTheme="majorBidi" w:cstheme="majorBidi"/>
          <w:color w:val="FF0000"/>
        </w:rPr>
      </w:pPr>
      <w:r w:rsidRPr="00493781">
        <w:rPr>
          <w:rFonts w:asciiTheme="majorBidi" w:hAnsiTheme="majorBidi" w:cstheme="majorBidi"/>
          <w:color w:val="FF0000"/>
        </w:rPr>
        <w:t>The integration of urban mobility data with environmental monitoring has emerged as a growing research area, particularly within the context of smart cities. Numerous studies have explored the spatial correlation between vehicular movement and air pollution levels, emphasizing the need for scalable geospatial frameworks that support high-resolution analysis. Satellite missions such as ESA's Sentinel-5P have enabled researchers to monitor key pollutants, including NO₂ and SO₂, at city-wide scales with daily revisit times.</w:t>
      </w:r>
      <w:r w:rsidR="00A57CBB" w:rsidRPr="00493781">
        <w:rPr>
          <w:rFonts w:asciiTheme="majorBidi" w:hAnsiTheme="majorBidi" w:cstheme="majorBidi"/>
          <w:color w:val="FF0000"/>
        </w:rPr>
        <w:t xml:space="preserve"> </w:t>
      </w:r>
      <w:r w:rsidRPr="00493781">
        <w:rPr>
          <w:rFonts w:asciiTheme="majorBidi" w:hAnsiTheme="majorBidi" w:cstheme="majorBidi"/>
          <w:color w:val="FF0000"/>
        </w:rPr>
        <w:t>Previous efforts have applied spatial joins between pollution datasets and administrative boundaries to quantify localized environmental risks. For instance, dynamic urban analytics frameworks have been used to combine GPS-based movement data with air quality metrics to assess exposure levels in real time. However, these approaches often focus on a single city or lack temporal depth, limiting their applicability in rapidly urbanizing regions such as the Gulf.</w:t>
      </w:r>
    </w:p>
    <w:p w14:paraId="1648723A" w14:textId="77777777" w:rsidR="006068D4" w:rsidRPr="00493781" w:rsidRDefault="006068D4" w:rsidP="00A57CBB">
      <w:pPr>
        <w:jc w:val="both"/>
        <w:rPr>
          <w:rFonts w:asciiTheme="majorBidi" w:hAnsiTheme="majorBidi" w:cstheme="majorBidi"/>
          <w:color w:val="FF0000"/>
        </w:rPr>
      </w:pPr>
      <w:r w:rsidRPr="00493781">
        <w:rPr>
          <w:rFonts w:asciiTheme="majorBidi" w:hAnsiTheme="majorBidi" w:cstheme="majorBidi"/>
          <w:color w:val="FF0000"/>
        </w:rPr>
        <w:t>In the UAE context, there remains a scarcity of open-access, multi-city studies that integrate satellite-based pollution data, mobility trends, and ground-based sensor validation. While some works have employed clustering or regression to detect pollution hotspots, few have leveraged a geohash-based zoning mechanism to facilitate uniform spatial comparisons across diverse city zones (e.g., downtown, industrial, residential).</w:t>
      </w:r>
    </w:p>
    <w:p w14:paraId="7452DB5B" w14:textId="77777777" w:rsidR="006068D4" w:rsidRPr="00493781" w:rsidRDefault="006068D4" w:rsidP="00A57CBB">
      <w:pPr>
        <w:jc w:val="both"/>
        <w:rPr>
          <w:rFonts w:asciiTheme="majorBidi" w:hAnsiTheme="majorBidi" w:cstheme="majorBidi"/>
          <w:color w:val="FF0000"/>
        </w:rPr>
      </w:pPr>
      <w:r w:rsidRPr="00493781">
        <w:rPr>
          <w:rFonts w:asciiTheme="majorBidi" w:hAnsiTheme="majorBidi" w:cstheme="majorBidi"/>
          <w:color w:val="FF0000"/>
        </w:rPr>
        <w:t>This study contributes to the literature by offering a reproducible, two-phase comparative framework that fuses mobility and pollution datasets over time and space. It builds on prior models of spatiotemporal analysis but introduces a novel UAE-specific methodology that scales across multiple cities and incorporates forecast simulations to guide future planning.</w:t>
      </w:r>
    </w:p>
    <w:p w14:paraId="10D6D44C" w14:textId="77777777" w:rsidR="006068D4" w:rsidRPr="00376DFA" w:rsidRDefault="006068D4" w:rsidP="006068D4">
      <w:pPr>
        <w:rPr>
          <w:rFonts w:asciiTheme="majorBidi" w:hAnsiTheme="majorBidi" w:cstheme="majorBidi"/>
        </w:rPr>
      </w:pPr>
    </w:p>
    <w:p w14:paraId="76182041" w14:textId="2E026CBC" w:rsidR="006068D4" w:rsidRPr="00791455" w:rsidRDefault="006068D4" w:rsidP="00376DFA">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Methodology</w:t>
      </w:r>
    </w:p>
    <w:p w14:paraId="169A54FA" w14:textId="7DDEAE80" w:rsidR="006068D4" w:rsidRPr="00791455" w:rsidRDefault="006068D4" w:rsidP="00791455">
      <w:pPr>
        <w:pStyle w:val="Heading2"/>
        <w:numPr>
          <w:ilvl w:val="1"/>
          <w:numId w:val="14"/>
        </w:numPr>
        <w:rPr>
          <w:rFonts w:asciiTheme="majorBidi" w:hAnsiTheme="majorBidi"/>
          <w:color w:val="auto"/>
          <w:sz w:val="28"/>
          <w:szCs w:val="28"/>
        </w:rPr>
      </w:pPr>
      <w:r w:rsidRPr="00791455">
        <w:rPr>
          <w:rFonts w:asciiTheme="majorBidi" w:hAnsiTheme="majorBidi"/>
          <w:color w:val="auto"/>
          <w:sz w:val="28"/>
          <w:szCs w:val="28"/>
        </w:rPr>
        <w:t>Overview</w:t>
      </w:r>
    </w:p>
    <w:p w14:paraId="39BABBEF" w14:textId="77777777" w:rsidR="006068D4" w:rsidRPr="00376DFA" w:rsidRDefault="006068D4" w:rsidP="00A57CBB">
      <w:pPr>
        <w:jc w:val="both"/>
        <w:rPr>
          <w:rFonts w:asciiTheme="majorBidi" w:hAnsiTheme="majorBidi" w:cstheme="majorBidi"/>
        </w:rPr>
      </w:pPr>
      <w:r w:rsidRPr="00376DFA">
        <w:rPr>
          <w:rFonts w:asciiTheme="majorBidi" w:hAnsiTheme="majorBidi" w:cstheme="majorBidi"/>
        </w:rPr>
        <w:t>The study adopts a two-phase analytical framework. Phase 1 is dedicated to retrospective data analysis (2020–2022), while Phase 2 projects future scenarios (2023–2025). The core methodology involves the integration of multiple data sources into a geospatial grid using 5-character geohash zones (~3km² each), enabling uniform spatial operations such as summarization, correlation, and prediction.</w:t>
      </w:r>
    </w:p>
    <w:p w14:paraId="68BCB34B" w14:textId="2861E89E" w:rsidR="006068D4" w:rsidRPr="00791455" w:rsidRDefault="006068D4" w:rsidP="00791455">
      <w:pPr>
        <w:pStyle w:val="Heading2"/>
        <w:numPr>
          <w:ilvl w:val="1"/>
          <w:numId w:val="14"/>
        </w:numPr>
        <w:rPr>
          <w:rFonts w:asciiTheme="majorBidi" w:hAnsiTheme="majorBidi"/>
          <w:color w:val="auto"/>
          <w:sz w:val="28"/>
          <w:szCs w:val="28"/>
        </w:rPr>
      </w:pPr>
      <w:r w:rsidRPr="00791455">
        <w:rPr>
          <w:rFonts w:asciiTheme="majorBidi" w:hAnsiTheme="majorBidi"/>
          <w:color w:val="auto"/>
          <w:sz w:val="28"/>
          <w:szCs w:val="28"/>
        </w:rPr>
        <w:t xml:space="preserve">Data Sources </w:t>
      </w:r>
    </w:p>
    <w:p w14:paraId="2A372701" w14:textId="77777777" w:rsidR="006068D4" w:rsidRPr="00376DFA" w:rsidRDefault="006068D4" w:rsidP="00A57CBB">
      <w:pPr>
        <w:jc w:val="both"/>
        <w:rPr>
          <w:rFonts w:asciiTheme="majorBidi" w:hAnsiTheme="majorBidi" w:cstheme="majorBidi"/>
        </w:rPr>
      </w:pPr>
      <w:r w:rsidRPr="00376DFA">
        <w:rPr>
          <w:rFonts w:asciiTheme="majorBidi" w:hAnsiTheme="majorBidi" w:cstheme="majorBidi"/>
        </w:rPr>
        <w:t xml:space="preserve">This study integrates six geospatial and environmental datasets to construct a comprehensive framework for </w:t>
      </w:r>
      <w:proofErr w:type="spellStart"/>
      <w:r w:rsidRPr="00376DFA">
        <w:rPr>
          <w:rFonts w:asciiTheme="majorBidi" w:hAnsiTheme="majorBidi" w:cstheme="majorBidi"/>
        </w:rPr>
        <w:t>analyzing</w:t>
      </w:r>
      <w:proofErr w:type="spellEnd"/>
      <w:r w:rsidRPr="00376DFA">
        <w:rPr>
          <w:rFonts w:asciiTheme="majorBidi" w:hAnsiTheme="majorBidi" w:cstheme="majorBidi"/>
        </w:rPr>
        <w:t xml:space="preserve"> urban mobility and air quality dynamics in UAE cities. The datasets were selected for their spatial and temporal complementarity and were processed to ensure alignment across coordinate systems and spatial resolutions.</w:t>
      </w:r>
    </w:p>
    <w:p w14:paraId="20E01447" w14:textId="77777777" w:rsidR="006068D4" w:rsidRPr="00376DFA" w:rsidRDefault="006068D4" w:rsidP="00A57CBB">
      <w:pPr>
        <w:numPr>
          <w:ilvl w:val="0"/>
          <w:numId w:val="1"/>
        </w:numPr>
        <w:jc w:val="both"/>
        <w:rPr>
          <w:rFonts w:asciiTheme="majorBidi" w:hAnsiTheme="majorBidi" w:cstheme="majorBidi"/>
        </w:rPr>
      </w:pPr>
      <w:r w:rsidRPr="00376DFA">
        <w:rPr>
          <w:rFonts w:asciiTheme="majorBidi" w:hAnsiTheme="majorBidi" w:cstheme="majorBidi"/>
          <w:b/>
          <w:bCs/>
        </w:rPr>
        <w:t>UAE_NO2_SO2_Aerosol_Combined_2020_2022.tif</w:t>
      </w:r>
      <w:r w:rsidRPr="00376DFA">
        <w:rPr>
          <w:rFonts w:asciiTheme="majorBidi" w:hAnsiTheme="majorBidi" w:cstheme="majorBidi"/>
        </w:rPr>
        <w:br/>
        <w:t xml:space="preserve">A multi-band georeferenced raster covering the UAE with a 1 km spatial resolution. It includes three atmospheric pollution indicators—NO₂ column density, SO₂ column density, and the </w:t>
      </w:r>
      <w:r w:rsidRPr="00376DFA">
        <w:rPr>
          <w:rFonts w:asciiTheme="majorBidi" w:hAnsiTheme="majorBidi" w:cstheme="majorBidi"/>
        </w:rPr>
        <w:lastRenderedPageBreak/>
        <w:t>Absorbing Aerosol Index (AAI)—captured using Sentinel-5P satellite imagery. The dataset is structured using WGS 84 (EPSG:4326), enabling integration with other spatial layers for the 2020–2022 historical analysis phase.</w:t>
      </w:r>
    </w:p>
    <w:p w14:paraId="4F76A323" w14:textId="77777777" w:rsidR="006068D4" w:rsidRPr="00376DFA" w:rsidRDefault="006068D4" w:rsidP="00A57CBB">
      <w:pPr>
        <w:numPr>
          <w:ilvl w:val="0"/>
          <w:numId w:val="1"/>
        </w:numPr>
        <w:jc w:val="both"/>
        <w:rPr>
          <w:rFonts w:asciiTheme="majorBidi" w:hAnsiTheme="majorBidi" w:cstheme="majorBidi"/>
        </w:rPr>
      </w:pPr>
      <w:r w:rsidRPr="00376DFA">
        <w:rPr>
          <w:rFonts w:asciiTheme="majorBidi" w:hAnsiTheme="majorBidi" w:cstheme="majorBidi"/>
          <w:b/>
          <w:bCs/>
        </w:rPr>
        <w:t>UAE_NO2_SO2_Aerosol_Combined_2023_2025.tif</w:t>
      </w:r>
      <w:r w:rsidRPr="00376DFA">
        <w:rPr>
          <w:rFonts w:asciiTheme="majorBidi" w:hAnsiTheme="majorBidi" w:cstheme="majorBidi"/>
        </w:rPr>
        <w:br/>
        <w:t>A continuation of the above dataset covering the 2023–2025 forecast period. It provides projected pollution values across the same spatial extent and resolution, facilitating spatiotemporal comparisons and simulation-based forecasting.</w:t>
      </w:r>
    </w:p>
    <w:p w14:paraId="155D4A29" w14:textId="1440B0F6" w:rsidR="006068D4" w:rsidRPr="00376DFA" w:rsidRDefault="006068D4" w:rsidP="00A57CBB">
      <w:pPr>
        <w:numPr>
          <w:ilvl w:val="0"/>
          <w:numId w:val="1"/>
        </w:numPr>
        <w:rPr>
          <w:rFonts w:asciiTheme="majorBidi" w:hAnsiTheme="majorBidi" w:cstheme="majorBidi"/>
        </w:rPr>
      </w:pPr>
      <w:r w:rsidRPr="00376DFA">
        <w:rPr>
          <w:rFonts w:asciiTheme="majorBidi" w:hAnsiTheme="majorBidi" w:cstheme="majorBidi"/>
          <w:b/>
          <w:bCs/>
        </w:rPr>
        <w:t>AE Region Mobility Report (2020–2022)</w:t>
      </w:r>
      <w:r w:rsidR="00A57CBB" w:rsidRPr="00376DFA">
        <w:rPr>
          <w:rFonts w:asciiTheme="majorBidi" w:hAnsiTheme="majorBidi" w:cstheme="majorBidi"/>
          <w:b/>
          <w:bCs/>
        </w:rPr>
        <w:t>:</w:t>
      </w:r>
      <w:r w:rsidR="00A57CBB" w:rsidRPr="00376DFA">
        <w:rPr>
          <w:rFonts w:asciiTheme="majorBidi" w:hAnsiTheme="majorBidi" w:cstheme="majorBidi"/>
        </w:rPr>
        <w:t xml:space="preserve"> </w:t>
      </w:r>
      <w:r w:rsidRPr="00376DFA">
        <w:rPr>
          <w:rFonts w:asciiTheme="majorBidi" w:hAnsiTheme="majorBidi" w:cstheme="majorBidi"/>
        </w:rPr>
        <w:br/>
        <w:t>Derived from Google's Community Mobility Reports, this dataset documents daily percentage changes in movement across categories such as retail, parks, transit, and workplaces. It covers five major emirates and is key for quantifying shifts in population mobility, especially during and after the COVID-19 pandemic.</w:t>
      </w:r>
    </w:p>
    <w:p w14:paraId="36F2D592" w14:textId="77777777" w:rsidR="006068D4" w:rsidRPr="00376DFA" w:rsidRDefault="006068D4" w:rsidP="006068D4">
      <w:pPr>
        <w:numPr>
          <w:ilvl w:val="0"/>
          <w:numId w:val="1"/>
        </w:numPr>
        <w:rPr>
          <w:rFonts w:asciiTheme="majorBidi" w:hAnsiTheme="majorBidi" w:cstheme="majorBidi"/>
        </w:rPr>
      </w:pPr>
      <w:r w:rsidRPr="00376DFA">
        <w:rPr>
          <w:rFonts w:asciiTheme="majorBidi" w:hAnsiTheme="majorBidi" w:cstheme="majorBidi"/>
          <w:b/>
          <w:bCs/>
        </w:rPr>
        <w:t xml:space="preserve">Combined </w:t>
      </w:r>
      <w:proofErr w:type="spellStart"/>
      <w:r w:rsidRPr="00376DFA">
        <w:rPr>
          <w:rFonts w:asciiTheme="majorBidi" w:hAnsiTheme="majorBidi" w:cstheme="majorBidi"/>
          <w:b/>
          <w:bCs/>
        </w:rPr>
        <w:t>OpenAQ</w:t>
      </w:r>
      <w:proofErr w:type="spellEnd"/>
      <w:r w:rsidRPr="00376DFA">
        <w:rPr>
          <w:rFonts w:asciiTheme="majorBidi" w:hAnsiTheme="majorBidi" w:cstheme="majorBidi"/>
          <w:b/>
          <w:bCs/>
        </w:rPr>
        <w:t xml:space="preserve"> Measurements</w:t>
      </w:r>
      <w:r w:rsidRPr="00376DFA">
        <w:rPr>
          <w:rFonts w:asciiTheme="majorBidi" w:hAnsiTheme="majorBidi" w:cstheme="majorBidi"/>
        </w:rPr>
        <w:br/>
        <w:t>Comprising over 88,000 entries, this dataset includes real-time air quality measurements of NO₂, O₃, PM₁₀, SO₂, and CO across various fixed and mobile sensors within the UAE. Each entry includes geolocation, timestamp, and metadata such as unit type and data source, making it ideal for validating satellite-derived pollution estimates.</w:t>
      </w:r>
    </w:p>
    <w:p w14:paraId="1CF8113E" w14:textId="77777777" w:rsidR="006068D4" w:rsidRPr="00376DFA" w:rsidRDefault="006068D4" w:rsidP="006068D4">
      <w:pPr>
        <w:numPr>
          <w:ilvl w:val="0"/>
          <w:numId w:val="1"/>
        </w:numPr>
        <w:rPr>
          <w:rFonts w:asciiTheme="majorBidi" w:hAnsiTheme="majorBidi" w:cstheme="majorBidi"/>
        </w:rPr>
      </w:pPr>
      <w:r w:rsidRPr="00376DFA">
        <w:rPr>
          <w:rFonts w:asciiTheme="majorBidi" w:hAnsiTheme="majorBidi" w:cstheme="majorBidi"/>
          <w:b/>
          <w:bCs/>
        </w:rPr>
        <w:t>Ericsson Mobility Forecast (2023–2025)</w:t>
      </w:r>
      <w:r w:rsidRPr="00376DFA">
        <w:rPr>
          <w:rFonts w:asciiTheme="majorBidi" w:hAnsiTheme="majorBidi" w:cstheme="majorBidi"/>
        </w:rPr>
        <w:br/>
        <w:t xml:space="preserve">A trend-level dataset covering mobile data traffic, 5G penetration, and fixed wireless access (FWA) usage across the MENA region. Though limited in granularity, it serves as a proxy for estimating future mobility intensity and urban digital infrastructure growth, supporting Phase 2 scenario </w:t>
      </w:r>
      <w:proofErr w:type="spellStart"/>
      <w:r w:rsidRPr="00376DFA">
        <w:rPr>
          <w:rFonts w:asciiTheme="majorBidi" w:hAnsiTheme="majorBidi" w:cstheme="majorBidi"/>
        </w:rPr>
        <w:t>modeling</w:t>
      </w:r>
      <w:proofErr w:type="spellEnd"/>
      <w:r w:rsidRPr="00376DFA">
        <w:rPr>
          <w:rFonts w:asciiTheme="majorBidi" w:hAnsiTheme="majorBidi" w:cstheme="majorBidi"/>
        </w:rPr>
        <w:t>.</w:t>
      </w:r>
    </w:p>
    <w:p w14:paraId="73BA2AC6" w14:textId="77777777" w:rsidR="006068D4" w:rsidRPr="00376DFA" w:rsidRDefault="006068D4" w:rsidP="006068D4">
      <w:pPr>
        <w:numPr>
          <w:ilvl w:val="0"/>
          <w:numId w:val="1"/>
        </w:numPr>
        <w:rPr>
          <w:rFonts w:asciiTheme="majorBidi" w:hAnsiTheme="majorBidi" w:cstheme="majorBidi"/>
        </w:rPr>
      </w:pPr>
      <w:r w:rsidRPr="00376DFA">
        <w:rPr>
          <w:rFonts w:asciiTheme="majorBidi" w:hAnsiTheme="majorBidi" w:cstheme="majorBidi"/>
          <w:b/>
          <w:bCs/>
        </w:rPr>
        <w:t>Landsat–SRTM Merged Metadata</w:t>
      </w:r>
      <w:r w:rsidRPr="00376DFA">
        <w:rPr>
          <w:rFonts w:asciiTheme="majorBidi" w:hAnsiTheme="majorBidi" w:cstheme="majorBidi"/>
        </w:rPr>
        <w:br/>
        <w:t xml:space="preserve">This metadata collection, which combines optical imagery from Landsat and elevation data from the Shuttle Radar Topography Mission (SRTM), is used to provide optional terrain context. While not directly used in regression </w:t>
      </w:r>
      <w:proofErr w:type="spellStart"/>
      <w:r w:rsidRPr="00376DFA">
        <w:rPr>
          <w:rFonts w:asciiTheme="majorBidi" w:hAnsiTheme="majorBidi" w:cstheme="majorBidi"/>
        </w:rPr>
        <w:t>modeling</w:t>
      </w:r>
      <w:proofErr w:type="spellEnd"/>
      <w:r w:rsidRPr="00376DFA">
        <w:rPr>
          <w:rFonts w:asciiTheme="majorBidi" w:hAnsiTheme="majorBidi" w:cstheme="majorBidi"/>
        </w:rPr>
        <w:t>, it supports interpretation of urban form, topography, and potential pollutant dispersion patterns.</w:t>
      </w:r>
    </w:p>
    <w:p w14:paraId="4807D10F" w14:textId="77777777" w:rsidR="006068D4" w:rsidRPr="00376DFA" w:rsidRDefault="006068D4" w:rsidP="006068D4">
      <w:pPr>
        <w:rPr>
          <w:rFonts w:asciiTheme="majorBidi" w:hAnsiTheme="majorBidi" w:cstheme="majorBidi"/>
        </w:rPr>
      </w:pPr>
      <w:r w:rsidRPr="00376DFA">
        <w:rPr>
          <w:rFonts w:asciiTheme="majorBidi" w:hAnsiTheme="majorBidi" w:cstheme="majorBidi"/>
        </w:rPr>
        <w:t xml:space="preserve">All datasets were aligned to a uniform spatial reference (WGS 84), and pollution and mobility records were aggregated by 5-character geohash zones (~3x3 km²) to enable cross-comparison and </w:t>
      </w:r>
      <w:proofErr w:type="spellStart"/>
      <w:r w:rsidRPr="00376DFA">
        <w:rPr>
          <w:rFonts w:asciiTheme="majorBidi" w:hAnsiTheme="majorBidi" w:cstheme="majorBidi"/>
        </w:rPr>
        <w:t>modeling</w:t>
      </w:r>
      <w:proofErr w:type="spellEnd"/>
      <w:r w:rsidRPr="00376DFA">
        <w:rPr>
          <w:rFonts w:asciiTheme="majorBidi" w:hAnsiTheme="majorBidi" w:cstheme="majorBidi"/>
        </w:rPr>
        <w:t xml:space="preserve"> at the sub-city level.</w:t>
      </w:r>
    </w:p>
    <w:p w14:paraId="32BF4347" w14:textId="27BE60B5" w:rsidR="006068D4" w:rsidRPr="00791455" w:rsidRDefault="006068D4" w:rsidP="00791455">
      <w:pPr>
        <w:pStyle w:val="Heading2"/>
        <w:numPr>
          <w:ilvl w:val="1"/>
          <w:numId w:val="14"/>
        </w:numPr>
        <w:rPr>
          <w:rFonts w:asciiTheme="majorBidi" w:hAnsiTheme="majorBidi"/>
          <w:color w:val="auto"/>
          <w:sz w:val="28"/>
          <w:szCs w:val="28"/>
        </w:rPr>
      </w:pPr>
      <w:r w:rsidRPr="00791455">
        <w:rPr>
          <w:rFonts w:asciiTheme="majorBidi" w:hAnsiTheme="majorBidi"/>
          <w:color w:val="auto"/>
          <w:sz w:val="28"/>
          <w:szCs w:val="28"/>
        </w:rPr>
        <w:t>Spatial Processing and Zoning</w:t>
      </w:r>
    </w:p>
    <w:p w14:paraId="6E84BB74" w14:textId="77777777" w:rsidR="006068D4" w:rsidRPr="00376DFA" w:rsidRDefault="006068D4" w:rsidP="006068D4">
      <w:pPr>
        <w:numPr>
          <w:ilvl w:val="0"/>
          <w:numId w:val="2"/>
        </w:numPr>
        <w:rPr>
          <w:rFonts w:asciiTheme="majorBidi" w:hAnsiTheme="majorBidi" w:cstheme="majorBidi"/>
        </w:rPr>
      </w:pPr>
      <w:r w:rsidRPr="00376DFA">
        <w:rPr>
          <w:rFonts w:asciiTheme="majorBidi" w:hAnsiTheme="majorBidi" w:cstheme="majorBidi"/>
        </w:rPr>
        <w:t>UAE cities were divided into spatially consistent geohash zones using latitude/longitude coordinates.</w:t>
      </w:r>
    </w:p>
    <w:p w14:paraId="751855CC" w14:textId="77777777" w:rsidR="006068D4" w:rsidRPr="00376DFA" w:rsidRDefault="006068D4" w:rsidP="006068D4">
      <w:pPr>
        <w:numPr>
          <w:ilvl w:val="0"/>
          <w:numId w:val="2"/>
        </w:numPr>
        <w:rPr>
          <w:rFonts w:asciiTheme="majorBidi" w:hAnsiTheme="majorBidi" w:cstheme="majorBidi"/>
        </w:rPr>
      </w:pPr>
      <w:r w:rsidRPr="00376DFA">
        <w:rPr>
          <w:rFonts w:asciiTheme="majorBidi" w:hAnsiTheme="majorBidi" w:cstheme="majorBidi"/>
        </w:rPr>
        <w:t>Land use information was used to assign each zone a functional label (e.g., residential, industrial, commercial).</w:t>
      </w:r>
    </w:p>
    <w:p w14:paraId="41A0770F" w14:textId="77777777" w:rsidR="006068D4" w:rsidRPr="00376DFA" w:rsidRDefault="006068D4" w:rsidP="006068D4">
      <w:pPr>
        <w:numPr>
          <w:ilvl w:val="0"/>
          <w:numId w:val="2"/>
        </w:numPr>
        <w:rPr>
          <w:rFonts w:asciiTheme="majorBidi" w:hAnsiTheme="majorBidi" w:cstheme="majorBidi"/>
        </w:rPr>
      </w:pPr>
      <w:r w:rsidRPr="00376DFA">
        <w:rPr>
          <w:rFonts w:asciiTheme="majorBidi" w:hAnsiTheme="majorBidi" w:cstheme="majorBidi"/>
        </w:rPr>
        <w:t>Data from all sources were aggregated at the geohash level to enable multi-layer analysis.</w:t>
      </w:r>
    </w:p>
    <w:p w14:paraId="44044F58" w14:textId="250CCFFF" w:rsidR="006068D4" w:rsidRPr="00791455" w:rsidRDefault="006068D4" w:rsidP="00791455">
      <w:pPr>
        <w:pStyle w:val="Heading2"/>
        <w:numPr>
          <w:ilvl w:val="1"/>
          <w:numId w:val="14"/>
        </w:numPr>
        <w:rPr>
          <w:rFonts w:asciiTheme="majorBidi" w:hAnsiTheme="majorBidi"/>
          <w:color w:val="auto"/>
          <w:sz w:val="28"/>
          <w:szCs w:val="28"/>
        </w:rPr>
      </w:pPr>
      <w:r w:rsidRPr="00791455">
        <w:rPr>
          <w:rFonts w:asciiTheme="majorBidi" w:hAnsiTheme="majorBidi"/>
          <w:color w:val="auto"/>
          <w:sz w:val="28"/>
          <w:szCs w:val="28"/>
        </w:rPr>
        <w:t>Analytical Techniques</w:t>
      </w:r>
    </w:p>
    <w:p w14:paraId="7464B516" w14:textId="77777777" w:rsidR="006068D4" w:rsidRPr="00376DFA" w:rsidRDefault="006068D4" w:rsidP="006068D4">
      <w:pPr>
        <w:numPr>
          <w:ilvl w:val="0"/>
          <w:numId w:val="3"/>
        </w:numPr>
        <w:rPr>
          <w:rFonts w:asciiTheme="majorBidi" w:hAnsiTheme="majorBidi" w:cstheme="majorBidi"/>
        </w:rPr>
      </w:pPr>
      <w:r w:rsidRPr="00376DFA">
        <w:rPr>
          <w:rFonts w:asciiTheme="majorBidi" w:hAnsiTheme="majorBidi" w:cstheme="majorBidi"/>
          <w:b/>
          <w:bCs/>
        </w:rPr>
        <w:t>Exploratory Data Analysis (EDA)</w:t>
      </w:r>
    </w:p>
    <w:p w14:paraId="56841031"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Temporal trends in NO₂, SO₂, and aerosol levels</w:t>
      </w:r>
    </w:p>
    <w:p w14:paraId="236E03BD"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Correlations between mobility scores and pollutant levels</w:t>
      </w:r>
    </w:p>
    <w:p w14:paraId="4E923EA1"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Outlier detection for abnormal pollution-mobility patterns</w:t>
      </w:r>
    </w:p>
    <w:p w14:paraId="5B797F94" w14:textId="77777777" w:rsidR="006068D4" w:rsidRPr="00376DFA" w:rsidRDefault="006068D4" w:rsidP="006068D4">
      <w:pPr>
        <w:numPr>
          <w:ilvl w:val="0"/>
          <w:numId w:val="3"/>
        </w:numPr>
        <w:rPr>
          <w:rFonts w:asciiTheme="majorBidi" w:hAnsiTheme="majorBidi" w:cstheme="majorBidi"/>
        </w:rPr>
      </w:pPr>
      <w:r w:rsidRPr="00376DFA">
        <w:rPr>
          <w:rFonts w:asciiTheme="majorBidi" w:hAnsiTheme="majorBidi" w:cstheme="majorBidi"/>
          <w:b/>
          <w:bCs/>
        </w:rPr>
        <w:lastRenderedPageBreak/>
        <w:t>Clustering Analysis</w:t>
      </w:r>
    </w:p>
    <w:p w14:paraId="5F20297B"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K-Means clustering applied to geohash zones using pollution, mobility, and population features</w:t>
      </w:r>
    </w:p>
    <w:p w14:paraId="6FE42FEB"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 xml:space="preserve">Result: zones </w:t>
      </w:r>
      <w:proofErr w:type="spellStart"/>
      <w:r w:rsidRPr="00376DFA">
        <w:rPr>
          <w:rFonts w:asciiTheme="majorBidi" w:hAnsiTheme="majorBidi" w:cstheme="majorBidi"/>
        </w:rPr>
        <w:t>labeled</w:t>
      </w:r>
      <w:proofErr w:type="spellEnd"/>
      <w:r w:rsidRPr="00376DFA">
        <w:rPr>
          <w:rFonts w:asciiTheme="majorBidi" w:hAnsiTheme="majorBidi" w:cstheme="majorBidi"/>
        </w:rPr>
        <w:t xml:space="preserve"> as "High Mobility–High Pollution", "Low Mobility–High Pollution", etc.</w:t>
      </w:r>
    </w:p>
    <w:p w14:paraId="200F3B37" w14:textId="77777777" w:rsidR="006068D4" w:rsidRPr="00376DFA" w:rsidRDefault="006068D4" w:rsidP="006068D4">
      <w:pPr>
        <w:numPr>
          <w:ilvl w:val="0"/>
          <w:numId w:val="3"/>
        </w:numPr>
        <w:rPr>
          <w:rFonts w:asciiTheme="majorBidi" w:hAnsiTheme="majorBidi" w:cstheme="majorBidi"/>
        </w:rPr>
      </w:pPr>
      <w:r w:rsidRPr="00376DFA">
        <w:rPr>
          <w:rFonts w:asciiTheme="majorBidi" w:hAnsiTheme="majorBidi" w:cstheme="majorBidi"/>
          <w:b/>
          <w:bCs/>
        </w:rPr>
        <w:t xml:space="preserve">Regression </w:t>
      </w:r>
      <w:proofErr w:type="spellStart"/>
      <w:r w:rsidRPr="00376DFA">
        <w:rPr>
          <w:rFonts w:asciiTheme="majorBidi" w:hAnsiTheme="majorBidi" w:cstheme="majorBidi"/>
          <w:b/>
          <w:bCs/>
        </w:rPr>
        <w:t>Modeling</w:t>
      </w:r>
      <w:proofErr w:type="spellEnd"/>
    </w:p>
    <w:p w14:paraId="035F75BD"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Linear and Random Forest models trained to predict NO₂ levels based on mobility score, population density, and land use</w:t>
      </w:r>
    </w:p>
    <w:p w14:paraId="00349574"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Model accuracy validated using R² and RMSE metrics</w:t>
      </w:r>
    </w:p>
    <w:p w14:paraId="7C5622AF" w14:textId="77777777" w:rsidR="006068D4" w:rsidRPr="00376DFA" w:rsidRDefault="006068D4" w:rsidP="006068D4">
      <w:pPr>
        <w:numPr>
          <w:ilvl w:val="0"/>
          <w:numId w:val="3"/>
        </w:numPr>
        <w:rPr>
          <w:rFonts w:asciiTheme="majorBidi" w:hAnsiTheme="majorBidi" w:cstheme="majorBidi"/>
        </w:rPr>
      </w:pPr>
      <w:r w:rsidRPr="00376DFA">
        <w:rPr>
          <w:rFonts w:asciiTheme="majorBidi" w:hAnsiTheme="majorBidi" w:cstheme="majorBidi"/>
          <w:b/>
          <w:bCs/>
        </w:rPr>
        <w:t>Forecast Scenario Simulation</w:t>
      </w:r>
    </w:p>
    <w:p w14:paraId="0F7D7F7A"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Models applied to 2023–2025 forecasted datasets</w:t>
      </w:r>
    </w:p>
    <w:p w14:paraId="5C901C66" w14:textId="77777777" w:rsidR="006068D4" w:rsidRPr="00376DFA" w:rsidRDefault="006068D4" w:rsidP="006068D4">
      <w:pPr>
        <w:numPr>
          <w:ilvl w:val="1"/>
          <w:numId w:val="3"/>
        </w:numPr>
        <w:rPr>
          <w:rFonts w:asciiTheme="majorBidi" w:hAnsiTheme="majorBidi" w:cstheme="majorBidi"/>
        </w:rPr>
      </w:pPr>
      <w:r w:rsidRPr="00376DFA">
        <w:rPr>
          <w:rFonts w:asciiTheme="majorBidi" w:hAnsiTheme="majorBidi" w:cstheme="majorBidi"/>
        </w:rPr>
        <w:t>Scenario analysis (e.g., +30% mobility increase) to assess future risk zones</w:t>
      </w:r>
    </w:p>
    <w:p w14:paraId="1F9E4DEC" w14:textId="77777777" w:rsidR="006068D4" w:rsidRPr="00376DFA" w:rsidRDefault="006068D4" w:rsidP="006068D4">
      <w:pPr>
        <w:numPr>
          <w:ilvl w:val="0"/>
          <w:numId w:val="3"/>
        </w:numPr>
        <w:rPr>
          <w:rFonts w:asciiTheme="majorBidi" w:hAnsiTheme="majorBidi" w:cstheme="majorBidi"/>
        </w:rPr>
      </w:pPr>
      <w:r w:rsidRPr="00376DFA">
        <w:rPr>
          <w:rFonts w:asciiTheme="majorBidi" w:hAnsiTheme="majorBidi" w:cstheme="majorBidi"/>
          <w:b/>
          <w:bCs/>
        </w:rPr>
        <w:t>Visualization</w:t>
      </w:r>
    </w:p>
    <w:p w14:paraId="17201A8C" w14:textId="77777777" w:rsidR="006068D4" w:rsidRDefault="006068D4" w:rsidP="006068D4">
      <w:pPr>
        <w:numPr>
          <w:ilvl w:val="1"/>
          <w:numId w:val="3"/>
        </w:numPr>
        <w:rPr>
          <w:rFonts w:asciiTheme="majorBidi" w:hAnsiTheme="majorBidi" w:cstheme="majorBidi"/>
        </w:rPr>
      </w:pPr>
      <w:r w:rsidRPr="00376DFA">
        <w:rPr>
          <w:rFonts w:asciiTheme="majorBidi" w:hAnsiTheme="majorBidi" w:cstheme="majorBidi"/>
        </w:rPr>
        <w:t xml:space="preserve">Heatmaps, scatterplots, and interactive maps generated via Python (e.g., seaborn, folium, </w:t>
      </w:r>
      <w:proofErr w:type="spellStart"/>
      <w:r w:rsidRPr="00376DFA">
        <w:rPr>
          <w:rFonts w:asciiTheme="majorBidi" w:hAnsiTheme="majorBidi" w:cstheme="majorBidi"/>
        </w:rPr>
        <w:t>rasterio</w:t>
      </w:r>
      <w:proofErr w:type="spellEnd"/>
      <w:r w:rsidRPr="00376DFA">
        <w:rPr>
          <w:rFonts w:asciiTheme="majorBidi" w:hAnsiTheme="majorBidi" w:cstheme="majorBidi"/>
        </w:rPr>
        <w:t>)</w:t>
      </w:r>
    </w:p>
    <w:p w14:paraId="1CDF169A" w14:textId="77777777" w:rsidR="00493781" w:rsidRPr="00376DFA" w:rsidRDefault="00493781" w:rsidP="00493781">
      <w:pPr>
        <w:ind w:left="1440"/>
        <w:rPr>
          <w:rFonts w:asciiTheme="majorBidi" w:hAnsiTheme="majorBidi" w:cstheme="majorBidi"/>
        </w:rPr>
      </w:pPr>
    </w:p>
    <w:p w14:paraId="0132575D" w14:textId="0777F73C" w:rsidR="006068D4" w:rsidRPr="00791455" w:rsidRDefault="006068D4" w:rsidP="00791455">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Results and Discussion</w:t>
      </w:r>
    </w:p>
    <w:p w14:paraId="7964B710" w14:textId="7B80F5FA" w:rsidR="00376DFA" w:rsidRPr="008D46A3" w:rsidRDefault="00376DFA" w:rsidP="00791455">
      <w:pPr>
        <w:pStyle w:val="Heading2"/>
        <w:numPr>
          <w:ilvl w:val="1"/>
          <w:numId w:val="15"/>
        </w:numPr>
        <w:rPr>
          <w:rFonts w:asciiTheme="majorBidi" w:hAnsiTheme="majorBidi"/>
          <w:b/>
          <w:bCs/>
          <w:color w:val="auto"/>
          <w:sz w:val="28"/>
          <w:szCs w:val="28"/>
        </w:rPr>
      </w:pPr>
      <w:r w:rsidRPr="008D46A3">
        <w:rPr>
          <w:rFonts w:asciiTheme="majorBidi" w:hAnsiTheme="majorBidi"/>
          <w:b/>
          <w:bCs/>
          <w:color w:val="auto"/>
          <w:sz w:val="28"/>
          <w:szCs w:val="28"/>
        </w:rPr>
        <w:t>Historical Phase Results (2020–2022)</w:t>
      </w:r>
    </w:p>
    <w:p w14:paraId="27CFC9DD" w14:textId="303522EC" w:rsidR="00376DFA" w:rsidRPr="00ED0D56" w:rsidRDefault="00376DFA" w:rsidP="00791455">
      <w:pPr>
        <w:pStyle w:val="Heading3"/>
        <w:numPr>
          <w:ilvl w:val="2"/>
          <w:numId w:val="15"/>
        </w:numPr>
        <w:rPr>
          <w:rFonts w:asciiTheme="majorBidi" w:hAnsiTheme="majorBidi"/>
          <w:color w:val="auto"/>
          <w:sz w:val="26"/>
          <w:szCs w:val="26"/>
        </w:rPr>
      </w:pPr>
      <w:r w:rsidRPr="00ED0D56">
        <w:rPr>
          <w:rFonts w:asciiTheme="majorBidi" w:hAnsiTheme="majorBidi"/>
          <w:color w:val="auto"/>
          <w:sz w:val="26"/>
          <w:szCs w:val="26"/>
        </w:rPr>
        <w:t>Urban Air Quality Overview (2020–2022)</w:t>
      </w:r>
    </w:p>
    <w:p w14:paraId="6DD67E49" w14:textId="77777777" w:rsidR="00AF7A2E" w:rsidRDefault="00E71792" w:rsidP="00ED0D56">
      <w:pPr>
        <w:spacing w:after="0"/>
        <w:jc w:val="both"/>
        <w:rPr>
          <w:rFonts w:asciiTheme="majorBidi" w:hAnsiTheme="majorBidi" w:cstheme="majorBidi"/>
        </w:rPr>
      </w:pPr>
      <w:r w:rsidRPr="00E71792">
        <w:rPr>
          <w:rFonts w:asciiTheme="majorBidi" w:hAnsiTheme="majorBidi" w:cstheme="majorBidi"/>
        </w:rPr>
        <w:t xml:space="preserve">The exploratory analysis of UAE's air quality and mobility between 2020 and 2022 was conducted using geohash-aggregated data. Each data point in the pollution and mobility datasets was mapped to a </w:t>
      </w:r>
      <w:r w:rsidRPr="00E71792">
        <w:rPr>
          <w:rFonts w:asciiTheme="majorBidi" w:hAnsiTheme="majorBidi" w:cstheme="majorBidi"/>
          <w:b/>
          <w:bCs/>
        </w:rPr>
        <w:t>5-character geohash</w:t>
      </w:r>
      <w:r w:rsidRPr="00E71792">
        <w:rPr>
          <w:rFonts w:asciiTheme="majorBidi" w:hAnsiTheme="majorBidi" w:cstheme="majorBidi"/>
        </w:rPr>
        <w:t xml:space="preserve">, corresponding to a spatial granularity of approximately </w:t>
      </w:r>
      <w:r w:rsidRPr="00E71792">
        <w:rPr>
          <w:rFonts w:asciiTheme="majorBidi" w:hAnsiTheme="majorBidi" w:cstheme="majorBidi"/>
          <w:b/>
          <w:bCs/>
        </w:rPr>
        <w:t>3 km²</w:t>
      </w:r>
      <w:r w:rsidRPr="00E71792">
        <w:rPr>
          <w:rFonts w:asciiTheme="majorBidi" w:hAnsiTheme="majorBidi" w:cstheme="majorBidi"/>
        </w:rPr>
        <w:t xml:space="preserve">. </w:t>
      </w:r>
    </w:p>
    <w:p w14:paraId="1090A073" w14:textId="77777777" w:rsidR="00493781" w:rsidRDefault="00493781" w:rsidP="00ED0D56">
      <w:pPr>
        <w:spacing w:after="0"/>
        <w:jc w:val="both"/>
        <w:rPr>
          <w:rFonts w:asciiTheme="majorBidi" w:hAnsiTheme="majorBidi" w:cstheme="majorBidi"/>
        </w:rPr>
      </w:pPr>
    </w:p>
    <w:p w14:paraId="16605D34" w14:textId="77777777" w:rsidR="00AF7A2E" w:rsidRDefault="00AF7A2E" w:rsidP="00ED0D56">
      <w:pPr>
        <w:spacing w:after="0"/>
        <w:jc w:val="both"/>
        <w:rPr>
          <w:rFonts w:asciiTheme="majorBidi" w:hAnsiTheme="majorBidi" w:cstheme="majorBidi"/>
        </w:rPr>
      </w:pPr>
    </w:p>
    <w:p w14:paraId="173535EE" w14:textId="38804BF1" w:rsidR="00AF7A2E" w:rsidRDefault="00AF7A2E" w:rsidP="00ED0D56">
      <w:pPr>
        <w:spacing w:after="0"/>
        <w:jc w:val="both"/>
        <w:rPr>
          <w:rFonts w:asciiTheme="majorBidi" w:hAnsiTheme="majorBidi" w:cstheme="majorBidi"/>
        </w:rPr>
      </w:pPr>
      <w:r>
        <w:rPr>
          <w:rFonts w:asciiTheme="majorBidi" w:hAnsiTheme="majorBidi" w:cstheme="majorBidi"/>
          <w:noProof/>
        </w:rPr>
        <w:drawing>
          <wp:inline distT="0" distB="0" distL="0" distR="0" wp14:anchorId="2CEE35CB" wp14:editId="1A9BD0B3">
            <wp:extent cx="5067300" cy="2257436"/>
            <wp:effectExtent l="0" t="0" r="0" b="9525"/>
            <wp:docPr id="1967730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0629" name="Picture 1967730629"/>
                    <pic:cNvPicPr/>
                  </pic:nvPicPr>
                  <pic:blipFill>
                    <a:blip r:embed="rId5">
                      <a:extLst>
                        <a:ext uri="{28A0092B-C50C-407E-A947-70E740481C1C}">
                          <a14:useLocalDpi xmlns:a14="http://schemas.microsoft.com/office/drawing/2010/main" val="0"/>
                        </a:ext>
                      </a:extLst>
                    </a:blip>
                    <a:stretch>
                      <a:fillRect/>
                    </a:stretch>
                  </pic:blipFill>
                  <pic:spPr>
                    <a:xfrm>
                      <a:off x="0" y="0"/>
                      <a:ext cx="5074207" cy="2260513"/>
                    </a:xfrm>
                    <a:prstGeom prst="rect">
                      <a:avLst/>
                    </a:prstGeom>
                  </pic:spPr>
                </pic:pic>
              </a:graphicData>
            </a:graphic>
          </wp:inline>
        </w:drawing>
      </w:r>
    </w:p>
    <w:p w14:paraId="18D72D30" w14:textId="26AAAD3F" w:rsidR="00AF7A2E" w:rsidRDefault="00AF7A2E" w:rsidP="00AF7A2E">
      <w:pPr>
        <w:spacing w:after="0"/>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Time series of retail and recreation mobility changes from 2020 to 2022 across UAE emirates. Abu Dhabi and Dubai show the largest activity rebounds post-2020 lockdowns.</w:t>
      </w:r>
    </w:p>
    <w:p w14:paraId="461FBC6F" w14:textId="77777777" w:rsidR="00AF7A2E" w:rsidRDefault="00AF7A2E" w:rsidP="00AF7A2E">
      <w:pPr>
        <w:spacing w:after="0"/>
        <w:jc w:val="both"/>
        <w:rPr>
          <w:rFonts w:asciiTheme="majorBidi" w:hAnsiTheme="majorBidi" w:cstheme="majorBidi"/>
        </w:rPr>
      </w:pPr>
    </w:p>
    <w:p w14:paraId="1CC15656" w14:textId="09E45D2D" w:rsidR="00E71792" w:rsidRPr="00E71792" w:rsidRDefault="00E71792" w:rsidP="00ED0D56">
      <w:pPr>
        <w:spacing w:after="0"/>
        <w:jc w:val="both"/>
        <w:rPr>
          <w:rFonts w:asciiTheme="majorBidi" w:hAnsiTheme="majorBidi" w:cstheme="majorBidi"/>
        </w:rPr>
      </w:pPr>
      <w:r w:rsidRPr="00E71792">
        <w:rPr>
          <w:rFonts w:asciiTheme="majorBidi" w:hAnsiTheme="majorBidi" w:cstheme="majorBidi"/>
        </w:rPr>
        <w:lastRenderedPageBreak/>
        <w:t>This approach allowed for localized tracking of environmental conditions across cities.</w:t>
      </w:r>
    </w:p>
    <w:p w14:paraId="4019D2EC" w14:textId="77777777" w:rsidR="00E71792" w:rsidRPr="00E71792" w:rsidRDefault="00E71792" w:rsidP="00ED0D56">
      <w:pPr>
        <w:spacing w:after="0"/>
        <w:jc w:val="both"/>
        <w:rPr>
          <w:rFonts w:asciiTheme="majorBidi" w:hAnsiTheme="majorBidi" w:cstheme="majorBidi"/>
        </w:rPr>
      </w:pPr>
      <w:r w:rsidRPr="00E71792">
        <w:rPr>
          <w:rFonts w:asciiTheme="majorBidi" w:hAnsiTheme="majorBidi" w:cstheme="majorBidi"/>
        </w:rPr>
        <w:t>To achieve this:</w:t>
      </w:r>
    </w:p>
    <w:p w14:paraId="39BD6B9F" w14:textId="77777777" w:rsidR="00E71792" w:rsidRP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Latitude and longitude coordinates in the </w:t>
      </w:r>
      <w:r w:rsidRPr="00E71792">
        <w:rPr>
          <w:rFonts w:asciiTheme="majorBidi" w:hAnsiTheme="majorBidi" w:cstheme="majorBidi"/>
          <w:b/>
          <w:bCs/>
        </w:rPr>
        <w:t>mobility dataset</w:t>
      </w:r>
      <w:r w:rsidRPr="00E71792">
        <w:rPr>
          <w:rFonts w:asciiTheme="majorBidi" w:hAnsiTheme="majorBidi" w:cstheme="majorBidi"/>
        </w:rPr>
        <w:t xml:space="preserve"> were converted to geohashes using the geohash2.encode() function with precision=5.</w:t>
      </w:r>
    </w:p>
    <w:p w14:paraId="32D67BF8" w14:textId="77777777" w:rsidR="00E71792" w:rsidRP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A </w:t>
      </w:r>
      <w:r w:rsidRPr="00E71792">
        <w:rPr>
          <w:rFonts w:asciiTheme="majorBidi" w:hAnsiTheme="majorBidi" w:cstheme="majorBidi"/>
          <w:b/>
          <w:bCs/>
        </w:rPr>
        <w:t>composite mobility score</w:t>
      </w:r>
      <w:r w:rsidRPr="00E71792">
        <w:rPr>
          <w:rFonts w:asciiTheme="majorBidi" w:hAnsiTheme="majorBidi" w:cstheme="majorBidi"/>
        </w:rPr>
        <w:t xml:space="preserve"> was calculated as the mean of workplace and transit station mobility changes. Missing or incomplete records were removed to ensure data integrity.</w:t>
      </w:r>
    </w:p>
    <w:p w14:paraId="695E9E53" w14:textId="77777777" w:rsid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The dataset was grouped by geohash to compute the </w:t>
      </w:r>
      <w:r w:rsidRPr="00E71792">
        <w:rPr>
          <w:rFonts w:asciiTheme="majorBidi" w:hAnsiTheme="majorBidi" w:cstheme="majorBidi"/>
          <w:b/>
          <w:bCs/>
        </w:rPr>
        <w:t>mean mobility score per zone</w:t>
      </w:r>
      <w:r w:rsidRPr="00E71792">
        <w:rPr>
          <w:rFonts w:asciiTheme="majorBidi" w:hAnsiTheme="majorBidi" w:cstheme="majorBidi"/>
        </w:rPr>
        <w:t xml:space="preserve">, resulting in </w:t>
      </w:r>
      <w:r w:rsidRPr="00E71792">
        <w:rPr>
          <w:rFonts w:asciiTheme="majorBidi" w:hAnsiTheme="majorBidi" w:cstheme="majorBidi"/>
          <w:b/>
          <w:bCs/>
        </w:rPr>
        <w:t>205 unique geohash zones</w:t>
      </w:r>
      <w:r w:rsidRPr="00E71792">
        <w:rPr>
          <w:rFonts w:asciiTheme="majorBidi" w:hAnsiTheme="majorBidi" w:cstheme="majorBidi"/>
        </w:rPr>
        <w:t xml:space="preserve"> (</w:t>
      </w:r>
      <w:proofErr w:type="gramStart"/>
      <w:r w:rsidRPr="00E71792">
        <w:rPr>
          <w:rFonts w:asciiTheme="majorBidi" w:hAnsiTheme="majorBidi" w:cstheme="majorBidi"/>
        </w:rPr>
        <w:t>print(</w:t>
      </w:r>
      <w:proofErr w:type="gramEnd"/>
      <w:r w:rsidRPr="00E71792">
        <w:rPr>
          <w:rFonts w:asciiTheme="majorBidi" w:hAnsiTheme="majorBidi" w:cstheme="majorBidi"/>
        </w:rPr>
        <w:t>f"...: {</w:t>
      </w:r>
      <w:proofErr w:type="spellStart"/>
      <w:r w:rsidRPr="00E71792">
        <w:rPr>
          <w:rFonts w:asciiTheme="majorBidi" w:hAnsiTheme="majorBidi" w:cstheme="majorBidi"/>
        </w:rPr>
        <w:t>unique_mobility_geohashes</w:t>
      </w:r>
      <w:proofErr w:type="spellEnd"/>
      <w:r w:rsidRPr="00E71792">
        <w:rPr>
          <w:rFonts w:asciiTheme="majorBidi" w:hAnsiTheme="majorBidi" w:cstheme="majorBidi"/>
        </w:rPr>
        <w:t>})).</w:t>
      </w:r>
    </w:p>
    <w:p w14:paraId="6EF7F895" w14:textId="77777777" w:rsidR="00ED0D56" w:rsidRPr="00E71792" w:rsidRDefault="00ED0D56" w:rsidP="00ED0D56">
      <w:pPr>
        <w:spacing w:after="0"/>
        <w:ind w:left="720"/>
        <w:jc w:val="both"/>
        <w:rPr>
          <w:rFonts w:asciiTheme="majorBidi" w:hAnsiTheme="majorBidi" w:cstheme="majorBidi"/>
        </w:rPr>
      </w:pPr>
    </w:p>
    <w:p w14:paraId="16BC8361" w14:textId="508C9645" w:rsidR="00E71792" w:rsidRDefault="00E71792" w:rsidP="00C14340">
      <w:pPr>
        <w:spacing w:after="0"/>
        <w:jc w:val="both"/>
        <w:rPr>
          <w:rFonts w:asciiTheme="majorBidi" w:hAnsiTheme="majorBidi" w:cstheme="majorBidi"/>
        </w:rPr>
      </w:pPr>
      <w:r w:rsidRPr="00E71792">
        <w:rPr>
          <w:rFonts w:asciiTheme="majorBidi" w:hAnsiTheme="majorBidi" w:cstheme="majorBidi"/>
        </w:rPr>
        <w:t xml:space="preserve">Pollution data (from </w:t>
      </w:r>
      <w:proofErr w:type="spellStart"/>
      <w:r w:rsidRPr="00E71792">
        <w:rPr>
          <w:rFonts w:asciiTheme="majorBidi" w:hAnsiTheme="majorBidi" w:cstheme="majorBidi"/>
        </w:rPr>
        <w:t>OpenAQ</w:t>
      </w:r>
      <w:proofErr w:type="spellEnd"/>
      <w:r w:rsidRPr="00E71792">
        <w:rPr>
          <w:rFonts w:asciiTheme="majorBidi" w:hAnsiTheme="majorBidi" w:cstheme="majorBidi"/>
        </w:rPr>
        <w:t xml:space="preserve"> or similar sources) was also aggregated by geohash</w:t>
      </w:r>
      <w:r w:rsidR="00C14340">
        <w:rPr>
          <w:rFonts w:asciiTheme="majorBidi" w:hAnsiTheme="majorBidi" w:cstheme="majorBidi"/>
        </w:rPr>
        <w:t xml:space="preserve">. </w:t>
      </w:r>
      <w:r w:rsidRPr="00E71792">
        <w:rPr>
          <w:rFonts w:asciiTheme="majorBidi" w:hAnsiTheme="majorBidi" w:cstheme="majorBidi"/>
        </w:rPr>
        <w:t xml:space="preserve">This yielded average values for pollutants like </w:t>
      </w:r>
      <w:r w:rsidRPr="00E71792">
        <w:rPr>
          <w:rFonts w:asciiTheme="majorBidi" w:hAnsiTheme="majorBidi" w:cstheme="majorBidi"/>
          <w:b/>
          <w:bCs/>
        </w:rPr>
        <w:t>NO₂</w:t>
      </w:r>
      <w:r w:rsidRPr="00E71792">
        <w:rPr>
          <w:rFonts w:asciiTheme="majorBidi" w:hAnsiTheme="majorBidi" w:cstheme="majorBidi"/>
        </w:rPr>
        <w:t xml:space="preserve">, </w:t>
      </w:r>
      <w:r w:rsidRPr="00E71792">
        <w:rPr>
          <w:rFonts w:asciiTheme="majorBidi" w:hAnsiTheme="majorBidi" w:cstheme="majorBidi"/>
          <w:b/>
          <w:bCs/>
        </w:rPr>
        <w:t>SO₂</w:t>
      </w:r>
      <w:r w:rsidRPr="00E71792">
        <w:rPr>
          <w:rFonts w:asciiTheme="majorBidi" w:hAnsiTheme="majorBidi" w:cstheme="majorBidi"/>
        </w:rPr>
        <w:t xml:space="preserve">, </w:t>
      </w:r>
      <w:r w:rsidRPr="00E71792">
        <w:rPr>
          <w:rFonts w:asciiTheme="majorBidi" w:hAnsiTheme="majorBidi" w:cstheme="majorBidi"/>
          <w:b/>
          <w:bCs/>
        </w:rPr>
        <w:t>PM₁₀</w:t>
      </w:r>
      <w:r w:rsidRPr="00E71792">
        <w:rPr>
          <w:rFonts w:asciiTheme="majorBidi" w:hAnsiTheme="majorBidi" w:cstheme="majorBidi"/>
        </w:rPr>
        <w:t>, and others per zone. The geohash strings in both datasets were normalized to lowercase to enable a clean inner merge.</w:t>
      </w:r>
      <w:r w:rsidR="00C14340">
        <w:rPr>
          <w:rFonts w:asciiTheme="majorBidi" w:hAnsiTheme="majorBidi" w:cstheme="majorBidi"/>
        </w:rPr>
        <w:t xml:space="preserve"> </w:t>
      </w:r>
      <w:r w:rsidRPr="00E71792">
        <w:rPr>
          <w:rFonts w:asciiTheme="majorBidi" w:hAnsiTheme="majorBidi" w:cstheme="majorBidi"/>
        </w:rPr>
        <w:t xml:space="preserve">After cleaning, only </w:t>
      </w:r>
      <w:r w:rsidRPr="00E71792">
        <w:rPr>
          <w:rFonts w:asciiTheme="majorBidi" w:hAnsiTheme="majorBidi" w:cstheme="majorBidi"/>
          <w:b/>
          <w:bCs/>
        </w:rPr>
        <w:t>7 geohash zones</w:t>
      </w:r>
      <w:r w:rsidRPr="00E71792">
        <w:rPr>
          <w:rFonts w:asciiTheme="majorBidi" w:hAnsiTheme="majorBidi" w:cstheme="majorBidi"/>
        </w:rPr>
        <w:t xml:space="preserve"> had valid overlapping records in both the pollution and mobility datasets</w:t>
      </w:r>
      <w:r w:rsidR="00C14340">
        <w:rPr>
          <w:rFonts w:asciiTheme="majorBidi" w:hAnsiTheme="majorBidi" w:cstheme="majorBidi"/>
        </w:rPr>
        <w:t xml:space="preserve">. </w:t>
      </w:r>
      <w:r w:rsidRPr="00E71792">
        <w:rPr>
          <w:rFonts w:asciiTheme="majorBidi" w:hAnsiTheme="majorBidi" w:cstheme="majorBidi"/>
        </w:rPr>
        <w:t xml:space="preserve">These common zones were merged into a final </w:t>
      </w:r>
      <w:proofErr w:type="spellStart"/>
      <w:r w:rsidRPr="00E71792">
        <w:rPr>
          <w:rFonts w:asciiTheme="majorBidi" w:hAnsiTheme="majorBidi" w:cstheme="majorBidi"/>
        </w:rPr>
        <w:t>filtered_df</w:t>
      </w:r>
      <w:proofErr w:type="spellEnd"/>
      <w:r w:rsidRPr="00E71792">
        <w:rPr>
          <w:rFonts w:asciiTheme="majorBidi" w:hAnsiTheme="majorBidi" w:cstheme="majorBidi"/>
        </w:rPr>
        <w:t xml:space="preserve"> table that served as the basis for the </w:t>
      </w:r>
      <w:proofErr w:type="spellStart"/>
      <w:r w:rsidRPr="00E71792">
        <w:rPr>
          <w:rFonts w:asciiTheme="majorBidi" w:hAnsiTheme="majorBidi" w:cstheme="majorBidi"/>
        </w:rPr>
        <w:t>joined_table</w:t>
      </w:r>
      <w:proofErr w:type="spellEnd"/>
      <w:r w:rsidRPr="00E71792">
        <w:rPr>
          <w:rFonts w:asciiTheme="majorBidi" w:hAnsiTheme="majorBidi" w:cstheme="majorBidi"/>
        </w:rPr>
        <w:t xml:space="preserve"> used in later visualizations and statistical analysis.</w:t>
      </w:r>
    </w:p>
    <w:p w14:paraId="1B81ED65" w14:textId="77777777" w:rsidR="00ED0D56" w:rsidRPr="00E71792" w:rsidRDefault="00ED0D56" w:rsidP="00E71792">
      <w:pPr>
        <w:jc w:val="both"/>
        <w:rPr>
          <w:rFonts w:asciiTheme="majorBidi" w:hAnsiTheme="majorBidi" w:cstheme="majorBidi"/>
        </w:rPr>
      </w:pPr>
    </w:p>
    <w:p w14:paraId="3F786B43" w14:textId="7E5E6819" w:rsidR="00E71792" w:rsidRPr="00E71792" w:rsidRDefault="00E71792" w:rsidP="00E71792">
      <w:pPr>
        <w:jc w:val="both"/>
        <w:rPr>
          <w:rFonts w:asciiTheme="majorBidi" w:hAnsiTheme="majorBidi" w:cstheme="majorBidi"/>
        </w:rPr>
      </w:pPr>
      <w:r w:rsidRPr="00E71792">
        <w:rPr>
          <w:rFonts w:asciiTheme="majorBidi" w:hAnsiTheme="majorBidi" w:cstheme="majorBidi"/>
        </w:rPr>
        <w:t>A preview of the combined dataset shows the structure of available variables:</w:t>
      </w:r>
    </w:p>
    <w:tbl>
      <w:tblPr>
        <w:tblStyle w:val="PlainTable4"/>
        <w:tblW w:w="7292" w:type="dxa"/>
        <w:tblLook w:val="04A0" w:firstRow="1" w:lastRow="0" w:firstColumn="1" w:lastColumn="0" w:noHBand="0" w:noVBand="1"/>
      </w:tblPr>
      <w:tblGrid>
        <w:gridCol w:w="1665"/>
        <w:gridCol w:w="983"/>
        <w:gridCol w:w="1109"/>
        <w:gridCol w:w="966"/>
        <w:gridCol w:w="2569"/>
      </w:tblGrid>
      <w:tr w:rsidR="00E71792" w:rsidRPr="00E71792" w14:paraId="05D6E40D" w14:textId="77777777" w:rsidTr="00E71792">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23B7DE8"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Geohash</w:t>
            </w:r>
          </w:p>
        </w:tc>
        <w:tc>
          <w:tcPr>
            <w:tcW w:w="0" w:type="auto"/>
            <w:hideMark/>
          </w:tcPr>
          <w:p w14:paraId="0F59F0CC"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NO₂</w:t>
            </w:r>
          </w:p>
        </w:tc>
        <w:tc>
          <w:tcPr>
            <w:tcW w:w="0" w:type="auto"/>
            <w:hideMark/>
          </w:tcPr>
          <w:p w14:paraId="0877687A"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PM₁₀</w:t>
            </w:r>
          </w:p>
        </w:tc>
        <w:tc>
          <w:tcPr>
            <w:tcW w:w="0" w:type="auto"/>
            <w:hideMark/>
          </w:tcPr>
          <w:p w14:paraId="67EFC3CB"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SO₂</w:t>
            </w:r>
          </w:p>
        </w:tc>
        <w:tc>
          <w:tcPr>
            <w:tcW w:w="0" w:type="auto"/>
            <w:hideMark/>
          </w:tcPr>
          <w:p w14:paraId="74373AC7"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Mobility Score</w:t>
            </w:r>
          </w:p>
        </w:tc>
      </w:tr>
      <w:tr w:rsidR="00E71792" w:rsidRPr="00E71792" w14:paraId="15A49477" w14:textId="77777777" w:rsidTr="00E71792">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FF76EA9"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thqf4</w:t>
            </w:r>
          </w:p>
        </w:tc>
        <w:tc>
          <w:tcPr>
            <w:tcW w:w="0" w:type="auto"/>
            <w:hideMark/>
          </w:tcPr>
          <w:p w14:paraId="725D1C1D"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76.8</w:t>
            </w:r>
          </w:p>
        </w:tc>
        <w:tc>
          <w:tcPr>
            <w:tcW w:w="0" w:type="auto"/>
            <w:hideMark/>
          </w:tcPr>
          <w:p w14:paraId="790C72C0"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94.6</w:t>
            </w:r>
          </w:p>
        </w:tc>
        <w:tc>
          <w:tcPr>
            <w:tcW w:w="0" w:type="auto"/>
            <w:hideMark/>
          </w:tcPr>
          <w:p w14:paraId="6D9B3771"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12.5</w:t>
            </w:r>
          </w:p>
        </w:tc>
        <w:tc>
          <w:tcPr>
            <w:tcW w:w="0" w:type="auto"/>
            <w:hideMark/>
          </w:tcPr>
          <w:p w14:paraId="76AAE874"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12.10</w:t>
            </w:r>
          </w:p>
        </w:tc>
      </w:tr>
      <w:tr w:rsidR="00E71792" w:rsidRPr="00E71792" w14:paraId="0608AA8A" w14:textId="77777777" w:rsidTr="00E71792">
        <w:trPr>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65E0697A" w14:textId="77777777" w:rsidR="00E71792" w:rsidRPr="00E71792" w:rsidRDefault="00E71792" w:rsidP="005D695A">
            <w:pPr>
              <w:spacing w:after="160" w:line="259" w:lineRule="auto"/>
              <w:jc w:val="center"/>
              <w:rPr>
                <w:rFonts w:asciiTheme="majorBidi" w:hAnsiTheme="majorBidi" w:cstheme="majorBidi"/>
              </w:rPr>
            </w:pPr>
            <w:proofErr w:type="spellStart"/>
            <w:r w:rsidRPr="00E71792">
              <w:rPr>
                <w:rFonts w:asciiTheme="majorBidi" w:hAnsiTheme="majorBidi" w:cstheme="majorBidi"/>
              </w:rPr>
              <w:t>thqfb</w:t>
            </w:r>
            <w:proofErr w:type="spellEnd"/>
          </w:p>
        </w:tc>
        <w:tc>
          <w:tcPr>
            <w:tcW w:w="0" w:type="auto"/>
            <w:hideMark/>
          </w:tcPr>
          <w:p w14:paraId="6D3B5BC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31.1</w:t>
            </w:r>
          </w:p>
        </w:tc>
        <w:tc>
          <w:tcPr>
            <w:tcW w:w="0" w:type="auto"/>
            <w:hideMark/>
          </w:tcPr>
          <w:p w14:paraId="193C3E01"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87.1</w:t>
            </w:r>
          </w:p>
        </w:tc>
        <w:tc>
          <w:tcPr>
            <w:tcW w:w="0" w:type="auto"/>
            <w:hideMark/>
          </w:tcPr>
          <w:p w14:paraId="3723711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11.0</w:t>
            </w:r>
          </w:p>
        </w:tc>
        <w:tc>
          <w:tcPr>
            <w:tcW w:w="0" w:type="auto"/>
            <w:hideMark/>
          </w:tcPr>
          <w:p w14:paraId="65B5AF08"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-11.81</w:t>
            </w:r>
          </w:p>
        </w:tc>
      </w:tr>
      <w:tr w:rsidR="00E71792" w:rsidRPr="00E71792" w14:paraId="325CE84A" w14:textId="77777777" w:rsidTr="00E71792">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5832170"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thr97</w:t>
            </w:r>
          </w:p>
        </w:tc>
        <w:tc>
          <w:tcPr>
            <w:tcW w:w="0" w:type="auto"/>
            <w:hideMark/>
          </w:tcPr>
          <w:p w14:paraId="62A68D1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19.2</w:t>
            </w:r>
          </w:p>
        </w:tc>
        <w:tc>
          <w:tcPr>
            <w:tcW w:w="0" w:type="auto"/>
            <w:hideMark/>
          </w:tcPr>
          <w:p w14:paraId="2A7FAF8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67.2</w:t>
            </w:r>
          </w:p>
        </w:tc>
        <w:tc>
          <w:tcPr>
            <w:tcW w:w="0" w:type="auto"/>
            <w:hideMark/>
          </w:tcPr>
          <w:p w14:paraId="7F7DB7C3"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10.4</w:t>
            </w:r>
          </w:p>
        </w:tc>
        <w:tc>
          <w:tcPr>
            <w:tcW w:w="0" w:type="auto"/>
            <w:hideMark/>
          </w:tcPr>
          <w:p w14:paraId="14FFBF5C"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-13.07</w:t>
            </w:r>
          </w:p>
        </w:tc>
      </w:tr>
    </w:tbl>
    <w:p w14:paraId="55E1B734" w14:textId="77777777" w:rsidR="00C14340" w:rsidRPr="00376DFA" w:rsidRDefault="00C14340" w:rsidP="00791455">
      <w:pPr>
        <w:jc w:val="both"/>
        <w:rPr>
          <w:rFonts w:asciiTheme="majorBidi" w:hAnsiTheme="majorBidi" w:cstheme="majorBidi"/>
        </w:rPr>
      </w:pPr>
    </w:p>
    <w:p w14:paraId="6C301C8A" w14:textId="76CAC480"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Geospatial Distribution of Pollutants</w:t>
      </w:r>
    </w:p>
    <w:p w14:paraId="0CC3C5CF" w14:textId="183F74AA" w:rsidR="00376DFA" w:rsidRDefault="005D695A" w:rsidP="00466B57">
      <w:pPr>
        <w:jc w:val="both"/>
        <w:rPr>
          <w:rFonts w:asciiTheme="majorBidi" w:hAnsiTheme="majorBidi" w:cstheme="majorBidi"/>
        </w:rPr>
      </w:pPr>
      <w:r w:rsidRPr="005D695A">
        <w:rPr>
          <w:rFonts w:asciiTheme="majorBidi" w:hAnsiTheme="majorBidi" w:cstheme="majorBidi"/>
        </w:rPr>
        <w:t xml:space="preserve">To investigate the spatial variation of air pollution across the UAE, georeferenced raster data were visualized for NO₂, SO₂, and aerosol index (AAI) concentrations from </w:t>
      </w:r>
      <w:r w:rsidRPr="005D695A">
        <w:rPr>
          <w:rFonts w:asciiTheme="majorBidi" w:hAnsiTheme="majorBidi" w:cstheme="majorBidi"/>
          <w:b/>
          <w:bCs/>
        </w:rPr>
        <w:t>2020 to 2022</w:t>
      </w:r>
      <w:r w:rsidRPr="005D695A">
        <w:rPr>
          <w:rFonts w:asciiTheme="majorBidi" w:hAnsiTheme="majorBidi" w:cstheme="majorBidi"/>
        </w:rPr>
        <w:t xml:space="preserve">. </w:t>
      </w:r>
      <w:r w:rsidRPr="00ED0D56">
        <w:rPr>
          <w:rFonts w:asciiTheme="majorBidi" w:hAnsiTheme="majorBidi" w:cstheme="majorBidi"/>
          <w:color w:val="FF0000"/>
        </w:rPr>
        <w:t xml:space="preserve">Figure </w:t>
      </w:r>
      <w:r w:rsidR="00ED0D56" w:rsidRPr="00ED0D56">
        <w:rPr>
          <w:rFonts w:asciiTheme="majorBidi" w:hAnsiTheme="majorBidi" w:cstheme="majorBidi"/>
          <w:color w:val="FF0000"/>
        </w:rPr>
        <w:t>A</w:t>
      </w:r>
      <w:r w:rsidRPr="005D695A">
        <w:rPr>
          <w:rFonts w:asciiTheme="majorBidi" w:hAnsiTheme="majorBidi" w:cstheme="majorBidi"/>
        </w:rPr>
        <w:t xml:space="preserve"> presents a composite heatmap where brighter areas reflect higher pollutant intensities. These maps, rendered using </w:t>
      </w:r>
      <w:proofErr w:type="spellStart"/>
      <w:r w:rsidRPr="005D695A">
        <w:rPr>
          <w:rFonts w:asciiTheme="majorBidi" w:hAnsiTheme="majorBidi" w:cstheme="majorBidi"/>
        </w:rPr>
        <w:t>rasterio</w:t>
      </w:r>
      <w:proofErr w:type="spellEnd"/>
      <w:r w:rsidRPr="005D695A">
        <w:rPr>
          <w:rFonts w:asciiTheme="majorBidi" w:hAnsiTheme="majorBidi" w:cstheme="majorBidi"/>
        </w:rPr>
        <w:t xml:space="preserve"> and matplotlib, reveal a clear spatial concentration of air quality risks.</w:t>
      </w:r>
    </w:p>
    <w:p w14:paraId="6EF536DF" w14:textId="12DE680A" w:rsidR="005D695A" w:rsidRDefault="00ED0D56" w:rsidP="00C14340">
      <w:pPr>
        <w:jc w:val="center"/>
        <w:rPr>
          <w:rFonts w:asciiTheme="majorBidi" w:hAnsiTheme="majorBidi" w:cstheme="majorBidi"/>
        </w:rPr>
      </w:pPr>
      <w:r>
        <w:rPr>
          <w:rFonts w:asciiTheme="majorBidi" w:hAnsiTheme="majorBidi" w:cstheme="majorBidi"/>
          <w:noProof/>
        </w:rPr>
        <w:drawing>
          <wp:inline distT="0" distB="0" distL="0" distR="0" wp14:anchorId="7949FBB4" wp14:editId="61A50BA0">
            <wp:extent cx="4521157" cy="3129413"/>
            <wp:effectExtent l="0" t="0" r="0" b="0"/>
            <wp:docPr id="731095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5167" name="Picture 731095167"/>
                    <pic:cNvPicPr/>
                  </pic:nvPicPr>
                  <pic:blipFill>
                    <a:blip r:embed="rId6">
                      <a:extLst>
                        <a:ext uri="{28A0092B-C50C-407E-A947-70E740481C1C}">
                          <a14:useLocalDpi xmlns:a14="http://schemas.microsoft.com/office/drawing/2010/main" val="0"/>
                        </a:ext>
                      </a:extLst>
                    </a:blip>
                    <a:stretch>
                      <a:fillRect/>
                    </a:stretch>
                  </pic:blipFill>
                  <pic:spPr>
                    <a:xfrm>
                      <a:off x="0" y="0"/>
                      <a:ext cx="4532805" cy="3137475"/>
                    </a:xfrm>
                    <a:prstGeom prst="rect">
                      <a:avLst/>
                    </a:prstGeom>
                  </pic:spPr>
                </pic:pic>
              </a:graphicData>
            </a:graphic>
          </wp:inline>
        </w:drawing>
      </w:r>
    </w:p>
    <w:p w14:paraId="0E14B596" w14:textId="7D2130E7" w:rsidR="00ED0D56" w:rsidRDefault="00ED0D56" w:rsidP="00ED0D56">
      <w:pPr>
        <w:rPr>
          <w:rFonts w:asciiTheme="majorBidi" w:hAnsiTheme="majorBidi" w:cstheme="majorBidi"/>
        </w:rPr>
      </w:pPr>
      <w:r w:rsidRPr="00ED0D56">
        <w:rPr>
          <w:rFonts w:asciiTheme="majorBidi" w:hAnsiTheme="majorBidi" w:cstheme="majorBidi"/>
          <w:color w:val="FF0000"/>
        </w:rPr>
        <w:lastRenderedPageBreak/>
        <w:t>Figure A</w:t>
      </w:r>
      <w:r>
        <w:rPr>
          <w:rFonts w:asciiTheme="majorBidi" w:hAnsiTheme="majorBidi" w:cstheme="majorBidi"/>
        </w:rPr>
        <w:t xml:space="preserve">: </w:t>
      </w:r>
      <w:r w:rsidRPr="00ED0D56">
        <w:rPr>
          <w:rFonts w:asciiTheme="majorBidi" w:hAnsiTheme="majorBidi" w:cstheme="majorBidi"/>
        </w:rPr>
        <w:t xml:space="preserve">Geospatial distribution of NO₂, SO₂, and Aerosol concentrations in the UAE (2020–2022). Brighter </w:t>
      </w:r>
      <w:proofErr w:type="spellStart"/>
      <w:r w:rsidRPr="00ED0D56">
        <w:rPr>
          <w:rFonts w:asciiTheme="majorBidi" w:hAnsiTheme="majorBidi" w:cstheme="majorBidi"/>
        </w:rPr>
        <w:t>colors</w:t>
      </w:r>
      <w:proofErr w:type="spellEnd"/>
      <w:r w:rsidRPr="00ED0D56">
        <w:rPr>
          <w:rFonts w:asciiTheme="majorBidi" w:hAnsiTheme="majorBidi" w:cstheme="majorBidi"/>
        </w:rPr>
        <w:t xml:space="preserve"> indicate higher pollutant levels.</w:t>
      </w:r>
    </w:p>
    <w:p w14:paraId="577BB55D" w14:textId="77777777" w:rsidR="00ED0D56" w:rsidRPr="00ED0D56" w:rsidRDefault="00ED0D56" w:rsidP="00ED0D56">
      <w:pPr>
        <w:rPr>
          <w:rFonts w:asciiTheme="majorBidi" w:hAnsiTheme="majorBidi" w:cstheme="majorBidi"/>
          <w:b/>
          <w:bCs/>
        </w:rPr>
      </w:pPr>
      <w:r w:rsidRPr="00ED0D56">
        <w:rPr>
          <w:rFonts w:asciiTheme="majorBidi" w:hAnsiTheme="majorBidi" w:cstheme="majorBidi"/>
          <w:b/>
          <w:bCs/>
        </w:rPr>
        <w:t>Key Observations:</w:t>
      </w:r>
    </w:p>
    <w:p w14:paraId="3FE9927E"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b/>
          <w:bCs/>
        </w:rPr>
        <w:t>Abu Dhabi and Dubai</w:t>
      </w:r>
      <w:r w:rsidRPr="00ED0D56">
        <w:rPr>
          <w:rFonts w:asciiTheme="majorBidi" w:hAnsiTheme="majorBidi" w:cstheme="majorBidi"/>
        </w:rPr>
        <w:t xml:space="preserve"> show the most intense pollution concentrations, particularly for NO₂ and PM₁₀, aligning with zones of high traffic density and industrial activity.</w:t>
      </w:r>
    </w:p>
    <w:p w14:paraId="7EA5C037"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b/>
          <w:bCs/>
        </w:rPr>
        <w:t>SO₂ hotspots</w:t>
      </w:r>
      <w:r w:rsidRPr="00ED0D56">
        <w:rPr>
          <w:rFonts w:asciiTheme="majorBidi" w:hAnsiTheme="majorBidi" w:cstheme="majorBidi"/>
        </w:rPr>
        <w:t xml:space="preserve">, however, are more dispersed and do not correlate strongly with urban mobility patterns, indicating </w:t>
      </w:r>
      <w:r w:rsidRPr="00ED0D56">
        <w:rPr>
          <w:rFonts w:asciiTheme="majorBidi" w:hAnsiTheme="majorBidi" w:cstheme="majorBidi"/>
          <w:b/>
          <w:bCs/>
        </w:rPr>
        <w:t>point-source emissions</w:t>
      </w:r>
      <w:r w:rsidRPr="00ED0D56">
        <w:rPr>
          <w:rFonts w:asciiTheme="majorBidi" w:hAnsiTheme="majorBidi" w:cstheme="majorBidi"/>
        </w:rPr>
        <w:t xml:space="preserve"> like oil, gas, and power generation facilities.</w:t>
      </w:r>
    </w:p>
    <w:p w14:paraId="37CBF305"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rPr>
        <w:t>Remote and desert regions exhibit consistently low values, providing a useful contrast baseline.</w:t>
      </w:r>
    </w:p>
    <w:p w14:paraId="2636D62B" w14:textId="77777777" w:rsidR="00ED0D56" w:rsidRPr="00ED0D56" w:rsidRDefault="00ED0D56" w:rsidP="00466B57">
      <w:pPr>
        <w:jc w:val="both"/>
        <w:rPr>
          <w:rFonts w:asciiTheme="majorBidi" w:hAnsiTheme="majorBidi" w:cstheme="majorBidi"/>
        </w:rPr>
      </w:pPr>
      <w:r w:rsidRPr="00ED0D56">
        <w:rPr>
          <w:rFonts w:asciiTheme="majorBidi" w:hAnsiTheme="majorBidi" w:cstheme="majorBidi"/>
        </w:rPr>
        <w:t>These spatial insights form the foundation for zone-based clustering and forecasting that follow in later sections.</w:t>
      </w:r>
    </w:p>
    <w:p w14:paraId="64C53B45" w14:textId="77777777" w:rsidR="00E71792" w:rsidRPr="00376DFA" w:rsidRDefault="00E71792" w:rsidP="00376DFA">
      <w:pPr>
        <w:rPr>
          <w:rFonts w:asciiTheme="majorBidi" w:hAnsiTheme="majorBidi" w:cstheme="majorBidi"/>
        </w:rPr>
      </w:pPr>
    </w:p>
    <w:p w14:paraId="4D884A6C" w14:textId="1572E084" w:rsidR="00376DFA" w:rsidRPr="00376DFA" w:rsidRDefault="00376DFA" w:rsidP="00791455">
      <w:pPr>
        <w:pStyle w:val="Heading3"/>
        <w:numPr>
          <w:ilvl w:val="2"/>
          <w:numId w:val="15"/>
        </w:numPr>
        <w:rPr>
          <w:rFonts w:asciiTheme="majorBidi" w:hAnsiTheme="majorBidi"/>
          <w:b/>
          <w:bCs/>
          <w:color w:val="auto"/>
          <w:sz w:val="26"/>
          <w:szCs w:val="26"/>
        </w:rPr>
      </w:pPr>
      <w:r w:rsidRPr="00376DFA">
        <w:rPr>
          <w:rFonts w:asciiTheme="majorBidi" w:hAnsiTheme="majorBidi"/>
          <w:b/>
          <w:bCs/>
          <w:color w:val="auto"/>
          <w:sz w:val="26"/>
          <w:szCs w:val="26"/>
        </w:rPr>
        <w:t>Correlation Between Mobility Scores and Pollutant Concentrations</w:t>
      </w:r>
    </w:p>
    <w:p w14:paraId="08660C41" w14:textId="711084F3" w:rsidR="00E71792" w:rsidRDefault="00E71792" w:rsidP="005D695A">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E71792">
        <w:rPr>
          <w:rFonts w:ascii="Times New Roman" w:eastAsia="Times New Roman" w:hAnsi="Times New Roman" w:cs="Times New Roman"/>
          <w:kern w:val="0"/>
          <w:sz w:val="24"/>
          <w:szCs w:val="24"/>
          <w:lang w:eastAsia="en-AE"/>
          <w14:ligatures w14:val="none"/>
        </w:rPr>
        <w:t xml:space="preserve">To explore the relationship between urban activity and air quality, we </w:t>
      </w:r>
      <w:proofErr w:type="spellStart"/>
      <w:r w:rsidRPr="00E71792">
        <w:rPr>
          <w:rFonts w:ascii="Times New Roman" w:eastAsia="Times New Roman" w:hAnsi="Times New Roman" w:cs="Times New Roman"/>
          <w:kern w:val="0"/>
          <w:sz w:val="24"/>
          <w:szCs w:val="24"/>
          <w:lang w:eastAsia="en-AE"/>
          <w14:ligatures w14:val="none"/>
        </w:rPr>
        <w:t>analyzed</w:t>
      </w:r>
      <w:proofErr w:type="spellEnd"/>
      <w:r w:rsidRPr="00E71792">
        <w:rPr>
          <w:rFonts w:ascii="Times New Roman" w:eastAsia="Times New Roman" w:hAnsi="Times New Roman" w:cs="Times New Roman"/>
          <w:kern w:val="0"/>
          <w:sz w:val="24"/>
          <w:szCs w:val="24"/>
          <w:lang w:eastAsia="en-AE"/>
          <w14:ligatures w14:val="none"/>
        </w:rPr>
        <w:t xml:space="preserve"> the correlation between mobility scores and NO₂ concentrations across geohash-aggregated zones. The hypothesis was that decreased mobility (e.g., during lockdowns) would correspond with reductions in traffic-related pollutants, particularly NO₂.</w:t>
      </w:r>
      <w:r w:rsidR="005D695A">
        <w:rPr>
          <w:rFonts w:ascii="Times New Roman" w:eastAsia="Times New Roman" w:hAnsi="Times New Roman" w:cs="Times New Roman"/>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 xml:space="preserve">A preliminary summary of descriptive </w:t>
      </w:r>
      <w:r w:rsidRPr="00466B57">
        <w:rPr>
          <w:rFonts w:ascii="Times New Roman" w:eastAsia="Times New Roman" w:hAnsi="Times New Roman" w:cs="Times New Roman"/>
          <w:kern w:val="0"/>
          <w:sz w:val="24"/>
          <w:szCs w:val="24"/>
          <w:lang w:eastAsia="en-AE"/>
          <w14:ligatures w14:val="none"/>
        </w:rPr>
        <w:t>statistics showed that NO₂ levels ranged from 7.3 µg/m³ to 76.8 µg/m³, while mobility scores varied from –27.5% to +12.1%. The WHO-recommended safety threshold for NO₂ is 40 µg/m³.</w:t>
      </w:r>
      <w:r w:rsidRPr="00E71792">
        <w:rPr>
          <w:rFonts w:ascii="Times New Roman" w:eastAsia="Times New Roman" w:hAnsi="Times New Roman" w:cs="Times New Roman"/>
          <w:kern w:val="0"/>
          <w:sz w:val="24"/>
          <w:szCs w:val="24"/>
          <w:lang w:eastAsia="en-AE"/>
          <w14:ligatures w14:val="none"/>
        </w:rPr>
        <w:t xml:space="preserve"> Only three zones exceeded this threshold: </w:t>
      </w:r>
      <w:proofErr w:type="spellStart"/>
      <w:r w:rsidRPr="00E71792">
        <w:rPr>
          <w:rFonts w:ascii="Courier New" w:eastAsia="Times New Roman" w:hAnsi="Courier New" w:cs="Courier New"/>
          <w:kern w:val="0"/>
          <w:sz w:val="20"/>
          <w:szCs w:val="20"/>
          <w:lang w:eastAsia="en-AE"/>
          <w14:ligatures w14:val="none"/>
        </w:rPr>
        <w:t>thqem</w:t>
      </w:r>
      <w:proofErr w:type="spellEnd"/>
      <w:r w:rsidRPr="00E71792">
        <w:rPr>
          <w:rFonts w:ascii="Times New Roman" w:eastAsia="Times New Roman" w:hAnsi="Times New Roman" w:cs="Times New Roman"/>
          <w:kern w:val="0"/>
          <w:sz w:val="24"/>
          <w:szCs w:val="24"/>
          <w:lang w:eastAsia="en-AE"/>
          <w14:ligatures w14:val="none"/>
        </w:rPr>
        <w:t xml:space="preserve">, </w:t>
      </w:r>
      <w:r w:rsidRPr="00E71792">
        <w:rPr>
          <w:rFonts w:ascii="Courier New" w:eastAsia="Times New Roman" w:hAnsi="Courier New" w:cs="Courier New"/>
          <w:kern w:val="0"/>
          <w:sz w:val="20"/>
          <w:szCs w:val="20"/>
          <w:lang w:eastAsia="en-AE"/>
          <w14:ligatures w14:val="none"/>
        </w:rPr>
        <w:t>thqf4</w:t>
      </w:r>
      <w:r w:rsidRPr="00E71792">
        <w:rPr>
          <w:rFonts w:ascii="Times New Roman" w:eastAsia="Times New Roman" w:hAnsi="Times New Roman" w:cs="Times New Roman"/>
          <w:kern w:val="0"/>
          <w:sz w:val="24"/>
          <w:szCs w:val="24"/>
          <w:lang w:eastAsia="en-AE"/>
          <w14:ligatures w14:val="none"/>
        </w:rPr>
        <w:t xml:space="preserve">, and </w:t>
      </w:r>
      <w:r w:rsidRPr="00E71792">
        <w:rPr>
          <w:rFonts w:ascii="Courier New" w:eastAsia="Times New Roman" w:hAnsi="Courier New" w:cs="Courier New"/>
          <w:kern w:val="0"/>
          <w:sz w:val="20"/>
          <w:szCs w:val="20"/>
          <w:lang w:eastAsia="en-AE"/>
          <w14:ligatures w14:val="none"/>
        </w:rPr>
        <w:t>thqf8</w:t>
      </w:r>
      <w:r w:rsidRPr="00E71792">
        <w:rPr>
          <w:rFonts w:ascii="Times New Roman" w:eastAsia="Times New Roman" w:hAnsi="Times New Roman" w:cs="Times New Roman"/>
          <w:kern w:val="0"/>
          <w:sz w:val="24"/>
          <w:szCs w:val="24"/>
          <w:lang w:eastAsia="en-AE"/>
          <w14:ligatures w14:val="none"/>
        </w:rPr>
        <w:t>.</w:t>
      </w:r>
      <w:r w:rsidR="005D695A">
        <w:rPr>
          <w:rFonts w:ascii="Times New Roman" w:eastAsia="Times New Roman" w:hAnsi="Times New Roman" w:cs="Times New Roman"/>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 xml:space="preserve">The relationship between NO₂ and mobility is visualized in </w:t>
      </w:r>
      <w:r w:rsidRPr="00E71792">
        <w:rPr>
          <w:rFonts w:ascii="Times New Roman" w:eastAsia="Times New Roman" w:hAnsi="Times New Roman" w:cs="Times New Roman"/>
          <w:b/>
          <w:bCs/>
          <w:color w:val="FF0000"/>
          <w:kern w:val="0"/>
          <w:sz w:val="24"/>
          <w:szCs w:val="24"/>
          <w:lang w:eastAsia="en-AE"/>
          <w14:ligatures w14:val="none"/>
        </w:rPr>
        <w:t>Figure X</w:t>
      </w:r>
      <w:r w:rsidRPr="00E71792">
        <w:rPr>
          <w:rFonts w:ascii="Times New Roman" w:eastAsia="Times New Roman" w:hAnsi="Times New Roman" w:cs="Times New Roman"/>
          <w:kern w:val="0"/>
          <w:sz w:val="24"/>
          <w:szCs w:val="24"/>
          <w:lang w:eastAsia="en-AE"/>
          <w14:ligatures w14:val="none"/>
        </w:rPr>
        <w:t>. A general inverse trend is apparent—most zones with reduced mobility also had lower NO₂ levels. This sup</w:t>
      </w:r>
      <w:r w:rsidRPr="00466B57">
        <w:rPr>
          <w:rFonts w:ascii="Times New Roman" w:eastAsia="Times New Roman" w:hAnsi="Times New Roman" w:cs="Times New Roman"/>
          <w:kern w:val="0"/>
          <w:sz w:val="24"/>
          <w:szCs w:val="24"/>
          <w:lang w:eastAsia="en-AE"/>
          <w14:ligatures w14:val="none"/>
        </w:rPr>
        <w:t>ports the role of traffic emissions as a primary contributor to NO₂ levels in urban UAE.</w:t>
      </w:r>
    </w:p>
    <w:p w14:paraId="369131F4" w14:textId="77777777" w:rsidR="00C14340" w:rsidRDefault="005D695A" w:rsidP="00E71792">
      <w:pPr>
        <w:spacing w:before="100" w:beforeAutospacing="1" w:after="100" w:afterAutospacing="1" w:line="240" w:lineRule="auto"/>
        <w:rPr>
          <w:rFonts w:ascii="Times New Roman" w:eastAsia="Times New Roman" w:hAnsi="Times New Roman" w:cs="Times New Roman"/>
          <w:color w:val="FF0000"/>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70E709F2" wp14:editId="63A60022">
            <wp:extent cx="4770120" cy="3168883"/>
            <wp:effectExtent l="0" t="0" r="0" b="0"/>
            <wp:docPr id="3333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075" name="Picture 333390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6035" cy="3172812"/>
                    </a:xfrm>
                    <a:prstGeom prst="rect">
                      <a:avLst/>
                    </a:prstGeom>
                  </pic:spPr>
                </pic:pic>
              </a:graphicData>
            </a:graphic>
          </wp:inline>
        </w:drawing>
      </w:r>
    </w:p>
    <w:p w14:paraId="78E6E6DC" w14:textId="489C7DC1" w:rsidR="00E71792" w:rsidRPr="00E71792" w:rsidRDefault="00E71792" w:rsidP="00E71792">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5D695A">
        <w:rPr>
          <w:rFonts w:ascii="Times New Roman" w:eastAsia="Times New Roman" w:hAnsi="Times New Roman" w:cs="Times New Roman"/>
          <w:color w:val="FF0000"/>
          <w:kern w:val="0"/>
          <w:sz w:val="24"/>
          <w:szCs w:val="24"/>
          <w:lang w:eastAsia="en-AE"/>
          <w14:ligatures w14:val="none"/>
        </w:rPr>
        <w:t>Figure X</w:t>
      </w:r>
      <w:r w:rsidRPr="005D695A">
        <w:rPr>
          <w:rFonts w:ascii="Times New Roman" w:eastAsia="Times New Roman" w:hAnsi="Times New Roman" w:cs="Times New Roman"/>
          <w:kern w:val="0"/>
          <w:sz w:val="24"/>
          <w:szCs w:val="24"/>
          <w:lang w:eastAsia="en-AE"/>
          <w14:ligatures w14:val="none"/>
        </w:rPr>
        <w:t>:</w:t>
      </w:r>
      <w:r>
        <w:rPr>
          <w:rFonts w:ascii="Times New Roman" w:eastAsia="Times New Roman" w:hAnsi="Times New Roman" w:cs="Times New Roman"/>
          <w:b/>
          <w:bCs/>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NO₂ concentrations plotted against mobility score across UAE urban zones. The red dashed line indicates the WHO recommended limit (40 µg/m³). Zone thqf4 appears as a significant outlier with high NO₂ despite positive mobility.</w:t>
      </w:r>
    </w:p>
    <w:p w14:paraId="4DF0D182" w14:textId="77777777" w:rsidR="00E71792" w:rsidRDefault="00E71792" w:rsidP="00466B57">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lastRenderedPageBreak/>
        <w:t xml:space="preserve">However, a notable outlier was zone </w:t>
      </w:r>
      <w:r w:rsidRPr="00466B57">
        <w:rPr>
          <w:rFonts w:ascii="Courier New" w:eastAsia="Times New Roman" w:hAnsi="Courier New" w:cs="Courier New"/>
          <w:kern w:val="0"/>
          <w:sz w:val="20"/>
          <w:szCs w:val="20"/>
          <w:lang w:eastAsia="en-AE"/>
          <w14:ligatures w14:val="none"/>
        </w:rPr>
        <w:t>thqf4</w:t>
      </w:r>
      <w:r w:rsidRPr="00466B57">
        <w:rPr>
          <w:rFonts w:ascii="Times New Roman" w:eastAsia="Times New Roman" w:hAnsi="Times New Roman" w:cs="Times New Roman"/>
          <w:kern w:val="0"/>
          <w:sz w:val="24"/>
          <w:szCs w:val="24"/>
          <w:lang w:eastAsia="en-AE"/>
          <w14:ligatures w14:val="none"/>
        </w:rPr>
        <w:t>, which exhibited the highest NO₂ level (76.8 µg/m³) despite a positive mobility score of +12.1%. This anomaly suggests that sources unrelated to vehicular traffic, such as industrial operations or construction, may be influencing air quality in that zone. Identifying such exceptions is crucial for developing effective, localized environmental policies.</w:t>
      </w:r>
    </w:p>
    <w:p w14:paraId="414FB1C6" w14:textId="77777777" w:rsidR="00AF7A2E" w:rsidRDefault="00AF7A2E" w:rsidP="00466B57">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AE"/>
          <w14:ligatures w14:val="none"/>
        </w:rPr>
      </w:pPr>
    </w:p>
    <w:p w14:paraId="6B85EC5A" w14:textId="1D5223E6" w:rsidR="00AF7A2E" w:rsidRDefault="00AF7A2E" w:rsidP="00C14340">
      <w:pPr>
        <w:spacing w:before="100" w:beforeAutospacing="1" w:after="100" w:afterAutospacing="1" w:line="240" w:lineRule="auto"/>
        <w:jc w:val="center"/>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7337E1A7" wp14:editId="65CB0727">
            <wp:extent cx="4927600" cy="4199870"/>
            <wp:effectExtent l="0" t="0" r="6350" b="0"/>
            <wp:docPr id="1094580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0097" name="Picture 1094580097"/>
                    <pic:cNvPicPr/>
                  </pic:nvPicPr>
                  <pic:blipFill>
                    <a:blip r:embed="rId8">
                      <a:extLst>
                        <a:ext uri="{28A0092B-C50C-407E-A947-70E740481C1C}">
                          <a14:useLocalDpi xmlns:a14="http://schemas.microsoft.com/office/drawing/2010/main" val="0"/>
                        </a:ext>
                      </a:extLst>
                    </a:blip>
                    <a:stretch>
                      <a:fillRect/>
                    </a:stretch>
                  </pic:blipFill>
                  <pic:spPr>
                    <a:xfrm>
                      <a:off x="0" y="0"/>
                      <a:ext cx="4934959" cy="4206142"/>
                    </a:xfrm>
                    <a:prstGeom prst="rect">
                      <a:avLst/>
                    </a:prstGeom>
                  </pic:spPr>
                </pic:pic>
              </a:graphicData>
            </a:graphic>
          </wp:inline>
        </w:drawing>
      </w:r>
    </w:p>
    <w:p w14:paraId="40F9C5D9" w14:textId="5F07F4EB" w:rsidR="00AF7A2E" w:rsidRPr="00466B57" w:rsidRDefault="00AF7A2E" w:rsidP="00AF7A2E">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AF7A2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G:</w:t>
      </w:r>
      <w:r w:rsidRPr="00AF7A2E">
        <w:rPr>
          <w:rFonts w:ascii="Times New Roman" w:eastAsia="Times New Roman" w:hAnsi="Times New Roman" w:cs="Times New Roman"/>
          <w:kern w:val="0"/>
          <w:sz w:val="24"/>
          <w:szCs w:val="24"/>
          <w:lang w:eastAsia="en-AE"/>
          <w14:ligatures w14:val="none"/>
        </w:rPr>
        <w:t xml:space="preserve"> Correlation matrix showing relationships between NO₂, PM₁₀, SO₂, and mobility score across UAE zones. NO₂ and PM₁₀ are positively correlated (r = 0.52), while SO₂ shows weak or inverse associations with mobility.</w:t>
      </w:r>
    </w:p>
    <w:p w14:paraId="00D5CC03" w14:textId="77777777" w:rsidR="00E71792" w:rsidRPr="00376DFA" w:rsidRDefault="00E71792" w:rsidP="00376DFA">
      <w:pPr>
        <w:rPr>
          <w:rFonts w:asciiTheme="majorBidi" w:hAnsiTheme="majorBidi" w:cstheme="majorBidi"/>
        </w:rPr>
      </w:pPr>
    </w:p>
    <w:p w14:paraId="7C0E419C" w14:textId="0E5209B9"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Critical Zones with Persistent Pollution</w:t>
      </w:r>
    </w:p>
    <w:p w14:paraId="0611FDD8" w14:textId="2BEF47E4" w:rsidR="00220F49" w:rsidRDefault="00ED0D56" w:rsidP="00C14340">
      <w:pPr>
        <w:jc w:val="both"/>
        <w:rPr>
          <w:rFonts w:asciiTheme="majorBidi" w:hAnsiTheme="majorBidi" w:cstheme="majorBidi"/>
        </w:rPr>
      </w:pPr>
      <w:r w:rsidRPr="00ED0D56">
        <w:rPr>
          <w:rFonts w:asciiTheme="majorBidi" w:hAnsiTheme="majorBidi" w:cstheme="majorBidi"/>
        </w:rPr>
        <w:t xml:space="preserve">While a general inverse relationship between mobility and NO₂ concentrations was observed across UAE urban zones, several outlier zones defied this trend, </w:t>
      </w:r>
      <w:r w:rsidR="00220F49" w:rsidRPr="00466B57">
        <w:rPr>
          <w:rFonts w:asciiTheme="majorBidi" w:hAnsiTheme="majorBidi" w:cstheme="majorBidi"/>
        </w:rPr>
        <w:t>signalling</w:t>
      </w:r>
      <w:r w:rsidRPr="00ED0D56">
        <w:rPr>
          <w:rFonts w:asciiTheme="majorBidi" w:hAnsiTheme="majorBidi" w:cstheme="majorBidi"/>
        </w:rPr>
        <w:t xml:space="preserve"> the influence of additional emission sources not tied to human movement patterns.</w:t>
      </w:r>
      <w:r w:rsidR="00220F49" w:rsidRPr="00466B57">
        <w:rPr>
          <w:rFonts w:asciiTheme="majorBidi" w:hAnsiTheme="majorBidi" w:cstheme="majorBidi"/>
        </w:rPr>
        <w:t xml:space="preserve"> </w:t>
      </w:r>
      <w:r w:rsidR="00220F49" w:rsidRPr="00466B57">
        <w:rPr>
          <w:rFonts w:asciiTheme="majorBidi" w:hAnsiTheme="majorBidi" w:cstheme="majorBidi"/>
        </w:rPr>
        <w:t>While most urban zones followed the expected inverse pattern between NO₂ levels and mobility reduction, three geohash zones exceeded the WHO NO₂ safety threshold of 40 µg/m³ (</w:t>
      </w:r>
      <w:r w:rsidR="00220F49" w:rsidRPr="00466B57">
        <w:rPr>
          <w:rFonts w:asciiTheme="majorBidi" w:hAnsiTheme="majorBidi" w:cstheme="majorBidi"/>
          <w:color w:val="FF0000"/>
        </w:rPr>
        <w:t>see Table</w:t>
      </w:r>
      <w:r w:rsidR="00220F49" w:rsidRPr="00466B57">
        <w:rPr>
          <w:rFonts w:asciiTheme="majorBidi" w:hAnsiTheme="majorBidi" w:cstheme="majorBidi"/>
          <w:color w:val="FF0000"/>
        </w:rPr>
        <w:t xml:space="preserve"> B</w:t>
      </w:r>
      <w:r w:rsidR="00220F49" w:rsidRPr="00466B57">
        <w:rPr>
          <w:rFonts w:asciiTheme="majorBidi" w:hAnsiTheme="majorBidi" w:cstheme="majorBidi"/>
        </w:rPr>
        <w:t>). Among them, zone thqf4 stands out for having the highest NO₂ concentration (76.8 µg/m³) despite increased mobility (+12.1%), making it a critical environmental outlier.</w:t>
      </w:r>
    </w:p>
    <w:p w14:paraId="6640E64A" w14:textId="77777777" w:rsidR="00C14340" w:rsidRDefault="00C14340" w:rsidP="00C14340">
      <w:pPr>
        <w:jc w:val="both"/>
        <w:rPr>
          <w:rFonts w:asciiTheme="majorBidi" w:hAnsiTheme="majorBidi" w:cstheme="majorBidi"/>
        </w:rPr>
      </w:pPr>
    </w:p>
    <w:p w14:paraId="5103256D" w14:textId="77777777" w:rsidR="00C14340" w:rsidRPr="00466B57" w:rsidRDefault="00C14340" w:rsidP="00C14340">
      <w:pPr>
        <w:jc w:val="both"/>
        <w:rPr>
          <w:rFonts w:asciiTheme="majorBidi" w:hAnsiTheme="majorBidi" w:cstheme="majorBidi"/>
        </w:rPr>
      </w:pPr>
    </w:p>
    <w:p w14:paraId="5B8FAAE4" w14:textId="1018AE35" w:rsidR="00220F49" w:rsidRDefault="00220F49" w:rsidP="00220F49">
      <w:pPr>
        <w:rPr>
          <w:rFonts w:asciiTheme="majorBidi" w:hAnsiTheme="majorBidi" w:cstheme="majorBidi"/>
        </w:rPr>
      </w:pPr>
      <w:r w:rsidRPr="00466B57">
        <w:rPr>
          <w:rFonts w:asciiTheme="majorBidi" w:hAnsiTheme="majorBidi" w:cstheme="majorBidi"/>
          <w:b/>
          <w:bCs/>
          <w:color w:val="FF0000"/>
        </w:rPr>
        <w:lastRenderedPageBreak/>
        <w:t xml:space="preserve">Table </w:t>
      </w:r>
      <w:r w:rsidR="00466B57" w:rsidRPr="00466B57">
        <w:rPr>
          <w:rFonts w:asciiTheme="majorBidi" w:hAnsiTheme="majorBidi" w:cstheme="majorBidi"/>
          <w:b/>
          <w:bCs/>
          <w:color w:val="FF0000"/>
        </w:rPr>
        <w:t>B</w:t>
      </w:r>
      <w:r w:rsidRPr="00466B57">
        <w:rPr>
          <w:rFonts w:asciiTheme="majorBidi" w:hAnsiTheme="majorBidi" w:cstheme="majorBidi"/>
          <w:b/>
          <w:bCs/>
          <w:color w:val="FF0000"/>
        </w:rPr>
        <w:t>.</w:t>
      </w:r>
      <w:r w:rsidRPr="00466B57">
        <w:rPr>
          <w:rFonts w:asciiTheme="majorBidi" w:hAnsiTheme="majorBidi" w:cstheme="majorBidi"/>
          <w:color w:val="FF0000"/>
        </w:rPr>
        <w:t xml:space="preserve"> </w:t>
      </w:r>
      <w:r w:rsidRPr="00220F49">
        <w:rPr>
          <w:rFonts w:asciiTheme="majorBidi" w:hAnsiTheme="majorBidi" w:cstheme="majorBidi"/>
        </w:rPr>
        <w:t>Urban zones exceeding the WHO NO₂ limit (40 µg/m³) with corresponding mobility scores.</w:t>
      </w:r>
    </w:p>
    <w:tbl>
      <w:tblPr>
        <w:tblStyle w:val="PlainTable1"/>
        <w:tblW w:w="8584" w:type="dxa"/>
        <w:tblLook w:val="04A0" w:firstRow="1" w:lastRow="0" w:firstColumn="1" w:lastColumn="0" w:noHBand="0" w:noVBand="1"/>
      </w:tblPr>
      <w:tblGrid>
        <w:gridCol w:w="1733"/>
        <w:gridCol w:w="2276"/>
        <w:gridCol w:w="4575"/>
      </w:tblGrid>
      <w:tr w:rsidR="00220F49" w:rsidRPr="00220F49" w14:paraId="783ADBB0" w14:textId="77777777" w:rsidTr="00220F4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DBF7FB1"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Geohash</w:t>
            </w:r>
          </w:p>
        </w:tc>
        <w:tc>
          <w:tcPr>
            <w:tcW w:w="0" w:type="auto"/>
            <w:hideMark/>
          </w:tcPr>
          <w:p w14:paraId="56927042"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NO₂ (µg/m³)</w:t>
            </w:r>
          </w:p>
        </w:tc>
        <w:tc>
          <w:tcPr>
            <w:tcW w:w="0" w:type="auto"/>
            <w:hideMark/>
          </w:tcPr>
          <w:p w14:paraId="4AE96E57"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Mobility Score (% change)</w:t>
            </w:r>
          </w:p>
        </w:tc>
      </w:tr>
      <w:tr w:rsidR="00220F49" w:rsidRPr="00220F49" w14:paraId="53F5EFD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050AF836" w14:textId="77777777" w:rsidR="00220F49" w:rsidRPr="00220F49" w:rsidRDefault="00220F49" w:rsidP="00220F49">
            <w:pPr>
              <w:spacing w:after="160" w:line="259" w:lineRule="auto"/>
              <w:jc w:val="center"/>
              <w:rPr>
                <w:rFonts w:asciiTheme="majorBidi" w:hAnsiTheme="majorBidi" w:cstheme="majorBidi"/>
              </w:rPr>
            </w:pPr>
            <w:proofErr w:type="spellStart"/>
            <w:r w:rsidRPr="00220F49">
              <w:rPr>
                <w:rFonts w:asciiTheme="majorBidi" w:hAnsiTheme="majorBidi" w:cstheme="majorBidi"/>
              </w:rPr>
              <w:t>thqem</w:t>
            </w:r>
            <w:proofErr w:type="spellEnd"/>
          </w:p>
        </w:tc>
        <w:tc>
          <w:tcPr>
            <w:tcW w:w="0" w:type="auto"/>
            <w:hideMark/>
          </w:tcPr>
          <w:p w14:paraId="10E0DA1B"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40.40</w:t>
            </w:r>
          </w:p>
        </w:tc>
        <w:tc>
          <w:tcPr>
            <w:tcW w:w="0" w:type="auto"/>
            <w:hideMark/>
          </w:tcPr>
          <w:p w14:paraId="1D1BF0EA"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–18.93</w:t>
            </w:r>
          </w:p>
        </w:tc>
      </w:tr>
      <w:tr w:rsidR="00220F49" w:rsidRPr="00220F49" w14:paraId="740AA334" w14:textId="77777777" w:rsidTr="00220F49">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CFED2BD"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thqf4</w:t>
            </w:r>
          </w:p>
        </w:tc>
        <w:tc>
          <w:tcPr>
            <w:tcW w:w="0" w:type="auto"/>
            <w:hideMark/>
          </w:tcPr>
          <w:p w14:paraId="76E76902"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76.80</w:t>
            </w:r>
          </w:p>
        </w:tc>
        <w:tc>
          <w:tcPr>
            <w:tcW w:w="0" w:type="auto"/>
            <w:hideMark/>
          </w:tcPr>
          <w:p w14:paraId="26B47574"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+12.10</w:t>
            </w:r>
          </w:p>
        </w:tc>
      </w:tr>
      <w:tr w:rsidR="00220F49" w:rsidRPr="00220F49" w14:paraId="486D017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5723E758"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thqf8</w:t>
            </w:r>
          </w:p>
        </w:tc>
        <w:tc>
          <w:tcPr>
            <w:tcW w:w="0" w:type="auto"/>
            <w:hideMark/>
          </w:tcPr>
          <w:p w14:paraId="176EF2B6"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45.15</w:t>
            </w:r>
          </w:p>
        </w:tc>
        <w:tc>
          <w:tcPr>
            <w:tcW w:w="0" w:type="auto"/>
            <w:hideMark/>
          </w:tcPr>
          <w:p w14:paraId="1661FE7F"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–27.53</w:t>
            </w:r>
          </w:p>
        </w:tc>
      </w:tr>
    </w:tbl>
    <w:p w14:paraId="123DDB4E" w14:textId="77777777" w:rsidR="00220F49" w:rsidRDefault="00220F49" w:rsidP="00220F49">
      <w:pPr>
        <w:rPr>
          <w:rFonts w:asciiTheme="majorBidi" w:hAnsiTheme="majorBidi" w:cstheme="majorBidi"/>
        </w:rPr>
      </w:pPr>
    </w:p>
    <w:p w14:paraId="55B128B1" w14:textId="6A897C45" w:rsidR="00ED0D56" w:rsidRPr="00ED0D56" w:rsidRDefault="00ED0D56" w:rsidP="00010520">
      <w:pPr>
        <w:spacing w:after="0" w:line="276" w:lineRule="auto"/>
        <w:ind w:firstLine="360"/>
        <w:jc w:val="both"/>
        <w:rPr>
          <w:rFonts w:asciiTheme="majorBidi" w:hAnsiTheme="majorBidi" w:cstheme="majorBidi"/>
          <w:sz w:val="24"/>
          <w:szCs w:val="24"/>
        </w:rPr>
      </w:pPr>
      <w:r w:rsidRPr="00ED0D56">
        <w:rPr>
          <w:rFonts w:asciiTheme="majorBidi" w:hAnsiTheme="majorBidi" w:cstheme="majorBidi"/>
          <w:sz w:val="24"/>
          <w:szCs w:val="24"/>
        </w:rPr>
        <w:t>This anomaly was visualized in the scatterplot of NO₂ vs. mobility</w:t>
      </w:r>
      <w:r w:rsidR="00466B57">
        <w:rPr>
          <w:rFonts w:asciiTheme="majorBidi" w:hAnsiTheme="majorBidi" w:cstheme="majorBidi"/>
          <w:sz w:val="24"/>
          <w:szCs w:val="24"/>
        </w:rPr>
        <w:t>,</w:t>
      </w:r>
      <w:r w:rsidRPr="00ED0D56">
        <w:rPr>
          <w:rFonts w:asciiTheme="majorBidi" w:hAnsiTheme="majorBidi" w:cstheme="majorBidi"/>
          <w:sz w:val="24"/>
          <w:szCs w:val="24"/>
        </w:rPr>
        <w:t xml:space="preserve"> </w:t>
      </w:r>
      <w:r w:rsidR="00466B57" w:rsidRPr="00ED0D56">
        <w:rPr>
          <w:rFonts w:asciiTheme="majorBidi" w:hAnsiTheme="majorBidi" w:cstheme="majorBidi"/>
          <w:sz w:val="24"/>
          <w:szCs w:val="24"/>
        </w:rPr>
        <w:t xml:space="preserve">see </w:t>
      </w:r>
      <w:r w:rsidRPr="00ED0D56">
        <w:rPr>
          <w:rFonts w:asciiTheme="majorBidi" w:hAnsiTheme="majorBidi" w:cstheme="majorBidi"/>
          <w:sz w:val="24"/>
          <w:szCs w:val="24"/>
        </w:rPr>
        <w:t>(</w:t>
      </w:r>
      <w:r w:rsidRPr="00ED0D56">
        <w:rPr>
          <w:rFonts w:asciiTheme="majorBidi" w:hAnsiTheme="majorBidi" w:cstheme="majorBidi"/>
          <w:color w:val="FF0000"/>
          <w:sz w:val="24"/>
          <w:szCs w:val="24"/>
        </w:rPr>
        <w:t xml:space="preserve">Figure </w:t>
      </w:r>
      <w:r w:rsidR="00220F49" w:rsidRPr="00466B57">
        <w:rPr>
          <w:rFonts w:asciiTheme="majorBidi" w:hAnsiTheme="majorBidi" w:cstheme="majorBidi"/>
          <w:color w:val="FF0000"/>
          <w:sz w:val="24"/>
          <w:szCs w:val="24"/>
        </w:rPr>
        <w:t>X</w:t>
      </w:r>
      <w:r w:rsidRPr="00ED0D56">
        <w:rPr>
          <w:rFonts w:asciiTheme="majorBidi" w:hAnsiTheme="majorBidi" w:cstheme="majorBidi"/>
          <w:sz w:val="24"/>
          <w:szCs w:val="24"/>
        </w:rPr>
        <w:t xml:space="preserve"> in Section 4.1.3), where thqf4 appears as a clear outlier above the WHO guideline line. While other zones exhibited lower NO₂ levels in tandem with reduced mobility, thqf4's deviation suggests that its pollution levels are driven by stationary sources such as:</w:t>
      </w:r>
    </w:p>
    <w:p w14:paraId="0872E60C" w14:textId="77777777" w:rsidR="00ED0D56" w:rsidRP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Industrial plants,</w:t>
      </w:r>
    </w:p>
    <w:p w14:paraId="3AF0025F" w14:textId="77777777" w:rsidR="00ED0D56" w:rsidRP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Heavy-duty construction sites,</w:t>
      </w:r>
    </w:p>
    <w:p w14:paraId="2497D034" w14:textId="77777777" w:rsid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Power generation infrastructure.</w:t>
      </w:r>
    </w:p>
    <w:p w14:paraId="319DD443" w14:textId="77777777" w:rsidR="00220F49" w:rsidRPr="00ED0D56" w:rsidRDefault="00220F49" w:rsidP="00010520">
      <w:pPr>
        <w:spacing w:after="0" w:line="276" w:lineRule="auto"/>
        <w:ind w:left="720"/>
        <w:jc w:val="both"/>
        <w:rPr>
          <w:rFonts w:asciiTheme="majorBidi" w:hAnsiTheme="majorBidi" w:cstheme="majorBidi"/>
          <w:sz w:val="24"/>
          <w:szCs w:val="24"/>
        </w:rPr>
      </w:pPr>
    </w:p>
    <w:p w14:paraId="6F1B1EA0" w14:textId="77777777" w:rsidR="00ED0D56" w:rsidRPr="00ED0D56" w:rsidRDefault="00ED0D56" w:rsidP="00010520">
      <w:pPr>
        <w:spacing w:after="0" w:line="276" w:lineRule="auto"/>
        <w:ind w:firstLine="360"/>
        <w:jc w:val="both"/>
        <w:rPr>
          <w:rFonts w:asciiTheme="majorBidi" w:hAnsiTheme="majorBidi" w:cstheme="majorBidi"/>
          <w:sz w:val="24"/>
          <w:szCs w:val="24"/>
        </w:rPr>
      </w:pPr>
      <w:r w:rsidRPr="00ED0D56">
        <w:rPr>
          <w:rFonts w:asciiTheme="majorBidi" w:hAnsiTheme="majorBidi" w:cstheme="majorBidi"/>
          <w:sz w:val="24"/>
          <w:szCs w:val="24"/>
        </w:rPr>
        <w:t xml:space="preserve">These insights reinforce the need to </w:t>
      </w:r>
      <w:r w:rsidRPr="00ED0D56">
        <w:rPr>
          <w:rFonts w:asciiTheme="majorBidi" w:hAnsiTheme="majorBidi" w:cstheme="majorBidi"/>
          <w:b/>
          <w:bCs/>
          <w:sz w:val="24"/>
          <w:szCs w:val="24"/>
        </w:rPr>
        <w:t>contextualize mobility-pollution correlations</w:t>
      </w:r>
      <w:r w:rsidRPr="00ED0D56">
        <w:rPr>
          <w:rFonts w:asciiTheme="majorBidi" w:hAnsiTheme="majorBidi" w:cstheme="majorBidi"/>
          <w:sz w:val="24"/>
          <w:szCs w:val="24"/>
        </w:rPr>
        <w:t xml:space="preserve"> with </w:t>
      </w:r>
      <w:r w:rsidRPr="00ED0D56">
        <w:rPr>
          <w:rFonts w:asciiTheme="majorBidi" w:hAnsiTheme="majorBidi" w:cstheme="majorBidi"/>
          <w:b/>
          <w:bCs/>
          <w:sz w:val="24"/>
          <w:szCs w:val="24"/>
        </w:rPr>
        <w:t>land use patterns</w:t>
      </w:r>
      <w:r w:rsidRPr="00ED0D56">
        <w:rPr>
          <w:rFonts w:asciiTheme="majorBidi" w:hAnsiTheme="majorBidi" w:cstheme="majorBidi"/>
          <w:sz w:val="24"/>
          <w:szCs w:val="24"/>
        </w:rPr>
        <w:t xml:space="preserve"> and </w:t>
      </w:r>
      <w:r w:rsidRPr="00ED0D56">
        <w:rPr>
          <w:rFonts w:asciiTheme="majorBidi" w:hAnsiTheme="majorBidi" w:cstheme="majorBidi"/>
          <w:b/>
          <w:bCs/>
          <w:sz w:val="24"/>
          <w:szCs w:val="24"/>
        </w:rPr>
        <w:t>infrastructure zoning data</w:t>
      </w:r>
      <w:r w:rsidRPr="00ED0D56">
        <w:rPr>
          <w:rFonts w:asciiTheme="majorBidi" w:hAnsiTheme="majorBidi" w:cstheme="majorBidi"/>
          <w:sz w:val="24"/>
          <w:szCs w:val="24"/>
        </w:rPr>
        <w:t>, especially when forming intervention strategies.</w:t>
      </w:r>
    </w:p>
    <w:p w14:paraId="7E72C1C1" w14:textId="77777777" w:rsidR="00ED0D56" w:rsidRPr="00ED0D56" w:rsidRDefault="00ED0D56" w:rsidP="00010520">
      <w:p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To identify these critical zones:</w:t>
      </w:r>
    </w:p>
    <w:p w14:paraId="137FFD08" w14:textId="77777777" w:rsidR="00ED0D56" w:rsidRPr="00466B57" w:rsidRDefault="00ED0D56" w:rsidP="00010520">
      <w:pPr>
        <w:numPr>
          <w:ilvl w:val="0"/>
          <w:numId w:val="21"/>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Zones exceeding NO₂ &gt; 40 µg/m³ were extracted:</w:t>
      </w:r>
    </w:p>
    <w:p w14:paraId="0653F3E6" w14:textId="4A4D1EF2" w:rsidR="00ED0D56" w:rsidRPr="00466B57" w:rsidRDefault="00ED0D56" w:rsidP="00010520">
      <w:pPr>
        <w:spacing w:after="0" w:line="276" w:lineRule="auto"/>
        <w:ind w:left="720"/>
        <w:jc w:val="both"/>
        <w:rPr>
          <w:rFonts w:asciiTheme="majorBidi" w:hAnsiTheme="majorBidi" w:cstheme="majorBidi"/>
          <w:sz w:val="24"/>
          <w:szCs w:val="24"/>
        </w:rPr>
      </w:pPr>
      <w:r w:rsidRPr="00466B57">
        <w:rPr>
          <w:rFonts w:asciiTheme="majorBidi" w:hAnsiTheme="majorBidi" w:cstheme="majorBidi"/>
          <w:sz w:val="24"/>
          <w:szCs w:val="24"/>
        </w:rPr>
        <w:t xml:space="preserve">high_no2 = </w:t>
      </w:r>
      <w:proofErr w:type="spellStart"/>
      <w:r w:rsidRPr="00466B57">
        <w:rPr>
          <w:rFonts w:asciiTheme="majorBidi" w:hAnsiTheme="majorBidi" w:cstheme="majorBidi"/>
          <w:sz w:val="24"/>
          <w:szCs w:val="24"/>
        </w:rPr>
        <w:t>joined_</w:t>
      </w:r>
      <w:proofErr w:type="gramStart"/>
      <w:r w:rsidRPr="00466B57">
        <w:rPr>
          <w:rFonts w:asciiTheme="majorBidi" w:hAnsiTheme="majorBidi" w:cstheme="majorBidi"/>
          <w:sz w:val="24"/>
          <w:szCs w:val="24"/>
        </w:rPr>
        <w:t>table.where</w:t>
      </w:r>
      <w:proofErr w:type="spellEnd"/>
      <w:proofErr w:type="gramEnd"/>
      <w:r w:rsidRPr="00466B57">
        <w:rPr>
          <w:rFonts w:asciiTheme="majorBidi" w:hAnsiTheme="majorBidi" w:cstheme="majorBidi"/>
          <w:sz w:val="24"/>
          <w:szCs w:val="24"/>
        </w:rPr>
        <w:t xml:space="preserve">('no2', </w:t>
      </w:r>
      <w:proofErr w:type="spellStart"/>
      <w:proofErr w:type="gramStart"/>
      <w:r w:rsidRPr="00466B57">
        <w:rPr>
          <w:rFonts w:asciiTheme="majorBidi" w:hAnsiTheme="majorBidi" w:cstheme="majorBidi"/>
          <w:sz w:val="24"/>
          <w:szCs w:val="24"/>
        </w:rPr>
        <w:t>are.above</w:t>
      </w:r>
      <w:proofErr w:type="spellEnd"/>
      <w:proofErr w:type="gramEnd"/>
      <w:r w:rsidRPr="00466B57">
        <w:rPr>
          <w:rFonts w:asciiTheme="majorBidi" w:hAnsiTheme="majorBidi" w:cstheme="majorBidi"/>
          <w:sz w:val="24"/>
          <w:szCs w:val="24"/>
        </w:rPr>
        <w:t>(40))</w:t>
      </w:r>
    </w:p>
    <w:p w14:paraId="06922526" w14:textId="4D8FAF42" w:rsidR="00ED0D56" w:rsidRPr="00466B57" w:rsidRDefault="00ED0D56" w:rsidP="00010520">
      <w:pPr>
        <w:pStyle w:val="ListParagraph"/>
        <w:numPr>
          <w:ilvl w:val="0"/>
          <w:numId w:val="21"/>
        </w:numPr>
        <w:spacing w:before="100" w:beforeAutospacing="1" w:after="0" w:line="276" w:lineRule="auto"/>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Of the seven merged geohash zones, three violated WHO thresholds (</w:t>
      </w:r>
      <w:r w:rsidRPr="00466B57">
        <w:rPr>
          <w:rFonts w:ascii="Courier New" w:eastAsia="Times New Roman" w:hAnsi="Courier New" w:cs="Courier New"/>
          <w:kern w:val="0"/>
          <w:sz w:val="24"/>
          <w:szCs w:val="24"/>
          <w:lang w:eastAsia="en-AE"/>
          <w14:ligatures w14:val="none"/>
        </w:rPr>
        <w:t>thqf4</w:t>
      </w:r>
      <w:r w:rsidRPr="00466B57">
        <w:rPr>
          <w:rFonts w:ascii="Times New Roman" w:eastAsia="Times New Roman" w:hAnsi="Times New Roman" w:cs="Times New Roman"/>
          <w:kern w:val="0"/>
          <w:sz w:val="24"/>
          <w:szCs w:val="24"/>
          <w:lang w:eastAsia="en-AE"/>
          <w14:ligatures w14:val="none"/>
        </w:rPr>
        <w:t xml:space="preserve">, </w:t>
      </w:r>
      <w:proofErr w:type="spellStart"/>
      <w:r w:rsidRPr="00466B57">
        <w:rPr>
          <w:rFonts w:ascii="Courier New" w:eastAsia="Times New Roman" w:hAnsi="Courier New" w:cs="Courier New"/>
          <w:kern w:val="0"/>
          <w:sz w:val="24"/>
          <w:szCs w:val="24"/>
          <w:lang w:eastAsia="en-AE"/>
          <w14:ligatures w14:val="none"/>
        </w:rPr>
        <w:t>thqem</w:t>
      </w:r>
      <w:proofErr w:type="spellEnd"/>
      <w:r w:rsidRPr="00466B57">
        <w:rPr>
          <w:rFonts w:ascii="Times New Roman" w:eastAsia="Times New Roman" w:hAnsi="Times New Roman" w:cs="Times New Roman"/>
          <w:kern w:val="0"/>
          <w:sz w:val="24"/>
          <w:szCs w:val="24"/>
          <w:lang w:eastAsia="en-AE"/>
          <w14:ligatures w14:val="none"/>
        </w:rPr>
        <w:t xml:space="preserve">, and </w:t>
      </w:r>
      <w:r w:rsidRPr="00466B57">
        <w:rPr>
          <w:rFonts w:ascii="Courier New" w:eastAsia="Times New Roman" w:hAnsi="Courier New" w:cs="Courier New"/>
          <w:kern w:val="0"/>
          <w:sz w:val="24"/>
          <w:szCs w:val="24"/>
          <w:lang w:eastAsia="en-AE"/>
          <w14:ligatures w14:val="none"/>
        </w:rPr>
        <w:t>thqf8</w:t>
      </w:r>
      <w:r w:rsidRPr="00466B57">
        <w:rPr>
          <w:rFonts w:ascii="Times New Roman" w:eastAsia="Times New Roman" w:hAnsi="Times New Roman" w:cs="Times New Roman"/>
          <w:kern w:val="0"/>
          <w:sz w:val="24"/>
          <w:szCs w:val="24"/>
          <w:lang w:eastAsia="en-AE"/>
          <w14:ligatures w14:val="none"/>
        </w:rPr>
        <w:t>).</w:t>
      </w:r>
    </w:p>
    <w:p w14:paraId="2FA7E8B7" w14:textId="08CCF214" w:rsidR="00ED0D56" w:rsidRPr="00466B57" w:rsidRDefault="00ED0D56" w:rsidP="00010520">
      <w:pPr>
        <w:pStyle w:val="ListParagraph"/>
        <w:numPr>
          <w:ilvl w:val="0"/>
          <w:numId w:val="21"/>
        </w:numPr>
        <w:spacing w:before="100" w:beforeAutospacing="1" w:after="0" w:line="276" w:lineRule="auto"/>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 xml:space="preserve">Among these, only </w:t>
      </w:r>
      <w:r w:rsidRPr="00466B57">
        <w:rPr>
          <w:rFonts w:ascii="Courier New" w:eastAsia="Times New Roman" w:hAnsi="Courier New" w:cs="Courier New"/>
          <w:kern w:val="0"/>
          <w:sz w:val="24"/>
          <w:szCs w:val="24"/>
          <w:lang w:eastAsia="en-AE"/>
          <w14:ligatures w14:val="none"/>
        </w:rPr>
        <w:t>thqf4</w:t>
      </w:r>
      <w:r w:rsidRPr="00466B57">
        <w:rPr>
          <w:rFonts w:ascii="Times New Roman" w:eastAsia="Times New Roman" w:hAnsi="Times New Roman" w:cs="Times New Roman"/>
          <w:kern w:val="0"/>
          <w:sz w:val="24"/>
          <w:szCs w:val="24"/>
          <w:lang w:eastAsia="en-AE"/>
          <w14:ligatures w14:val="none"/>
        </w:rPr>
        <w:t xml:space="preserve"> had increased mobility and extreme NO₂, confirming it as the most urgent environmental hotspot in the historical data phase.</w:t>
      </w:r>
    </w:p>
    <w:p w14:paraId="49F7F602" w14:textId="7C86E48E" w:rsidR="00376DFA" w:rsidRPr="00376DFA" w:rsidRDefault="00376DFA" w:rsidP="00010520">
      <w:pPr>
        <w:jc w:val="both"/>
        <w:rPr>
          <w:rFonts w:asciiTheme="majorBidi" w:hAnsiTheme="majorBidi" w:cstheme="majorBidi"/>
        </w:rPr>
      </w:pPr>
    </w:p>
    <w:p w14:paraId="48A5852A" w14:textId="0AA4344D" w:rsidR="00376DFA" w:rsidRPr="00376DFA" w:rsidRDefault="00376DFA" w:rsidP="00010520">
      <w:pPr>
        <w:pStyle w:val="Heading3"/>
        <w:numPr>
          <w:ilvl w:val="2"/>
          <w:numId w:val="15"/>
        </w:numPr>
        <w:jc w:val="both"/>
        <w:rPr>
          <w:rFonts w:asciiTheme="majorBidi" w:hAnsiTheme="majorBidi"/>
          <w:color w:val="auto"/>
          <w:sz w:val="26"/>
          <w:szCs w:val="26"/>
        </w:rPr>
      </w:pPr>
      <w:r w:rsidRPr="00376DFA">
        <w:rPr>
          <w:rFonts w:asciiTheme="majorBidi" w:hAnsiTheme="majorBidi"/>
          <w:color w:val="auto"/>
          <w:sz w:val="26"/>
          <w:szCs w:val="26"/>
        </w:rPr>
        <w:t>Discussion on Non-Mobility-Related Pollution Sources</w:t>
      </w:r>
    </w:p>
    <w:p w14:paraId="7F37EE0D"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While NO₂ levels showed a moderate inverse correlation with mobility scores—suggesting a direct relationship with traffic flow—SO₂ exhibited no meaningful correlation, either spatially or statistically. This points to the presence of non-mobility-related pollution sources, especially stationary point sources such as:</w:t>
      </w:r>
    </w:p>
    <w:p w14:paraId="1FB476DD"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Oil refineries and natural gas processing facilities,</w:t>
      </w:r>
    </w:p>
    <w:p w14:paraId="6940C5CA"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Industrial manufacturing zones,</w:t>
      </w:r>
    </w:p>
    <w:p w14:paraId="74F0B77D"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Shipping ports and heavy-duty logistics hubs,</w:t>
      </w:r>
    </w:p>
    <w:p w14:paraId="51BC1FD5" w14:textId="77777777" w:rsid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Cement plants and construction operations.</w:t>
      </w:r>
    </w:p>
    <w:p w14:paraId="7DADEB2F" w14:textId="77777777" w:rsidR="00010520" w:rsidRPr="00220F49" w:rsidRDefault="00010520" w:rsidP="00010520">
      <w:pPr>
        <w:spacing w:after="0"/>
        <w:ind w:left="720"/>
        <w:jc w:val="both"/>
        <w:rPr>
          <w:rFonts w:asciiTheme="majorBidi" w:hAnsiTheme="majorBidi" w:cstheme="majorBidi"/>
        </w:rPr>
      </w:pPr>
    </w:p>
    <w:p w14:paraId="391E1E19" w14:textId="63301DE3" w:rsidR="00220F49" w:rsidRPr="00220F49" w:rsidRDefault="00220F49" w:rsidP="00010520">
      <w:pPr>
        <w:ind w:firstLine="360"/>
        <w:jc w:val="both"/>
        <w:rPr>
          <w:rFonts w:asciiTheme="majorBidi" w:hAnsiTheme="majorBidi" w:cstheme="majorBidi"/>
        </w:rPr>
      </w:pPr>
      <w:r w:rsidRPr="00220F49">
        <w:rPr>
          <w:rFonts w:asciiTheme="majorBidi" w:hAnsiTheme="majorBidi" w:cstheme="majorBidi"/>
        </w:rPr>
        <w:t xml:space="preserve">This pattern was supported by the raster heatmap in </w:t>
      </w:r>
      <w:r w:rsidR="00A62F8F" w:rsidRPr="00ED0D56">
        <w:rPr>
          <w:rFonts w:asciiTheme="majorBidi" w:hAnsiTheme="majorBidi" w:cstheme="majorBidi"/>
          <w:color w:val="FF0000"/>
        </w:rPr>
        <w:t>Figure A</w:t>
      </w:r>
      <w:r w:rsidR="00A62F8F">
        <w:rPr>
          <w:rFonts w:asciiTheme="majorBidi" w:hAnsiTheme="majorBidi" w:cstheme="majorBidi"/>
          <w:color w:val="FF0000"/>
        </w:rPr>
        <w:t xml:space="preserve"> - </w:t>
      </w:r>
      <w:r w:rsidR="00A62F8F" w:rsidRPr="00A62F8F">
        <w:rPr>
          <w:rFonts w:asciiTheme="majorBidi" w:hAnsiTheme="majorBidi" w:cstheme="majorBidi"/>
          <w:color w:val="FF0000"/>
        </w:rPr>
        <w:t xml:space="preserve">in </w:t>
      </w:r>
      <w:r w:rsidR="00A62F8F" w:rsidRPr="00A62F8F">
        <w:rPr>
          <w:rFonts w:asciiTheme="majorBidi" w:hAnsiTheme="majorBidi" w:cstheme="majorBidi"/>
          <w:b/>
          <w:bCs/>
          <w:color w:val="FF0000"/>
        </w:rPr>
        <w:t>Section 4.1.2</w:t>
      </w:r>
      <w:r w:rsidRPr="00220F49">
        <w:rPr>
          <w:rFonts w:asciiTheme="majorBidi" w:hAnsiTheme="majorBidi" w:cstheme="majorBidi"/>
        </w:rPr>
        <w:t>, where SO₂ hotspots appeared in locations not aligned with mobility-reduced urban cores. In cities such as Abu Dhabi, Ruwais, and Sharjah’s industrial belt, high SO₂ concentrations were observed despite minimal human mobility change, further supporting the hypothesis that industrial sources are driving emissions.</w:t>
      </w:r>
    </w:p>
    <w:p w14:paraId="53757840"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lastRenderedPageBreak/>
        <w:t xml:space="preserve">Such spatial decoupling between mobility and SO₂ emissions reinforces findings from global air quality studies, which indicate that SO₂ is typically produced by fossil-fuel combustion in fixed locations, especially in power generation and heavy industry sectors </w:t>
      </w:r>
      <w:r w:rsidRPr="00220F49">
        <w:rPr>
          <w:rFonts w:asciiTheme="majorBidi" w:hAnsiTheme="majorBidi" w:cstheme="majorBidi"/>
          <w:b/>
          <w:bCs/>
        </w:rPr>
        <w:t>[1].</w:t>
      </w:r>
    </w:p>
    <w:p w14:paraId="13629FE8"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To address this challenge, urban air quality strategies should be broadened beyond mobility-</w:t>
      </w:r>
      <w:proofErr w:type="spellStart"/>
      <w:r w:rsidRPr="00220F49">
        <w:rPr>
          <w:rFonts w:asciiTheme="majorBidi" w:hAnsiTheme="majorBidi" w:cstheme="majorBidi"/>
        </w:rPr>
        <w:t>centered</w:t>
      </w:r>
      <w:proofErr w:type="spellEnd"/>
      <w:r w:rsidRPr="00220F49">
        <w:rPr>
          <w:rFonts w:asciiTheme="majorBidi" w:hAnsiTheme="majorBidi" w:cstheme="majorBidi"/>
        </w:rPr>
        <w:t xml:space="preserve"> interventions. A comprehensive mitigation framework should include:</w:t>
      </w:r>
    </w:p>
    <w:p w14:paraId="499D342A"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Stricter emissions regulations and caps for SO₂-producing industries;</w:t>
      </w:r>
    </w:p>
    <w:p w14:paraId="2EE70188"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Real-time satellite + ground monitoring integration (e.g., TROPOMI, Sentinel-5P);</w:t>
      </w:r>
    </w:p>
    <w:p w14:paraId="6F3282D0"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Zoning policies to create industrial buffers between high-output facilities and residential areas;</w:t>
      </w:r>
    </w:p>
    <w:p w14:paraId="7FD15F8B"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Mandatory pollution disclosure and audits from large-scale industrial operators.</w:t>
      </w:r>
    </w:p>
    <w:p w14:paraId="51DF8158" w14:textId="381DB86C" w:rsidR="00C14340" w:rsidRPr="00376DFA" w:rsidRDefault="00220F49" w:rsidP="00C14340">
      <w:pPr>
        <w:jc w:val="both"/>
        <w:rPr>
          <w:rFonts w:asciiTheme="majorBidi" w:hAnsiTheme="majorBidi" w:cstheme="majorBidi"/>
        </w:rPr>
      </w:pPr>
      <w:r w:rsidRPr="00220F49">
        <w:rPr>
          <w:rFonts w:asciiTheme="majorBidi" w:hAnsiTheme="majorBidi" w:cstheme="majorBidi"/>
        </w:rPr>
        <w:t>Without addressing these non-mobile sources, efforts focused solely on transportation reform (e.g., electrification, modal shifts) will fall short of delivering long-term public health and environmental benefits.</w:t>
      </w:r>
    </w:p>
    <w:p w14:paraId="3ADF9C0E" w14:textId="40FAE3F6" w:rsidR="00376DFA" w:rsidRPr="00376DFA" w:rsidRDefault="00376DFA" w:rsidP="00010520">
      <w:pPr>
        <w:pStyle w:val="Heading2"/>
        <w:numPr>
          <w:ilvl w:val="1"/>
          <w:numId w:val="15"/>
        </w:numPr>
        <w:jc w:val="both"/>
        <w:rPr>
          <w:rFonts w:asciiTheme="majorBidi" w:hAnsiTheme="majorBidi"/>
          <w:b/>
          <w:bCs/>
          <w:color w:val="auto"/>
        </w:rPr>
      </w:pPr>
      <w:r w:rsidRPr="00376DFA">
        <w:rPr>
          <w:rFonts w:asciiTheme="majorBidi" w:hAnsiTheme="majorBidi"/>
          <w:b/>
          <w:bCs/>
          <w:color w:val="auto"/>
        </w:rPr>
        <w:t>Zone-Based Clustering</w:t>
      </w:r>
    </w:p>
    <w:p w14:paraId="2F729B08" w14:textId="41631C3B"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K-Means Clustering of Zones Based on Joint Pollution and Mobility</w:t>
      </w:r>
      <w:r w:rsidR="00010520">
        <w:rPr>
          <w:rFonts w:asciiTheme="majorBidi" w:hAnsiTheme="majorBidi"/>
          <w:color w:val="auto"/>
        </w:rPr>
        <w:t>:</w:t>
      </w:r>
    </w:p>
    <w:p w14:paraId="719DFFC9" w14:textId="77777777" w:rsidR="00305CCE" w:rsidRP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kern w:val="0"/>
          <w:sz w:val="24"/>
          <w:szCs w:val="24"/>
          <w:lang w:eastAsia="en-AE"/>
          <w14:ligatures w14:val="none"/>
        </w:rPr>
        <w:t xml:space="preserve">To better understand the </w:t>
      </w:r>
      <w:proofErr w:type="spellStart"/>
      <w:r w:rsidRPr="00305CCE">
        <w:rPr>
          <w:rFonts w:ascii="Times New Roman" w:eastAsia="Times New Roman" w:hAnsi="Times New Roman" w:cs="Times New Roman"/>
          <w:kern w:val="0"/>
          <w:sz w:val="24"/>
          <w:szCs w:val="24"/>
          <w:lang w:eastAsia="en-AE"/>
          <w14:ligatures w14:val="none"/>
        </w:rPr>
        <w:t>behavioral</w:t>
      </w:r>
      <w:proofErr w:type="spellEnd"/>
      <w:r w:rsidRPr="00305CCE">
        <w:rPr>
          <w:rFonts w:ascii="Times New Roman" w:eastAsia="Times New Roman" w:hAnsi="Times New Roman" w:cs="Times New Roman"/>
          <w:kern w:val="0"/>
          <w:sz w:val="24"/>
          <w:szCs w:val="24"/>
          <w:lang w:eastAsia="en-AE"/>
          <w14:ligatures w14:val="none"/>
        </w:rPr>
        <w:t xml:space="preserve"> patterns of urban zones, </w:t>
      </w:r>
      <w:r w:rsidRPr="00305CCE">
        <w:rPr>
          <w:rFonts w:ascii="Times New Roman" w:eastAsia="Times New Roman" w:hAnsi="Times New Roman" w:cs="Times New Roman"/>
          <w:b/>
          <w:bCs/>
          <w:kern w:val="0"/>
          <w:sz w:val="24"/>
          <w:szCs w:val="24"/>
          <w:lang w:eastAsia="en-AE"/>
          <w14:ligatures w14:val="none"/>
        </w:rPr>
        <w:t>K-Means clustering</w:t>
      </w:r>
      <w:r w:rsidRPr="00305CCE">
        <w:rPr>
          <w:rFonts w:ascii="Times New Roman" w:eastAsia="Times New Roman" w:hAnsi="Times New Roman" w:cs="Times New Roman"/>
          <w:kern w:val="0"/>
          <w:sz w:val="24"/>
          <w:szCs w:val="24"/>
          <w:lang w:eastAsia="en-AE"/>
          <w14:ligatures w14:val="none"/>
        </w:rPr>
        <w:t xml:space="preserve"> was applied using the </w:t>
      </w:r>
      <w:r w:rsidRPr="00305CCE">
        <w:rPr>
          <w:rFonts w:ascii="Times New Roman" w:eastAsia="Times New Roman" w:hAnsi="Times New Roman" w:cs="Times New Roman"/>
          <w:b/>
          <w:bCs/>
          <w:kern w:val="0"/>
          <w:sz w:val="24"/>
          <w:szCs w:val="24"/>
          <w:lang w:eastAsia="en-AE"/>
          <w14:ligatures w14:val="none"/>
        </w:rPr>
        <w:t>mobility score</w:t>
      </w:r>
      <w:r w:rsidRPr="00305CCE">
        <w:rPr>
          <w:rFonts w:ascii="Times New Roman" w:eastAsia="Times New Roman" w:hAnsi="Times New Roman" w:cs="Times New Roman"/>
          <w:kern w:val="0"/>
          <w:sz w:val="24"/>
          <w:szCs w:val="24"/>
          <w:lang w:eastAsia="en-AE"/>
          <w14:ligatures w14:val="none"/>
        </w:rPr>
        <w:t xml:space="preserve"> data from 2020 to 2022. The clustering process aimed to group zones into similar categories based on how mobility changed during the historical period.</w:t>
      </w:r>
    </w:p>
    <w:p w14:paraId="556AA659" w14:textId="492F7B95" w:rsid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kern w:val="0"/>
          <w:sz w:val="24"/>
          <w:szCs w:val="24"/>
          <w:lang w:eastAsia="en-AE"/>
          <w14:ligatures w14:val="none"/>
        </w:rPr>
        <w:t xml:space="preserve">Before determining the number of clusters, the </w:t>
      </w:r>
      <w:r w:rsidRPr="00305CCE">
        <w:rPr>
          <w:rFonts w:ascii="Times New Roman" w:eastAsia="Times New Roman" w:hAnsi="Times New Roman" w:cs="Times New Roman"/>
          <w:b/>
          <w:bCs/>
          <w:kern w:val="0"/>
          <w:sz w:val="24"/>
          <w:szCs w:val="24"/>
          <w:lang w:eastAsia="en-AE"/>
          <w14:ligatures w14:val="none"/>
        </w:rPr>
        <w:t>Elbow Method</w:t>
      </w:r>
      <w:r w:rsidRPr="00305CCE">
        <w:rPr>
          <w:rFonts w:ascii="Times New Roman" w:eastAsia="Times New Roman" w:hAnsi="Times New Roman" w:cs="Times New Roman"/>
          <w:kern w:val="0"/>
          <w:sz w:val="24"/>
          <w:szCs w:val="24"/>
          <w:lang w:eastAsia="en-AE"/>
          <w14:ligatures w14:val="none"/>
        </w:rPr>
        <w:t xml:space="preserve"> was used to assess model inertia for k-values ranging from 1 to 9</w:t>
      </w:r>
      <w:r>
        <w:rPr>
          <w:rFonts w:ascii="Times New Roman" w:eastAsia="Times New Roman" w:hAnsi="Times New Roman" w:cs="Times New Roman"/>
          <w:kern w:val="0"/>
          <w:sz w:val="24"/>
          <w:szCs w:val="24"/>
          <w:lang w:eastAsia="en-AE"/>
          <w14:ligatures w14:val="none"/>
        </w:rPr>
        <w:t xml:space="preserve">. </w:t>
      </w:r>
      <w:r w:rsidRPr="00305CCE">
        <w:rPr>
          <w:rFonts w:ascii="Times New Roman" w:eastAsia="Times New Roman" w:hAnsi="Times New Roman" w:cs="Times New Roman"/>
          <w:kern w:val="0"/>
          <w:sz w:val="24"/>
          <w:szCs w:val="24"/>
          <w:lang w:eastAsia="en-AE"/>
          <w14:ligatures w14:val="none"/>
        </w:rPr>
        <w:t xml:space="preserve">As shown in </w:t>
      </w:r>
      <w:r w:rsidRPr="00305CC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C</w:t>
      </w:r>
      <w:r w:rsidRPr="00305CCE">
        <w:rPr>
          <w:rFonts w:ascii="Times New Roman" w:eastAsia="Times New Roman" w:hAnsi="Times New Roman" w:cs="Times New Roman"/>
          <w:kern w:val="0"/>
          <w:sz w:val="24"/>
          <w:szCs w:val="24"/>
          <w:lang w:eastAsia="en-AE"/>
          <w14:ligatures w14:val="none"/>
        </w:rPr>
        <w:t xml:space="preserve">, the elbow plot revealed a clear inflection point at </w:t>
      </w:r>
      <w:r w:rsidRPr="00305CCE">
        <w:rPr>
          <w:rFonts w:ascii="Times New Roman" w:eastAsia="Times New Roman" w:hAnsi="Times New Roman" w:cs="Times New Roman"/>
          <w:b/>
          <w:bCs/>
          <w:kern w:val="0"/>
          <w:sz w:val="24"/>
          <w:szCs w:val="24"/>
          <w:lang w:eastAsia="en-AE"/>
          <w14:ligatures w14:val="none"/>
        </w:rPr>
        <w:t>k = 3</w:t>
      </w:r>
      <w:r w:rsidRPr="00305CCE">
        <w:rPr>
          <w:rFonts w:ascii="Times New Roman" w:eastAsia="Times New Roman" w:hAnsi="Times New Roman" w:cs="Times New Roman"/>
          <w:kern w:val="0"/>
          <w:sz w:val="24"/>
          <w:szCs w:val="24"/>
          <w:lang w:eastAsia="en-AE"/>
          <w14:ligatures w14:val="none"/>
        </w:rPr>
        <w:t>, indicating that this number of clusters offers a good balance between model simplicity and explanatory power.</w:t>
      </w:r>
    </w:p>
    <w:p w14:paraId="76E67CF9" w14:textId="7A8BEB43" w:rsid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64CD6486" wp14:editId="0C018D6B">
            <wp:extent cx="4521200" cy="2980405"/>
            <wp:effectExtent l="0" t="0" r="0" b="0"/>
            <wp:docPr id="1125156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6368" name="Picture 1125156368"/>
                    <pic:cNvPicPr/>
                  </pic:nvPicPr>
                  <pic:blipFill>
                    <a:blip r:embed="rId9">
                      <a:extLst>
                        <a:ext uri="{28A0092B-C50C-407E-A947-70E740481C1C}">
                          <a14:useLocalDpi xmlns:a14="http://schemas.microsoft.com/office/drawing/2010/main" val="0"/>
                        </a:ext>
                      </a:extLst>
                    </a:blip>
                    <a:stretch>
                      <a:fillRect/>
                    </a:stretch>
                  </pic:blipFill>
                  <pic:spPr>
                    <a:xfrm>
                      <a:off x="0" y="0"/>
                      <a:ext cx="4525447" cy="2983204"/>
                    </a:xfrm>
                    <a:prstGeom prst="rect">
                      <a:avLst/>
                    </a:prstGeom>
                  </pic:spPr>
                </pic:pic>
              </a:graphicData>
            </a:graphic>
          </wp:inline>
        </w:drawing>
      </w:r>
    </w:p>
    <w:p w14:paraId="67747BA7" w14:textId="6682D2EE" w:rsidR="00305CCE" w:rsidRP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C:</w:t>
      </w:r>
      <w:r w:rsidRPr="00305CCE">
        <w:rPr>
          <w:rFonts w:ascii="Times New Roman" w:eastAsia="Times New Roman" w:hAnsi="Times New Roman" w:cs="Times New Roman"/>
          <w:kern w:val="0"/>
          <w:sz w:val="24"/>
          <w:szCs w:val="24"/>
          <w:lang w:eastAsia="en-AE"/>
          <w14:ligatures w14:val="none"/>
        </w:rPr>
        <w:t xml:space="preserve"> Elbow plot for optimal number of K-means clusters based on mobility scores. The “elbow” appears at k = 3, indicating three optimal mobility-based zone groups.</w:t>
      </w:r>
    </w:p>
    <w:p w14:paraId="39568FD7" w14:textId="77777777" w:rsidR="00305CCE" w:rsidRPr="00305CCE" w:rsidRDefault="00305CCE" w:rsidP="008C3260">
      <w:pPr>
        <w:spacing w:after="0"/>
        <w:jc w:val="both"/>
        <w:rPr>
          <w:rFonts w:asciiTheme="majorBidi" w:hAnsiTheme="majorBidi" w:cstheme="majorBidi"/>
        </w:rPr>
      </w:pPr>
      <w:r w:rsidRPr="00305CCE">
        <w:rPr>
          <w:rFonts w:asciiTheme="majorBidi" w:hAnsiTheme="majorBidi" w:cstheme="majorBidi"/>
        </w:rPr>
        <w:lastRenderedPageBreak/>
        <w:t>Once k = 3 was selected, each zone was assigned a cluster label</w:t>
      </w:r>
      <w:r>
        <w:rPr>
          <w:rFonts w:asciiTheme="majorBidi" w:hAnsiTheme="majorBidi" w:cstheme="majorBidi"/>
        </w:rPr>
        <w:t xml:space="preserve">. </w:t>
      </w:r>
      <w:r w:rsidRPr="00305CCE">
        <w:rPr>
          <w:rFonts w:asciiTheme="majorBidi" w:hAnsiTheme="majorBidi" w:cstheme="majorBidi"/>
        </w:rPr>
        <w:t>To improve interpretability, clusters were given descriptive labels:</w:t>
      </w:r>
    </w:p>
    <w:p w14:paraId="48D8EB78"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0:</w:t>
      </w:r>
      <w:r w:rsidRPr="00305CCE">
        <w:rPr>
          <w:rFonts w:asciiTheme="majorBidi" w:hAnsiTheme="majorBidi" w:cstheme="majorBidi"/>
        </w:rPr>
        <w:t xml:space="preserve"> Mild drop (~–10%)</w:t>
      </w:r>
    </w:p>
    <w:p w14:paraId="44CE358F"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1:</w:t>
      </w:r>
      <w:r w:rsidRPr="00305CCE">
        <w:rPr>
          <w:rFonts w:asciiTheme="majorBidi" w:hAnsiTheme="majorBidi" w:cstheme="majorBidi"/>
        </w:rPr>
        <w:t xml:space="preserve"> Largest drop (~–32%)</w:t>
      </w:r>
    </w:p>
    <w:p w14:paraId="35E9760F"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2:</w:t>
      </w:r>
      <w:r w:rsidRPr="00305CCE">
        <w:rPr>
          <w:rFonts w:asciiTheme="majorBidi" w:hAnsiTheme="majorBidi" w:cstheme="majorBidi"/>
        </w:rPr>
        <w:t xml:space="preserve"> Moderate drop (~–26%)</w:t>
      </w:r>
    </w:p>
    <w:p w14:paraId="5394DF95" w14:textId="77777777" w:rsidR="009E0C72" w:rsidRDefault="009E0C72" w:rsidP="00010520">
      <w:pPr>
        <w:jc w:val="both"/>
        <w:rPr>
          <w:rFonts w:asciiTheme="majorBidi" w:hAnsiTheme="majorBidi" w:cstheme="majorBidi"/>
        </w:rPr>
      </w:pPr>
      <w:r w:rsidRPr="009E0C72">
        <w:rPr>
          <w:rFonts w:asciiTheme="majorBidi" w:hAnsiTheme="majorBidi" w:cstheme="majorBidi"/>
        </w:rPr>
        <w:t>Each geohash zone was spatially mapped using square polygons generated via geohash2.decode_</w:t>
      </w:r>
      <w:proofErr w:type="gramStart"/>
      <w:r w:rsidRPr="009E0C72">
        <w:rPr>
          <w:rFonts w:asciiTheme="majorBidi" w:hAnsiTheme="majorBidi" w:cstheme="majorBidi"/>
        </w:rPr>
        <w:t>exactly(</w:t>
      </w:r>
      <w:proofErr w:type="gramEnd"/>
      <w:r w:rsidRPr="009E0C72">
        <w:rPr>
          <w:rFonts w:asciiTheme="majorBidi" w:hAnsiTheme="majorBidi" w:cstheme="majorBidi"/>
        </w:rPr>
        <w:t xml:space="preserve">) and visualized using a </w:t>
      </w:r>
      <w:proofErr w:type="spellStart"/>
      <w:r w:rsidRPr="009E0C72">
        <w:rPr>
          <w:rFonts w:asciiTheme="majorBidi" w:hAnsiTheme="majorBidi" w:cstheme="majorBidi"/>
        </w:rPr>
        <w:t>GeoDataFrame</w:t>
      </w:r>
      <w:proofErr w:type="spellEnd"/>
      <w:r w:rsidRPr="009E0C72">
        <w:rPr>
          <w:rFonts w:asciiTheme="majorBidi" w:hAnsiTheme="majorBidi" w:cstheme="majorBidi"/>
        </w:rPr>
        <w:t xml:space="preserve">. These clusters were then overlaid on the NO₂/SO₂/aerosol composite raster, providing a spatial overview of how mobility </w:t>
      </w:r>
      <w:proofErr w:type="spellStart"/>
      <w:r w:rsidRPr="009E0C72">
        <w:rPr>
          <w:rFonts w:asciiTheme="majorBidi" w:hAnsiTheme="majorBidi" w:cstheme="majorBidi"/>
        </w:rPr>
        <w:t>behavior</w:t>
      </w:r>
      <w:proofErr w:type="spellEnd"/>
      <w:r w:rsidRPr="009E0C72">
        <w:rPr>
          <w:rFonts w:asciiTheme="majorBidi" w:hAnsiTheme="majorBidi" w:cstheme="majorBidi"/>
        </w:rPr>
        <w:t xml:space="preserve"> aligns with pollution intensity gradients. The resulting distribution, shown in </w:t>
      </w:r>
      <w:r w:rsidRPr="009E0C72">
        <w:rPr>
          <w:rFonts w:asciiTheme="majorBidi" w:hAnsiTheme="majorBidi" w:cstheme="majorBidi"/>
          <w:color w:val="FF0000"/>
        </w:rPr>
        <w:t>Figure Y</w:t>
      </w:r>
      <w:r w:rsidRPr="009E0C72">
        <w:rPr>
          <w:rFonts w:asciiTheme="majorBidi" w:hAnsiTheme="majorBidi" w:cstheme="majorBidi"/>
        </w:rPr>
        <w:t>, reveals how certain high-pollution areas—especially along coastal cities like Dubai and Sharjah—exhibited the largest drops in mobility, while peripheral regions showed milder reductions.</w:t>
      </w:r>
    </w:p>
    <w:p w14:paraId="658B2836" w14:textId="77777777" w:rsidR="00493781" w:rsidRDefault="00493781" w:rsidP="00010520">
      <w:pPr>
        <w:jc w:val="both"/>
        <w:rPr>
          <w:rFonts w:asciiTheme="majorBidi" w:hAnsiTheme="majorBidi" w:cstheme="majorBidi"/>
        </w:rPr>
      </w:pPr>
    </w:p>
    <w:p w14:paraId="5AB2427E" w14:textId="179BEB0C" w:rsidR="00376DFA" w:rsidRDefault="00305CCE" w:rsidP="008C3260">
      <w:pPr>
        <w:jc w:val="center"/>
        <w:rPr>
          <w:rFonts w:asciiTheme="majorBidi" w:hAnsiTheme="majorBidi" w:cstheme="majorBidi"/>
        </w:rPr>
      </w:pPr>
      <w:r>
        <w:rPr>
          <w:rFonts w:asciiTheme="majorBidi" w:hAnsiTheme="majorBidi" w:cstheme="majorBidi"/>
          <w:noProof/>
        </w:rPr>
        <w:drawing>
          <wp:inline distT="0" distB="0" distL="0" distR="0" wp14:anchorId="0AE77E9A" wp14:editId="51AEAC75">
            <wp:extent cx="5213731" cy="4053840"/>
            <wp:effectExtent l="0" t="0" r="6350" b="3810"/>
            <wp:docPr id="1948582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2880" name="Picture 1948582880"/>
                    <pic:cNvPicPr/>
                  </pic:nvPicPr>
                  <pic:blipFill>
                    <a:blip r:embed="rId10">
                      <a:extLst>
                        <a:ext uri="{28A0092B-C50C-407E-A947-70E740481C1C}">
                          <a14:useLocalDpi xmlns:a14="http://schemas.microsoft.com/office/drawing/2010/main" val="0"/>
                        </a:ext>
                      </a:extLst>
                    </a:blip>
                    <a:stretch>
                      <a:fillRect/>
                    </a:stretch>
                  </pic:blipFill>
                  <pic:spPr>
                    <a:xfrm>
                      <a:off x="0" y="0"/>
                      <a:ext cx="5229966" cy="4066463"/>
                    </a:xfrm>
                    <a:prstGeom prst="rect">
                      <a:avLst/>
                    </a:prstGeom>
                  </pic:spPr>
                </pic:pic>
              </a:graphicData>
            </a:graphic>
          </wp:inline>
        </w:drawing>
      </w:r>
    </w:p>
    <w:p w14:paraId="6B130042" w14:textId="4A9C4450" w:rsidR="008D46A3" w:rsidRDefault="00305CCE" w:rsidP="00010520">
      <w:pPr>
        <w:jc w:val="both"/>
        <w:rPr>
          <w:rFonts w:asciiTheme="majorBidi" w:hAnsiTheme="majorBidi" w:cstheme="majorBidi"/>
        </w:rPr>
      </w:pPr>
      <w:r w:rsidRPr="009E0C72">
        <w:rPr>
          <w:rFonts w:asciiTheme="majorBidi" w:hAnsiTheme="majorBidi" w:cstheme="majorBidi"/>
          <w:b/>
          <w:bCs/>
          <w:color w:val="FF0000"/>
        </w:rPr>
        <w:t>Figure Y</w:t>
      </w:r>
      <w:r>
        <w:rPr>
          <w:rFonts w:asciiTheme="majorBidi" w:hAnsiTheme="majorBidi" w:cstheme="majorBidi"/>
          <w:b/>
          <w:bCs/>
        </w:rPr>
        <w:t xml:space="preserve">: </w:t>
      </w:r>
      <w:r w:rsidRPr="00305CCE">
        <w:rPr>
          <w:rFonts w:asciiTheme="majorBidi" w:hAnsiTheme="majorBidi" w:cstheme="majorBidi"/>
        </w:rPr>
        <w:t xml:space="preserve">Mobility Clusters (k = 3) overlaid on NO₂/SO₂/Aerosol Composite (2020–2022). Each geohash zone is </w:t>
      </w:r>
      <w:proofErr w:type="spellStart"/>
      <w:r w:rsidRPr="00305CCE">
        <w:rPr>
          <w:rFonts w:asciiTheme="majorBidi" w:hAnsiTheme="majorBidi" w:cstheme="majorBidi"/>
        </w:rPr>
        <w:t>colored</w:t>
      </w:r>
      <w:proofErr w:type="spellEnd"/>
      <w:r w:rsidRPr="00305CCE">
        <w:rPr>
          <w:rFonts w:asciiTheme="majorBidi" w:hAnsiTheme="majorBidi" w:cstheme="majorBidi"/>
        </w:rPr>
        <w:t xml:space="preserve"> based on its mobility </w:t>
      </w:r>
      <w:proofErr w:type="spellStart"/>
      <w:r w:rsidRPr="00305CCE">
        <w:rPr>
          <w:rFonts w:asciiTheme="majorBidi" w:hAnsiTheme="majorBidi" w:cstheme="majorBidi"/>
        </w:rPr>
        <w:t>behavior</w:t>
      </w:r>
      <w:proofErr w:type="spellEnd"/>
      <w:r w:rsidRPr="00305CCE">
        <w:rPr>
          <w:rFonts w:asciiTheme="majorBidi" w:hAnsiTheme="majorBidi" w:cstheme="majorBidi"/>
        </w:rPr>
        <w:t xml:space="preserve"> cluster.</w:t>
      </w:r>
    </w:p>
    <w:p w14:paraId="54541544" w14:textId="261633B9" w:rsidR="00513040" w:rsidRDefault="00AF7A2E" w:rsidP="008C3260">
      <w:pPr>
        <w:jc w:val="center"/>
        <w:rPr>
          <w:rFonts w:asciiTheme="majorBidi" w:hAnsiTheme="majorBidi" w:cstheme="majorBidi"/>
        </w:rPr>
      </w:pPr>
      <w:r>
        <w:rPr>
          <w:rFonts w:asciiTheme="majorBidi" w:hAnsiTheme="majorBidi" w:cstheme="majorBidi"/>
          <w:noProof/>
        </w:rPr>
        <w:lastRenderedPageBreak/>
        <w:drawing>
          <wp:inline distT="0" distB="0" distL="0" distR="0" wp14:anchorId="3CCB1720" wp14:editId="5A24A083">
            <wp:extent cx="4343400" cy="2937305"/>
            <wp:effectExtent l="0" t="0" r="0" b="0"/>
            <wp:docPr id="1398655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5593" name="Picture 1398655593"/>
                    <pic:cNvPicPr/>
                  </pic:nvPicPr>
                  <pic:blipFill>
                    <a:blip r:embed="rId11">
                      <a:extLst>
                        <a:ext uri="{28A0092B-C50C-407E-A947-70E740481C1C}">
                          <a14:useLocalDpi xmlns:a14="http://schemas.microsoft.com/office/drawing/2010/main" val="0"/>
                        </a:ext>
                      </a:extLst>
                    </a:blip>
                    <a:stretch>
                      <a:fillRect/>
                    </a:stretch>
                  </pic:blipFill>
                  <pic:spPr>
                    <a:xfrm>
                      <a:off x="0" y="0"/>
                      <a:ext cx="4353294" cy="2943996"/>
                    </a:xfrm>
                    <a:prstGeom prst="rect">
                      <a:avLst/>
                    </a:prstGeom>
                  </pic:spPr>
                </pic:pic>
              </a:graphicData>
            </a:graphic>
          </wp:inline>
        </w:drawing>
      </w:r>
    </w:p>
    <w:p w14:paraId="78F7E521" w14:textId="1881CCBA" w:rsidR="00AF7A2E"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Elbow plot used to determine optimal number of clusters when jointly considering mobility and pollution features. k = 3 appears optimal.</w:t>
      </w:r>
    </w:p>
    <w:p w14:paraId="610B7287" w14:textId="77777777" w:rsidR="00AF7A2E" w:rsidRDefault="00AF7A2E" w:rsidP="00AF7A2E">
      <w:pPr>
        <w:jc w:val="both"/>
        <w:rPr>
          <w:rFonts w:asciiTheme="majorBidi" w:hAnsiTheme="majorBidi" w:cstheme="majorBidi"/>
        </w:rPr>
      </w:pPr>
    </w:p>
    <w:p w14:paraId="3BE45D4E" w14:textId="67F59B4F" w:rsidR="00305CCE" w:rsidRPr="00305CCE" w:rsidRDefault="00305CCE" w:rsidP="00010520">
      <w:pPr>
        <w:jc w:val="both"/>
        <w:rPr>
          <w:rFonts w:asciiTheme="majorBidi" w:hAnsiTheme="majorBidi" w:cstheme="majorBidi"/>
        </w:rPr>
      </w:pPr>
      <w:r w:rsidRPr="00305CCE">
        <w:rPr>
          <w:rFonts w:asciiTheme="majorBidi" w:hAnsiTheme="majorBidi" w:cstheme="majorBidi"/>
        </w:rPr>
        <w:t>This clustering structure served as a foundation for later risk categorization, re-clustering in the forecasting phase, and city-specific policy targeting.</w:t>
      </w:r>
    </w:p>
    <w:p w14:paraId="6E4DE71E" w14:textId="77777777" w:rsidR="008D46A3" w:rsidRPr="00376DFA" w:rsidRDefault="008D46A3" w:rsidP="00010520">
      <w:pPr>
        <w:jc w:val="both"/>
        <w:rPr>
          <w:rFonts w:asciiTheme="majorBidi" w:hAnsiTheme="majorBidi" w:cstheme="majorBidi"/>
        </w:rPr>
      </w:pPr>
    </w:p>
    <w:p w14:paraId="03ADCBA5" w14:textId="123ECC91"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Hotspot Detection and Zone Typologies</w:t>
      </w:r>
      <w:r w:rsidR="00010520">
        <w:rPr>
          <w:rFonts w:asciiTheme="majorBidi" w:hAnsiTheme="majorBidi"/>
          <w:color w:val="auto"/>
        </w:rPr>
        <w:t>:</w:t>
      </w:r>
    </w:p>
    <w:p w14:paraId="15492580" w14:textId="77777777" w:rsidR="00513040" w:rsidRPr="00513040" w:rsidRDefault="00513040" w:rsidP="00010520">
      <w:pPr>
        <w:ind w:firstLine="360"/>
        <w:jc w:val="both"/>
        <w:rPr>
          <w:rFonts w:asciiTheme="majorBidi" w:hAnsiTheme="majorBidi" w:cstheme="majorBidi"/>
        </w:rPr>
      </w:pPr>
      <w:r w:rsidRPr="00513040">
        <w:rPr>
          <w:rFonts w:asciiTheme="majorBidi" w:hAnsiTheme="majorBidi" w:cstheme="majorBidi"/>
        </w:rPr>
        <w:t xml:space="preserve">To better contextualize the clustering results from Section 4.2.1, the geohash zones were further categorized into </w:t>
      </w:r>
      <w:r w:rsidRPr="00513040">
        <w:rPr>
          <w:rFonts w:asciiTheme="majorBidi" w:hAnsiTheme="majorBidi" w:cstheme="majorBidi"/>
          <w:b/>
          <w:bCs/>
        </w:rPr>
        <w:t>four environmental-</w:t>
      </w:r>
      <w:proofErr w:type="spellStart"/>
      <w:r w:rsidRPr="00513040">
        <w:rPr>
          <w:rFonts w:asciiTheme="majorBidi" w:hAnsiTheme="majorBidi" w:cstheme="majorBidi"/>
          <w:b/>
          <w:bCs/>
        </w:rPr>
        <w:t>behavioral</w:t>
      </w:r>
      <w:proofErr w:type="spellEnd"/>
      <w:r w:rsidRPr="00513040">
        <w:rPr>
          <w:rFonts w:asciiTheme="majorBidi" w:hAnsiTheme="majorBidi" w:cstheme="majorBidi"/>
          <w:b/>
          <w:bCs/>
        </w:rPr>
        <w:t xml:space="preserve"> typologies</w:t>
      </w:r>
      <w:r w:rsidRPr="00513040">
        <w:rPr>
          <w:rFonts w:asciiTheme="majorBidi" w:hAnsiTheme="majorBidi" w:cstheme="majorBidi"/>
        </w:rPr>
        <w:t>, based on their combined mobility and pollution characteristics. These categories were derived by cross-referencing the K-Means mobility clusters with corresponding average pollutant levels (primarily NO₂ and PM₁₀):</w:t>
      </w:r>
    </w:p>
    <w:p w14:paraId="3230651C"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A: High Mobility – Low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Central downtown areas with efficient public transport (e.g., metro zones in Dubai)</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These zones are environmentally efficient and should be prioritized for green mobility investments.</w:t>
      </w:r>
    </w:p>
    <w:p w14:paraId="05A3B333"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B: Low Mobility – High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Industrial belts and oil refining zones with limited residential movement</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Stationary emissions dominate; regulatory interventions and fixed-source monitoring are needed.</w:t>
      </w:r>
    </w:p>
    <w:p w14:paraId="741E5EB3"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C: High Mobility – High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Urban traffic corridors or road-dense commercial </w:t>
      </w:r>
      <w:proofErr w:type="spellStart"/>
      <w:r w:rsidRPr="00513040">
        <w:rPr>
          <w:rFonts w:asciiTheme="majorBidi" w:hAnsiTheme="majorBidi" w:cstheme="majorBidi"/>
        </w:rPr>
        <w:t>centers</w:t>
      </w:r>
      <w:proofErr w:type="spellEnd"/>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Likely tied to mobile sources (vehicles); interventions may include electrification and congestion control.</w:t>
      </w:r>
    </w:p>
    <w:p w14:paraId="4C23FB8D" w14:textId="75C4983F"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D: Low Mobility – Low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Suburban or fringe zones with low population density</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w:t>
      </w:r>
      <w:r w:rsidRPr="00513040">
        <w:rPr>
          <w:rFonts w:asciiTheme="majorBidi" w:hAnsiTheme="majorBidi" w:cstheme="majorBidi"/>
        </w:rPr>
        <w:t>Typically,</w:t>
      </w:r>
      <w:r w:rsidRPr="00513040">
        <w:rPr>
          <w:rFonts w:asciiTheme="majorBidi" w:hAnsiTheme="majorBidi" w:cstheme="majorBidi"/>
        </w:rPr>
        <w:t xml:space="preserve"> low-risk areas, but may act as buffers or expansion zones in the future.</w:t>
      </w:r>
    </w:p>
    <w:p w14:paraId="1B763A40" w14:textId="3FB61E45" w:rsidR="00513040" w:rsidRPr="00513040" w:rsidRDefault="00513040" w:rsidP="00010520">
      <w:pPr>
        <w:ind w:firstLine="284"/>
        <w:jc w:val="both"/>
        <w:rPr>
          <w:rFonts w:asciiTheme="majorBidi" w:hAnsiTheme="majorBidi" w:cstheme="majorBidi"/>
        </w:rPr>
      </w:pPr>
      <w:r w:rsidRPr="00513040">
        <w:rPr>
          <w:rFonts w:asciiTheme="majorBidi" w:hAnsiTheme="majorBidi" w:cstheme="majorBidi"/>
        </w:rPr>
        <w:lastRenderedPageBreak/>
        <w:t>These four categories</w:t>
      </w:r>
      <w:r>
        <w:rPr>
          <w:rFonts w:asciiTheme="majorBidi" w:hAnsiTheme="majorBidi" w:cstheme="majorBidi"/>
        </w:rPr>
        <w:t xml:space="preserve"> </w:t>
      </w:r>
      <w:r w:rsidRPr="00513040">
        <w:rPr>
          <w:rFonts w:asciiTheme="majorBidi" w:hAnsiTheme="majorBidi" w:cstheme="majorBidi"/>
        </w:rPr>
        <w:t xml:space="preserve">were derived by </w:t>
      </w:r>
      <w:r w:rsidRPr="00513040">
        <w:rPr>
          <w:rFonts w:asciiTheme="majorBidi" w:hAnsiTheme="majorBidi" w:cstheme="majorBidi"/>
        </w:rPr>
        <w:t>analysing</w:t>
      </w:r>
      <w:r w:rsidRPr="00513040">
        <w:rPr>
          <w:rFonts w:asciiTheme="majorBidi" w:hAnsiTheme="majorBidi" w:cstheme="majorBidi"/>
        </w:rPr>
        <w:t xml:space="preserve"> both </w:t>
      </w:r>
      <w:r w:rsidRPr="00513040">
        <w:rPr>
          <w:rFonts w:asciiTheme="majorBidi" w:hAnsiTheme="majorBidi" w:cstheme="majorBidi"/>
          <w:b/>
          <w:bCs/>
        </w:rPr>
        <w:t>cluster label assignments</w:t>
      </w:r>
      <w:r w:rsidRPr="00513040">
        <w:rPr>
          <w:rFonts w:asciiTheme="majorBidi" w:hAnsiTheme="majorBidi" w:cstheme="majorBidi"/>
        </w:rPr>
        <w:t xml:space="preserve"> and corresponding pollution metrics. Zones were mapped accordingly, with each geohash </w:t>
      </w:r>
      <w:r w:rsidRPr="00513040">
        <w:rPr>
          <w:rFonts w:asciiTheme="majorBidi" w:hAnsiTheme="majorBidi" w:cstheme="majorBidi"/>
        </w:rPr>
        <w:t>coloured</w:t>
      </w:r>
      <w:r w:rsidRPr="00513040">
        <w:rPr>
          <w:rFonts w:asciiTheme="majorBidi" w:hAnsiTheme="majorBidi" w:cstheme="majorBidi"/>
        </w:rPr>
        <w:t xml:space="preserve"> by its </w:t>
      </w:r>
      <w:r w:rsidRPr="00513040">
        <w:rPr>
          <w:rFonts w:asciiTheme="majorBidi" w:hAnsiTheme="majorBidi" w:cstheme="majorBidi"/>
        </w:rPr>
        <w:t>behavioural</w:t>
      </w:r>
      <w:r w:rsidRPr="00513040">
        <w:rPr>
          <w:rFonts w:asciiTheme="majorBidi" w:hAnsiTheme="majorBidi" w:cstheme="majorBidi"/>
        </w:rPr>
        <w:t xml:space="preserve"> type and overlaid on top of the NO₂/SO₂/aerosol composite.</w:t>
      </w:r>
    </w:p>
    <w:p w14:paraId="21A55D8D" w14:textId="77777777" w:rsidR="00513040" w:rsidRPr="00513040" w:rsidRDefault="00513040" w:rsidP="00010520">
      <w:pPr>
        <w:jc w:val="both"/>
        <w:rPr>
          <w:rFonts w:asciiTheme="majorBidi" w:hAnsiTheme="majorBidi" w:cstheme="majorBidi"/>
        </w:rPr>
      </w:pPr>
      <w:r w:rsidRPr="00513040">
        <w:rPr>
          <w:rFonts w:asciiTheme="majorBidi" w:hAnsiTheme="majorBidi" w:cstheme="majorBidi"/>
          <w:b/>
          <w:bCs/>
          <w:color w:val="FF0000"/>
        </w:rPr>
        <w:t>Figure Y</w:t>
      </w:r>
      <w:r w:rsidRPr="00513040">
        <w:rPr>
          <w:rFonts w:asciiTheme="majorBidi" w:hAnsiTheme="majorBidi" w:cstheme="majorBidi"/>
        </w:rPr>
        <w:t xml:space="preserve"> (introduced in Section 4.2.1) effectively visualizes the spatial layout of these zones. For example, Sharjah and Dubai’s industrial edges appear to concentrate Type B zones, while transit-accessible cores reflect Type A or Type D clusters.</w:t>
      </w:r>
    </w:p>
    <w:p w14:paraId="6002BBD1" w14:textId="77777777" w:rsidR="00513040" w:rsidRPr="00513040" w:rsidRDefault="00513040" w:rsidP="008C3260">
      <w:pPr>
        <w:spacing w:after="0"/>
        <w:jc w:val="both"/>
        <w:rPr>
          <w:rFonts w:asciiTheme="majorBidi" w:hAnsiTheme="majorBidi" w:cstheme="majorBidi"/>
        </w:rPr>
      </w:pPr>
      <w:r w:rsidRPr="00513040">
        <w:rPr>
          <w:rFonts w:asciiTheme="majorBidi" w:hAnsiTheme="majorBidi" w:cstheme="majorBidi"/>
        </w:rPr>
        <w:t>This typology framework allows for:</w:t>
      </w:r>
    </w:p>
    <w:p w14:paraId="63EC39B5" w14:textId="77777777" w:rsidR="00513040" w:rsidRP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Targeted air quality monitoring,</w:t>
      </w:r>
    </w:p>
    <w:p w14:paraId="786ECD76" w14:textId="77777777" w:rsidR="00513040" w:rsidRP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Policy differentiation between mobile and stationary pollution drivers,</w:t>
      </w:r>
    </w:p>
    <w:p w14:paraId="4DCD199C" w14:textId="6237FFA5" w:rsid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 xml:space="preserve">Prioritization of mitigation efforts based on both </w:t>
      </w:r>
      <w:r w:rsidRPr="00010520">
        <w:rPr>
          <w:rFonts w:asciiTheme="majorBidi" w:hAnsiTheme="majorBidi" w:cstheme="majorBidi"/>
        </w:rPr>
        <w:t>behavioural</w:t>
      </w:r>
      <w:r w:rsidRPr="00513040">
        <w:rPr>
          <w:rFonts w:asciiTheme="majorBidi" w:hAnsiTheme="majorBidi" w:cstheme="majorBidi"/>
        </w:rPr>
        <w:t xml:space="preserve"> and environmental risk.</w:t>
      </w:r>
    </w:p>
    <w:p w14:paraId="2C330B6F" w14:textId="77777777" w:rsidR="008C3260" w:rsidRPr="00513040" w:rsidRDefault="008C3260" w:rsidP="008C3260">
      <w:pPr>
        <w:spacing w:after="0"/>
        <w:ind w:left="720"/>
        <w:jc w:val="both"/>
        <w:rPr>
          <w:rFonts w:asciiTheme="majorBidi" w:hAnsiTheme="majorBidi" w:cstheme="majorBidi"/>
        </w:rPr>
      </w:pPr>
    </w:p>
    <w:p w14:paraId="1622C9CE" w14:textId="679D1770" w:rsidR="00AF7A2E"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1098FF54" wp14:editId="02EC4601">
            <wp:extent cx="3810000" cy="2641167"/>
            <wp:effectExtent l="0" t="0" r="0" b="6985"/>
            <wp:docPr id="173773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134" name="Picture 173773134"/>
                    <pic:cNvPicPr/>
                  </pic:nvPicPr>
                  <pic:blipFill>
                    <a:blip r:embed="rId12">
                      <a:extLst>
                        <a:ext uri="{28A0092B-C50C-407E-A947-70E740481C1C}">
                          <a14:useLocalDpi xmlns:a14="http://schemas.microsoft.com/office/drawing/2010/main" val="0"/>
                        </a:ext>
                      </a:extLst>
                    </a:blip>
                    <a:stretch>
                      <a:fillRect/>
                    </a:stretch>
                  </pic:blipFill>
                  <pic:spPr>
                    <a:xfrm>
                      <a:off x="0" y="0"/>
                      <a:ext cx="3821885" cy="2649406"/>
                    </a:xfrm>
                    <a:prstGeom prst="rect">
                      <a:avLst/>
                    </a:prstGeom>
                  </pic:spPr>
                </pic:pic>
              </a:graphicData>
            </a:graphic>
          </wp:inline>
        </w:drawing>
      </w:r>
    </w:p>
    <w:p w14:paraId="7AF9CAF4" w14:textId="3E87224C" w:rsidR="00AF7A2E"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Elbow method to identify optimal k for clustering zones based on population-weighted absolute mobility drop. Suggests that 3 clusters yield stable segmentation.</w:t>
      </w:r>
    </w:p>
    <w:p w14:paraId="349596C7" w14:textId="6F9F0ACD" w:rsidR="00AF7A2E"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436E4997" wp14:editId="09D14B4A">
            <wp:extent cx="3733893" cy="2903220"/>
            <wp:effectExtent l="0" t="0" r="0" b="0"/>
            <wp:docPr id="12171525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2541" name="Picture 12171525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3184" cy="2910444"/>
                    </a:xfrm>
                    <a:prstGeom prst="rect">
                      <a:avLst/>
                    </a:prstGeom>
                  </pic:spPr>
                </pic:pic>
              </a:graphicData>
            </a:graphic>
          </wp:inline>
        </w:drawing>
      </w:r>
    </w:p>
    <w:p w14:paraId="13AB333D" w14:textId="4BC39AEE" w:rsidR="00AF7A2E"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Spatial clustering of geohash zones based on population-weighted mobility drop. Zones with the highest drop tend to align with dense metropolitan </w:t>
      </w:r>
      <w:proofErr w:type="spellStart"/>
      <w:r w:rsidRPr="00AF7A2E">
        <w:rPr>
          <w:rFonts w:asciiTheme="majorBidi" w:hAnsiTheme="majorBidi" w:cstheme="majorBidi"/>
        </w:rPr>
        <w:t>centers</w:t>
      </w:r>
      <w:proofErr w:type="spellEnd"/>
      <w:r w:rsidRPr="00AF7A2E">
        <w:rPr>
          <w:rFonts w:asciiTheme="majorBidi" w:hAnsiTheme="majorBidi" w:cstheme="majorBidi"/>
        </w:rPr>
        <w:t>.</w:t>
      </w:r>
    </w:p>
    <w:p w14:paraId="6C5045BB" w14:textId="77777777" w:rsidR="00AF7A2E" w:rsidRDefault="00AF7A2E" w:rsidP="00AF7A2E">
      <w:pPr>
        <w:jc w:val="both"/>
        <w:rPr>
          <w:rFonts w:asciiTheme="majorBidi" w:hAnsiTheme="majorBidi" w:cstheme="majorBidi"/>
        </w:rPr>
      </w:pPr>
    </w:p>
    <w:p w14:paraId="56A3E49B" w14:textId="73C8EFBE" w:rsidR="00AF7A2E" w:rsidRPr="00513040"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7EA23A50" wp14:editId="45AD3BDD">
            <wp:extent cx="3309002" cy="3169920"/>
            <wp:effectExtent l="0" t="0" r="5715" b="0"/>
            <wp:docPr id="611061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1996" name="Picture 611061996"/>
                    <pic:cNvPicPr/>
                  </pic:nvPicPr>
                  <pic:blipFill>
                    <a:blip r:embed="rId14">
                      <a:extLst>
                        <a:ext uri="{28A0092B-C50C-407E-A947-70E740481C1C}">
                          <a14:useLocalDpi xmlns:a14="http://schemas.microsoft.com/office/drawing/2010/main" val="0"/>
                        </a:ext>
                      </a:extLst>
                    </a:blip>
                    <a:stretch>
                      <a:fillRect/>
                    </a:stretch>
                  </pic:blipFill>
                  <pic:spPr>
                    <a:xfrm>
                      <a:off x="0" y="0"/>
                      <a:ext cx="3316779" cy="3177370"/>
                    </a:xfrm>
                    <a:prstGeom prst="rect">
                      <a:avLst/>
                    </a:prstGeom>
                  </pic:spPr>
                </pic:pic>
              </a:graphicData>
            </a:graphic>
          </wp:inline>
        </w:drawing>
      </w:r>
    </w:p>
    <w:p w14:paraId="58028791" w14:textId="185FBA35" w:rsidR="00376DFA"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Scatterplot of zones clustered based on average mobility change and composite pollution levels. High–High, Mid–Mid, and Low–Low groups reflect underlying </w:t>
      </w:r>
      <w:proofErr w:type="spellStart"/>
      <w:r w:rsidRPr="00AF7A2E">
        <w:rPr>
          <w:rFonts w:asciiTheme="majorBidi" w:hAnsiTheme="majorBidi" w:cstheme="majorBidi"/>
        </w:rPr>
        <w:t>behavior</w:t>
      </w:r>
      <w:proofErr w:type="spellEnd"/>
      <w:r w:rsidRPr="00AF7A2E">
        <w:rPr>
          <w:rFonts w:asciiTheme="majorBidi" w:hAnsiTheme="majorBidi" w:cstheme="majorBidi"/>
        </w:rPr>
        <w:t>-pollution interactions.</w:t>
      </w:r>
    </w:p>
    <w:p w14:paraId="2D82FED4" w14:textId="77777777" w:rsidR="00AF7A2E" w:rsidRDefault="00AF7A2E" w:rsidP="00AF7A2E">
      <w:pPr>
        <w:jc w:val="both"/>
        <w:rPr>
          <w:rFonts w:asciiTheme="majorBidi" w:hAnsiTheme="majorBidi" w:cstheme="majorBidi"/>
        </w:rPr>
      </w:pPr>
    </w:p>
    <w:p w14:paraId="10F82E0C" w14:textId="77777777" w:rsidR="008C3260" w:rsidRDefault="008C3260" w:rsidP="008C3260">
      <w:pPr>
        <w:jc w:val="center"/>
        <w:rPr>
          <w:rFonts w:asciiTheme="majorBidi" w:hAnsiTheme="majorBidi" w:cstheme="majorBidi"/>
          <w:b/>
          <w:bCs/>
        </w:rPr>
      </w:pPr>
      <w:r>
        <w:rPr>
          <w:rFonts w:asciiTheme="majorBidi" w:hAnsiTheme="majorBidi" w:cstheme="majorBidi"/>
          <w:noProof/>
        </w:rPr>
        <w:drawing>
          <wp:inline distT="0" distB="0" distL="0" distR="0" wp14:anchorId="4C521F74" wp14:editId="75639ED5">
            <wp:extent cx="4030980" cy="3134215"/>
            <wp:effectExtent l="0" t="0" r="7620" b="9525"/>
            <wp:docPr id="64288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104" name="Picture 642881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600" cy="3142472"/>
                    </a:xfrm>
                    <a:prstGeom prst="rect">
                      <a:avLst/>
                    </a:prstGeom>
                  </pic:spPr>
                </pic:pic>
              </a:graphicData>
            </a:graphic>
          </wp:inline>
        </w:drawing>
      </w:r>
    </w:p>
    <w:p w14:paraId="30CB4947" w14:textId="07ADB203" w:rsidR="008C3260" w:rsidRDefault="008C3260" w:rsidP="008C3260">
      <w:pPr>
        <w:jc w:val="both"/>
        <w:rPr>
          <w:rFonts w:asciiTheme="majorBidi" w:hAnsiTheme="majorBidi" w:cstheme="majorBidi"/>
        </w:rPr>
      </w:pPr>
      <w:r w:rsidRPr="008C3260">
        <w:rPr>
          <w:rFonts w:asciiTheme="majorBidi" w:hAnsiTheme="majorBidi" w:cstheme="majorBidi"/>
          <w:b/>
          <w:bCs/>
        </w:rPr>
        <w:t>Figure X.</w:t>
      </w:r>
      <w:r w:rsidRPr="008C3260">
        <w:rPr>
          <w:rFonts w:asciiTheme="majorBidi" w:hAnsiTheme="majorBidi" w:cstheme="majorBidi"/>
        </w:rPr>
        <w:t xml:space="preserve"> Map view of UAE zones </w:t>
      </w:r>
      <w:proofErr w:type="spellStart"/>
      <w:r w:rsidRPr="008C3260">
        <w:rPr>
          <w:rFonts w:asciiTheme="majorBidi" w:hAnsiTheme="majorBidi" w:cstheme="majorBidi"/>
        </w:rPr>
        <w:t>colored</w:t>
      </w:r>
      <w:proofErr w:type="spellEnd"/>
      <w:r w:rsidRPr="008C3260">
        <w:rPr>
          <w:rFonts w:asciiTheme="majorBidi" w:hAnsiTheme="majorBidi" w:cstheme="majorBidi"/>
        </w:rPr>
        <w:t xml:space="preserve"> by cluster label derived from joint mobility and pollution analysis. Overlay highlights spatial alignment of High–High risk zones with known industrial corridors.</w:t>
      </w:r>
    </w:p>
    <w:p w14:paraId="734C7B99" w14:textId="77777777" w:rsidR="00AF7A2E" w:rsidRPr="00376DFA" w:rsidRDefault="00AF7A2E" w:rsidP="00AF7A2E">
      <w:pPr>
        <w:jc w:val="both"/>
        <w:rPr>
          <w:rFonts w:asciiTheme="majorBidi" w:hAnsiTheme="majorBidi" w:cstheme="majorBidi"/>
        </w:rPr>
      </w:pPr>
    </w:p>
    <w:p w14:paraId="7417AD00" w14:textId="177E60C1"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lastRenderedPageBreak/>
        <w:t xml:space="preserve">Pollution </w:t>
      </w:r>
      <w:r w:rsidR="00010520" w:rsidRPr="00376DFA">
        <w:rPr>
          <w:rFonts w:asciiTheme="majorBidi" w:hAnsiTheme="majorBidi"/>
          <w:color w:val="auto"/>
        </w:rPr>
        <w:t>Modelling</w:t>
      </w:r>
    </w:p>
    <w:p w14:paraId="4B54C559" w14:textId="7C508B86"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 xml:space="preserve">Predictive </w:t>
      </w:r>
      <w:r w:rsidR="00010520" w:rsidRPr="00791455">
        <w:rPr>
          <w:rFonts w:asciiTheme="majorBidi" w:hAnsiTheme="majorBidi"/>
          <w:color w:val="auto"/>
        </w:rPr>
        <w:t>Modelling</w:t>
      </w:r>
      <w:r w:rsidRPr="00791455">
        <w:rPr>
          <w:rFonts w:asciiTheme="majorBidi" w:hAnsiTheme="majorBidi"/>
          <w:color w:val="auto"/>
        </w:rPr>
        <w:t xml:space="preserve"> of NO₂ Concentrations</w:t>
      </w:r>
    </w:p>
    <w:p w14:paraId="10E7CF9D" w14:textId="2C7B1DC7" w:rsidR="00671FB3" w:rsidRPr="008C3260" w:rsidRDefault="00671FB3" w:rsidP="00010520">
      <w:pPr>
        <w:ind w:firstLine="720"/>
        <w:jc w:val="both"/>
        <w:rPr>
          <w:rFonts w:asciiTheme="majorBidi" w:hAnsiTheme="majorBidi" w:cstheme="majorBidi"/>
          <w:sz w:val="24"/>
          <w:szCs w:val="24"/>
        </w:rPr>
      </w:pPr>
      <w:r w:rsidRPr="008C3260">
        <w:rPr>
          <w:rFonts w:asciiTheme="majorBidi" w:hAnsiTheme="majorBidi" w:cstheme="majorBidi"/>
          <w:sz w:val="24"/>
          <w:szCs w:val="24"/>
        </w:rPr>
        <w:t>To understand how mobility and urban characteristics influence air quality, supervised learning models were developed to predict NO₂ concentrations using multi-source features. The goal was to quantify how well variables such as mobility score, population density, and urban strata (e.g., zone type) can explain pollution variation across space and time.</w:t>
      </w:r>
    </w:p>
    <w:p w14:paraId="2814802B" w14:textId="47A55357" w:rsidR="00671FB3" w:rsidRPr="00671FB3" w:rsidRDefault="00671FB3" w:rsidP="008C3260">
      <w:pPr>
        <w:spacing w:after="0"/>
        <w:jc w:val="both"/>
        <w:rPr>
          <w:rFonts w:asciiTheme="majorBidi" w:hAnsiTheme="majorBidi" w:cstheme="majorBidi"/>
          <w:b/>
          <w:bCs/>
        </w:rPr>
      </w:pPr>
      <w:r w:rsidRPr="00671FB3">
        <w:rPr>
          <w:rFonts w:asciiTheme="majorBidi" w:hAnsiTheme="majorBidi" w:cstheme="majorBidi"/>
          <w:b/>
          <w:bCs/>
        </w:rPr>
        <w:t>Model Types Used:</w:t>
      </w:r>
    </w:p>
    <w:p w14:paraId="3585CC0F" w14:textId="77777777" w:rsidR="00671FB3" w:rsidRPr="00671FB3" w:rsidRDefault="00671FB3" w:rsidP="008C3260">
      <w:pPr>
        <w:numPr>
          <w:ilvl w:val="0"/>
          <w:numId w:val="27"/>
        </w:numPr>
        <w:spacing w:after="0"/>
        <w:jc w:val="both"/>
        <w:rPr>
          <w:rFonts w:asciiTheme="majorBidi" w:hAnsiTheme="majorBidi" w:cstheme="majorBidi"/>
          <w:sz w:val="24"/>
          <w:szCs w:val="24"/>
        </w:rPr>
      </w:pPr>
      <w:r w:rsidRPr="00671FB3">
        <w:rPr>
          <w:rFonts w:asciiTheme="majorBidi" w:hAnsiTheme="majorBidi" w:cstheme="majorBidi"/>
          <w:sz w:val="24"/>
          <w:szCs w:val="24"/>
        </w:rPr>
        <w:t>Linear Regression (baseline model)</w:t>
      </w:r>
    </w:p>
    <w:p w14:paraId="68F23E81" w14:textId="77777777" w:rsidR="00671FB3" w:rsidRPr="008C3260" w:rsidRDefault="00671FB3" w:rsidP="008C3260">
      <w:pPr>
        <w:numPr>
          <w:ilvl w:val="0"/>
          <w:numId w:val="27"/>
        </w:numPr>
        <w:spacing w:after="0"/>
        <w:jc w:val="both"/>
        <w:rPr>
          <w:rFonts w:asciiTheme="majorBidi" w:hAnsiTheme="majorBidi" w:cstheme="majorBidi"/>
          <w:sz w:val="24"/>
          <w:szCs w:val="24"/>
        </w:rPr>
      </w:pPr>
      <w:r w:rsidRPr="00671FB3">
        <w:rPr>
          <w:rFonts w:asciiTheme="majorBidi" w:hAnsiTheme="majorBidi" w:cstheme="majorBidi"/>
          <w:sz w:val="24"/>
          <w:szCs w:val="24"/>
        </w:rPr>
        <w:t>Random Forest Regressor (nonlinear model)</w:t>
      </w:r>
    </w:p>
    <w:p w14:paraId="4299C314" w14:textId="77777777" w:rsidR="008C3260" w:rsidRPr="00671FB3" w:rsidRDefault="008C3260" w:rsidP="008C3260">
      <w:pPr>
        <w:spacing w:after="0"/>
        <w:jc w:val="both"/>
        <w:rPr>
          <w:rFonts w:asciiTheme="majorBidi" w:hAnsiTheme="majorBidi" w:cstheme="majorBidi"/>
          <w:sz w:val="24"/>
          <w:szCs w:val="24"/>
        </w:rPr>
      </w:pPr>
    </w:p>
    <w:p w14:paraId="3054B9A6" w14:textId="77777777" w:rsidR="00671FB3" w:rsidRPr="00671FB3" w:rsidRDefault="00671FB3" w:rsidP="008C3260">
      <w:pPr>
        <w:spacing w:after="0"/>
        <w:jc w:val="both"/>
        <w:rPr>
          <w:rFonts w:asciiTheme="majorBidi" w:hAnsiTheme="majorBidi" w:cstheme="majorBidi"/>
          <w:sz w:val="24"/>
          <w:szCs w:val="24"/>
        </w:rPr>
      </w:pPr>
      <w:r w:rsidRPr="00671FB3">
        <w:rPr>
          <w:rFonts w:asciiTheme="majorBidi" w:hAnsiTheme="majorBidi" w:cstheme="majorBidi"/>
          <w:sz w:val="24"/>
          <w:szCs w:val="24"/>
        </w:rPr>
        <w:t>These models were trained on historical (2020–2022) geohash-level data. Features included:</w:t>
      </w:r>
    </w:p>
    <w:p w14:paraId="3D62E687" w14:textId="77777777" w:rsidR="00671FB3" w:rsidRPr="00671FB3" w:rsidRDefault="00671FB3" w:rsidP="008C3260">
      <w:pPr>
        <w:numPr>
          <w:ilvl w:val="0"/>
          <w:numId w:val="28"/>
        </w:numPr>
        <w:spacing w:after="0"/>
        <w:jc w:val="both"/>
        <w:rPr>
          <w:rFonts w:asciiTheme="majorBidi" w:hAnsiTheme="majorBidi" w:cstheme="majorBidi"/>
          <w:sz w:val="24"/>
          <w:szCs w:val="24"/>
        </w:rPr>
      </w:pPr>
      <w:proofErr w:type="spellStart"/>
      <w:r w:rsidRPr="00671FB3">
        <w:rPr>
          <w:rFonts w:asciiTheme="majorBidi" w:hAnsiTheme="majorBidi" w:cstheme="majorBidi"/>
          <w:sz w:val="24"/>
          <w:szCs w:val="24"/>
        </w:rPr>
        <w:t>mobility_score</w:t>
      </w:r>
      <w:proofErr w:type="spellEnd"/>
      <w:r w:rsidRPr="00671FB3">
        <w:rPr>
          <w:rFonts w:asciiTheme="majorBidi" w:hAnsiTheme="majorBidi" w:cstheme="majorBidi"/>
          <w:sz w:val="24"/>
          <w:szCs w:val="24"/>
        </w:rPr>
        <w:t>: Aggregated from Google mobility trends,</w:t>
      </w:r>
    </w:p>
    <w:p w14:paraId="16329EFD" w14:textId="77777777" w:rsidR="00671FB3" w:rsidRPr="00671FB3" w:rsidRDefault="00671FB3" w:rsidP="008C3260">
      <w:pPr>
        <w:numPr>
          <w:ilvl w:val="0"/>
          <w:numId w:val="28"/>
        </w:numPr>
        <w:spacing w:after="0"/>
        <w:jc w:val="both"/>
        <w:rPr>
          <w:rFonts w:asciiTheme="majorBidi" w:hAnsiTheme="majorBidi" w:cstheme="majorBidi"/>
          <w:sz w:val="24"/>
          <w:szCs w:val="24"/>
        </w:rPr>
      </w:pPr>
      <w:proofErr w:type="spellStart"/>
      <w:r w:rsidRPr="00671FB3">
        <w:rPr>
          <w:rFonts w:asciiTheme="majorBidi" w:hAnsiTheme="majorBidi" w:cstheme="majorBidi"/>
          <w:sz w:val="24"/>
          <w:szCs w:val="24"/>
        </w:rPr>
        <w:t>population_density</w:t>
      </w:r>
      <w:proofErr w:type="spellEnd"/>
      <w:r w:rsidRPr="00671FB3">
        <w:rPr>
          <w:rFonts w:asciiTheme="majorBidi" w:hAnsiTheme="majorBidi" w:cstheme="majorBidi"/>
          <w:sz w:val="24"/>
          <w:szCs w:val="24"/>
        </w:rPr>
        <w:t>: Likely derived from ancillary geospatial data,</w:t>
      </w:r>
    </w:p>
    <w:p w14:paraId="2F0A1080" w14:textId="77777777" w:rsidR="00671FB3" w:rsidRPr="00671FB3" w:rsidRDefault="00671FB3" w:rsidP="008C3260">
      <w:pPr>
        <w:numPr>
          <w:ilvl w:val="0"/>
          <w:numId w:val="28"/>
        </w:numPr>
        <w:spacing w:after="0"/>
        <w:jc w:val="both"/>
        <w:rPr>
          <w:rFonts w:asciiTheme="majorBidi" w:hAnsiTheme="majorBidi" w:cstheme="majorBidi"/>
          <w:sz w:val="24"/>
          <w:szCs w:val="24"/>
        </w:rPr>
      </w:pPr>
      <w:r w:rsidRPr="00671FB3">
        <w:rPr>
          <w:rFonts w:asciiTheme="majorBidi" w:hAnsiTheme="majorBidi" w:cstheme="majorBidi"/>
          <w:sz w:val="24"/>
          <w:szCs w:val="24"/>
        </w:rPr>
        <w:t>stratum/urban classification: Labelled based on known zone types (e.g., industrial, residential).</w:t>
      </w:r>
    </w:p>
    <w:p w14:paraId="21EC8A1E" w14:textId="3810FB8A" w:rsidR="00010520" w:rsidRPr="00671FB3" w:rsidRDefault="00671FB3" w:rsidP="008C3260">
      <w:pPr>
        <w:jc w:val="both"/>
        <w:rPr>
          <w:rFonts w:asciiTheme="majorBidi" w:hAnsiTheme="majorBidi" w:cstheme="majorBidi"/>
          <w:sz w:val="24"/>
          <w:szCs w:val="24"/>
        </w:rPr>
      </w:pPr>
      <w:r w:rsidRPr="00671FB3">
        <w:rPr>
          <w:rFonts w:asciiTheme="majorBidi" w:hAnsiTheme="majorBidi" w:cstheme="majorBidi"/>
          <w:sz w:val="24"/>
          <w:szCs w:val="24"/>
        </w:rPr>
        <w:t>The models were evaluated using the R² (coefficient of determination) score to measure predictive performance.</w:t>
      </w:r>
    </w:p>
    <w:p w14:paraId="0130AF79" w14:textId="4454B9FE" w:rsidR="00671FB3" w:rsidRPr="00671FB3" w:rsidRDefault="00671FB3" w:rsidP="00010520">
      <w:pPr>
        <w:jc w:val="both"/>
        <w:rPr>
          <w:rFonts w:asciiTheme="majorBidi" w:hAnsiTheme="majorBidi" w:cstheme="majorBidi"/>
          <w:b/>
          <w:bCs/>
          <w:sz w:val="24"/>
          <w:szCs w:val="24"/>
        </w:rPr>
      </w:pPr>
      <w:r w:rsidRPr="00671FB3">
        <w:rPr>
          <w:rFonts w:asciiTheme="majorBidi" w:hAnsiTheme="majorBidi" w:cstheme="majorBidi"/>
          <w:b/>
          <w:bCs/>
          <w:sz w:val="24"/>
          <w:szCs w:val="24"/>
        </w:rPr>
        <w:t>Key Findings:</w:t>
      </w:r>
    </w:p>
    <w:p w14:paraId="43C87805" w14:textId="77777777" w:rsidR="00671FB3" w:rsidRPr="00671FB3" w:rsidRDefault="00671FB3" w:rsidP="008C3260">
      <w:pPr>
        <w:numPr>
          <w:ilvl w:val="0"/>
          <w:numId w:val="29"/>
        </w:numPr>
        <w:spacing w:after="0"/>
        <w:jc w:val="both"/>
        <w:rPr>
          <w:rFonts w:asciiTheme="majorBidi" w:hAnsiTheme="majorBidi" w:cstheme="majorBidi"/>
          <w:sz w:val="24"/>
          <w:szCs w:val="24"/>
        </w:rPr>
      </w:pPr>
      <w:r w:rsidRPr="00671FB3">
        <w:rPr>
          <w:rFonts w:asciiTheme="majorBidi" w:hAnsiTheme="majorBidi" w:cstheme="majorBidi"/>
          <w:sz w:val="24"/>
          <w:szCs w:val="24"/>
        </w:rPr>
        <w:t>The Linear Regression model captured basic trends but underperformed in zones with nonlinear or mixed pollution patterns.</w:t>
      </w:r>
    </w:p>
    <w:p w14:paraId="7CB12118" w14:textId="77777777" w:rsidR="00671FB3" w:rsidRPr="008C3260" w:rsidRDefault="00671FB3" w:rsidP="008C3260">
      <w:pPr>
        <w:numPr>
          <w:ilvl w:val="0"/>
          <w:numId w:val="29"/>
        </w:numPr>
        <w:spacing w:after="0"/>
        <w:jc w:val="both"/>
        <w:rPr>
          <w:rFonts w:asciiTheme="majorBidi" w:hAnsiTheme="majorBidi" w:cstheme="majorBidi"/>
          <w:sz w:val="24"/>
          <w:szCs w:val="24"/>
        </w:rPr>
      </w:pPr>
      <w:r w:rsidRPr="00671FB3">
        <w:rPr>
          <w:rFonts w:asciiTheme="majorBidi" w:hAnsiTheme="majorBidi" w:cstheme="majorBidi"/>
          <w:sz w:val="24"/>
          <w:szCs w:val="24"/>
        </w:rPr>
        <w:t>The Random Forest model consistently outperformed, achieving R² scores above 0.7, indicating strong predictive accuracy and the ability to capture complex, nonlinear relationships.</w:t>
      </w:r>
    </w:p>
    <w:p w14:paraId="3F5B9932" w14:textId="77777777" w:rsidR="008C3260" w:rsidRPr="00671FB3" w:rsidRDefault="008C3260" w:rsidP="008C3260">
      <w:pPr>
        <w:spacing w:after="0"/>
        <w:ind w:left="720"/>
        <w:jc w:val="both"/>
        <w:rPr>
          <w:rFonts w:asciiTheme="majorBidi" w:hAnsiTheme="majorBidi" w:cstheme="majorBidi"/>
          <w:sz w:val="24"/>
          <w:szCs w:val="24"/>
        </w:rPr>
      </w:pPr>
    </w:p>
    <w:p w14:paraId="324F93C0" w14:textId="77777777" w:rsidR="00671FB3" w:rsidRPr="00671FB3" w:rsidRDefault="00671FB3" w:rsidP="008C3260">
      <w:pPr>
        <w:ind w:firstLine="360"/>
        <w:jc w:val="both"/>
        <w:rPr>
          <w:rFonts w:asciiTheme="majorBidi" w:hAnsiTheme="majorBidi" w:cstheme="majorBidi"/>
          <w:sz w:val="24"/>
          <w:szCs w:val="24"/>
        </w:rPr>
      </w:pPr>
      <w:r w:rsidRPr="00671FB3">
        <w:rPr>
          <w:rFonts w:asciiTheme="majorBidi" w:hAnsiTheme="majorBidi" w:cstheme="majorBidi"/>
          <w:sz w:val="24"/>
          <w:szCs w:val="24"/>
        </w:rPr>
        <w:t xml:space="preserve">This difference highlights the importance of accounting for interaction effects and nonlinearity in urban pollution </w:t>
      </w:r>
      <w:proofErr w:type="spellStart"/>
      <w:r w:rsidRPr="00671FB3">
        <w:rPr>
          <w:rFonts w:asciiTheme="majorBidi" w:hAnsiTheme="majorBidi" w:cstheme="majorBidi"/>
          <w:sz w:val="24"/>
          <w:szCs w:val="24"/>
        </w:rPr>
        <w:t>modeling</w:t>
      </w:r>
      <w:proofErr w:type="spellEnd"/>
      <w:r w:rsidRPr="00671FB3">
        <w:rPr>
          <w:rFonts w:asciiTheme="majorBidi" w:hAnsiTheme="majorBidi" w:cstheme="majorBidi"/>
          <w:sz w:val="24"/>
          <w:szCs w:val="24"/>
        </w:rPr>
        <w:t>—especially when mixing mobile and stationary pollution sources.</w:t>
      </w:r>
    </w:p>
    <w:p w14:paraId="0E23B3FD" w14:textId="372AEB18" w:rsidR="00376DFA" w:rsidRPr="008C3260" w:rsidRDefault="00671FB3" w:rsidP="00010520">
      <w:pPr>
        <w:jc w:val="both"/>
        <w:rPr>
          <w:rFonts w:asciiTheme="majorBidi" w:hAnsiTheme="majorBidi" w:cstheme="majorBidi"/>
          <w:sz w:val="24"/>
          <w:szCs w:val="24"/>
        </w:rPr>
      </w:pPr>
      <w:r w:rsidRPr="008C3260">
        <w:rPr>
          <w:rFonts w:asciiTheme="majorBidi" w:hAnsiTheme="majorBidi" w:cstheme="majorBidi"/>
          <w:sz w:val="24"/>
          <w:szCs w:val="24"/>
        </w:rPr>
        <w:t>We</w:t>
      </w:r>
      <w:r w:rsidRPr="008C3260">
        <w:rPr>
          <w:rFonts w:asciiTheme="majorBidi" w:hAnsiTheme="majorBidi" w:cstheme="majorBidi"/>
          <w:sz w:val="24"/>
          <w:szCs w:val="24"/>
        </w:rPr>
        <w:t xml:space="preserve"> also generated time-series forecasts using a linear trend model for both </w:t>
      </w:r>
      <w:r w:rsidRPr="008C3260">
        <w:rPr>
          <w:rFonts w:asciiTheme="majorBidi" w:hAnsiTheme="majorBidi" w:cstheme="majorBidi"/>
          <w:b/>
          <w:bCs/>
          <w:sz w:val="24"/>
          <w:szCs w:val="24"/>
        </w:rPr>
        <w:t>mobility</w:t>
      </w:r>
      <w:r w:rsidRPr="008C3260">
        <w:rPr>
          <w:rFonts w:asciiTheme="majorBidi" w:hAnsiTheme="majorBidi" w:cstheme="majorBidi"/>
          <w:sz w:val="24"/>
          <w:szCs w:val="24"/>
        </w:rPr>
        <w:t xml:space="preserve"> and </w:t>
      </w:r>
      <w:r w:rsidRPr="008C3260">
        <w:rPr>
          <w:rFonts w:asciiTheme="majorBidi" w:hAnsiTheme="majorBidi" w:cstheme="majorBidi"/>
          <w:b/>
          <w:bCs/>
          <w:sz w:val="24"/>
          <w:szCs w:val="24"/>
        </w:rPr>
        <w:t>NO₂</w:t>
      </w:r>
      <w:r w:rsidRPr="008C3260">
        <w:rPr>
          <w:rFonts w:asciiTheme="majorBidi" w:hAnsiTheme="majorBidi" w:cstheme="majorBidi"/>
          <w:sz w:val="24"/>
          <w:szCs w:val="24"/>
        </w:rPr>
        <w:t xml:space="preserve"> from 2020 to 2025</w:t>
      </w:r>
      <w:r w:rsidRPr="008C3260">
        <w:rPr>
          <w:rFonts w:asciiTheme="majorBidi" w:hAnsiTheme="majorBidi" w:cstheme="majorBidi"/>
          <w:sz w:val="24"/>
          <w:szCs w:val="24"/>
        </w:rPr>
        <w:t xml:space="preserve">. As shown in </w:t>
      </w:r>
      <w:r w:rsidRPr="008C3260">
        <w:rPr>
          <w:rFonts w:asciiTheme="majorBidi" w:hAnsiTheme="majorBidi" w:cstheme="majorBidi"/>
          <w:color w:val="FF0000"/>
          <w:sz w:val="24"/>
          <w:szCs w:val="24"/>
        </w:rPr>
        <w:t>Fig. Z</w:t>
      </w:r>
      <w:r w:rsidRPr="008C3260">
        <w:rPr>
          <w:rFonts w:asciiTheme="majorBidi" w:hAnsiTheme="majorBidi" w:cstheme="majorBidi"/>
          <w:sz w:val="24"/>
          <w:szCs w:val="24"/>
        </w:rPr>
        <w:t>, l</w:t>
      </w:r>
      <w:r w:rsidRPr="008C3260">
        <w:rPr>
          <w:rFonts w:asciiTheme="majorBidi" w:hAnsiTheme="majorBidi" w:cstheme="majorBidi"/>
          <w:sz w:val="24"/>
          <w:szCs w:val="24"/>
        </w:rPr>
        <w:t>inear-trend forecast of average UAE mobility and NO₂ levels from 2020 to 2025. Solid lines indicate observed values (2020–2022), while dashed lines represent predictions (2023–2025). The model forecasts a steady post-pandemic increase in mobility, with NO₂ levels remaining flat under the linear assumption.</w:t>
      </w:r>
    </w:p>
    <w:p w14:paraId="22EC3DB5" w14:textId="129859D4" w:rsidR="00671FB3" w:rsidRDefault="00671FB3" w:rsidP="00010520">
      <w:pPr>
        <w:jc w:val="both"/>
        <w:rPr>
          <w:rFonts w:asciiTheme="majorBidi" w:hAnsiTheme="majorBidi" w:cstheme="majorBidi"/>
        </w:rPr>
      </w:pPr>
      <w:r>
        <w:rPr>
          <w:rFonts w:asciiTheme="majorBidi" w:hAnsiTheme="majorBidi" w:cstheme="majorBidi"/>
          <w:noProof/>
        </w:rPr>
        <w:lastRenderedPageBreak/>
        <w:drawing>
          <wp:inline distT="0" distB="0" distL="0" distR="0" wp14:anchorId="79BAD49B" wp14:editId="27AA06B0">
            <wp:extent cx="5273040" cy="3270383"/>
            <wp:effectExtent l="0" t="0" r="3810" b="6350"/>
            <wp:docPr id="484766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6037" name="Picture 484766037"/>
                    <pic:cNvPicPr/>
                  </pic:nvPicPr>
                  <pic:blipFill>
                    <a:blip r:embed="rId16">
                      <a:extLst>
                        <a:ext uri="{28A0092B-C50C-407E-A947-70E740481C1C}">
                          <a14:useLocalDpi xmlns:a14="http://schemas.microsoft.com/office/drawing/2010/main" val="0"/>
                        </a:ext>
                      </a:extLst>
                    </a:blip>
                    <a:stretch>
                      <a:fillRect/>
                    </a:stretch>
                  </pic:blipFill>
                  <pic:spPr>
                    <a:xfrm>
                      <a:off x="0" y="0"/>
                      <a:ext cx="5288664" cy="3280073"/>
                    </a:xfrm>
                    <a:prstGeom prst="rect">
                      <a:avLst/>
                    </a:prstGeom>
                  </pic:spPr>
                </pic:pic>
              </a:graphicData>
            </a:graphic>
          </wp:inline>
        </w:drawing>
      </w:r>
    </w:p>
    <w:p w14:paraId="3B2780CD" w14:textId="40620852" w:rsidR="00671FB3" w:rsidRPr="008C3260" w:rsidRDefault="00671FB3" w:rsidP="00010520">
      <w:pPr>
        <w:jc w:val="both"/>
        <w:rPr>
          <w:rFonts w:asciiTheme="majorBidi" w:hAnsiTheme="majorBidi" w:cstheme="majorBidi"/>
          <w:sz w:val="24"/>
          <w:szCs w:val="24"/>
        </w:rPr>
      </w:pPr>
      <w:r w:rsidRPr="008C3260">
        <w:rPr>
          <w:rFonts w:asciiTheme="majorBidi" w:hAnsiTheme="majorBidi" w:cstheme="majorBidi"/>
          <w:b/>
          <w:bCs/>
          <w:color w:val="FF0000"/>
          <w:sz w:val="24"/>
          <w:szCs w:val="24"/>
        </w:rPr>
        <w:t>Figure</w:t>
      </w:r>
      <w:r w:rsidRPr="008C3260">
        <w:rPr>
          <w:rFonts w:asciiTheme="majorBidi" w:hAnsiTheme="majorBidi" w:cstheme="majorBidi"/>
          <w:b/>
          <w:bCs/>
          <w:color w:val="FF0000"/>
          <w:sz w:val="24"/>
          <w:szCs w:val="24"/>
        </w:rPr>
        <w:t xml:space="preserve"> Z</w:t>
      </w:r>
      <w:r w:rsidRPr="008C3260">
        <w:rPr>
          <w:rFonts w:asciiTheme="majorBidi" w:hAnsiTheme="majorBidi" w:cstheme="majorBidi"/>
          <w:b/>
          <w:bCs/>
          <w:sz w:val="24"/>
          <w:szCs w:val="24"/>
        </w:rPr>
        <w:t>:</w:t>
      </w:r>
      <w:r w:rsidRPr="008C3260">
        <w:rPr>
          <w:rFonts w:asciiTheme="majorBidi" w:hAnsiTheme="majorBidi" w:cstheme="majorBidi"/>
          <w:sz w:val="24"/>
          <w:szCs w:val="24"/>
        </w:rPr>
        <w:t xml:space="preserve"> Linear-trend forecast of average UAE mobility and NO₂ levels from 2020 to 2025. Predicted values suggest a steady rise in mobility post-2022, with NO₂ increasing in tandem if unregulated.</w:t>
      </w:r>
    </w:p>
    <w:p w14:paraId="70B9372B" w14:textId="77777777" w:rsidR="00466B57" w:rsidRPr="00376DFA" w:rsidRDefault="00466B57" w:rsidP="00010520">
      <w:pPr>
        <w:jc w:val="both"/>
        <w:rPr>
          <w:rFonts w:asciiTheme="majorBidi" w:hAnsiTheme="majorBidi" w:cstheme="majorBidi"/>
        </w:rPr>
      </w:pPr>
    </w:p>
    <w:p w14:paraId="0ABC9D6C" w14:textId="06128C2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Feature Importance and Interpretability</w:t>
      </w:r>
      <w:r w:rsidR="005A1D0E">
        <w:rPr>
          <w:rFonts w:asciiTheme="majorBidi" w:hAnsiTheme="majorBidi"/>
          <w:color w:val="auto"/>
        </w:rPr>
        <w:t>:</w:t>
      </w:r>
    </w:p>
    <w:p w14:paraId="4A888FC5" w14:textId="77777777" w:rsidR="005A1D0E" w:rsidRPr="005A1D0E" w:rsidRDefault="005A1D0E" w:rsidP="00010520">
      <w:pPr>
        <w:ind w:firstLine="720"/>
        <w:jc w:val="both"/>
        <w:rPr>
          <w:rFonts w:asciiTheme="majorBidi" w:hAnsiTheme="majorBidi" w:cstheme="majorBidi"/>
          <w:sz w:val="24"/>
          <w:szCs w:val="24"/>
        </w:rPr>
      </w:pPr>
      <w:r w:rsidRPr="005A1D0E">
        <w:rPr>
          <w:rFonts w:asciiTheme="majorBidi" w:hAnsiTheme="majorBidi" w:cstheme="majorBidi"/>
          <w:sz w:val="24"/>
          <w:szCs w:val="24"/>
        </w:rPr>
        <w:t>To interpret the results of the predictive model for NO₂ concentrations, a feature importance analysis was conducted using the trained Gradient Boosting Regressor (GBR). This helped identify which input features had the strongest influence on pollution levels across zones.</w:t>
      </w:r>
    </w:p>
    <w:p w14:paraId="74005CF8" w14:textId="77777777" w:rsidR="005A1D0E" w:rsidRPr="005A1D0E" w:rsidRDefault="005A1D0E" w:rsidP="00010520">
      <w:pPr>
        <w:jc w:val="both"/>
        <w:rPr>
          <w:rFonts w:asciiTheme="majorBidi" w:hAnsiTheme="majorBidi" w:cstheme="majorBidi"/>
          <w:sz w:val="24"/>
          <w:szCs w:val="24"/>
        </w:rPr>
      </w:pPr>
      <w:r w:rsidRPr="005A1D0E">
        <w:rPr>
          <w:rFonts w:asciiTheme="majorBidi" w:hAnsiTheme="majorBidi" w:cstheme="majorBidi"/>
          <w:sz w:val="24"/>
          <w:szCs w:val="24"/>
        </w:rPr>
        <w:t>The initial model considered five features, including:</w:t>
      </w:r>
    </w:p>
    <w:p w14:paraId="4CFB7F38" w14:textId="77777777" w:rsidR="005A1D0E" w:rsidRPr="005A1D0E" w:rsidRDefault="005A1D0E" w:rsidP="00010520">
      <w:pPr>
        <w:numPr>
          <w:ilvl w:val="0"/>
          <w:numId w:val="32"/>
        </w:numPr>
        <w:jc w:val="both"/>
        <w:rPr>
          <w:rFonts w:asciiTheme="majorBidi" w:hAnsiTheme="majorBidi" w:cstheme="majorBidi"/>
          <w:sz w:val="24"/>
          <w:szCs w:val="24"/>
        </w:rPr>
      </w:pPr>
      <w:proofErr w:type="spellStart"/>
      <w:r w:rsidRPr="005A1D0E">
        <w:rPr>
          <w:rFonts w:asciiTheme="majorBidi" w:hAnsiTheme="majorBidi" w:cstheme="majorBidi"/>
          <w:sz w:val="24"/>
          <w:szCs w:val="24"/>
        </w:rPr>
        <w:t>mobility_score</w:t>
      </w:r>
      <w:proofErr w:type="spellEnd"/>
      <w:r w:rsidRPr="005A1D0E">
        <w:rPr>
          <w:rFonts w:asciiTheme="majorBidi" w:hAnsiTheme="majorBidi" w:cstheme="majorBidi"/>
          <w:sz w:val="24"/>
          <w:szCs w:val="24"/>
        </w:rPr>
        <w:t>,</w:t>
      </w:r>
    </w:p>
    <w:p w14:paraId="674C5B30" w14:textId="77777777" w:rsidR="005A1D0E" w:rsidRPr="005A1D0E" w:rsidRDefault="005A1D0E" w:rsidP="00010520">
      <w:pPr>
        <w:numPr>
          <w:ilvl w:val="0"/>
          <w:numId w:val="32"/>
        </w:numPr>
        <w:jc w:val="both"/>
        <w:rPr>
          <w:rFonts w:asciiTheme="majorBidi" w:hAnsiTheme="majorBidi" w:cstheme="majorBidi"/>
          <w:sz w:val="24"/>
          <w:szCs w:val="24"/>
        </w:rPr>
      </w:pPr>
      <w:proofErr w:type="spellStart"/>
      <w:r w:rsidRPr="005A1D0E">
        <w:rPr>
          <w:rFonts w:asciiTheme="majorBidi" w:hAnsiTheme="majorBidi" w:cstheme="majorBidi"/>
          <w:sz w:val="24"/>
          <w:szCs w:val="24"/>
        </w:rPr>
        <w:t>pop_density</w:t>
      </w:r>
      <w:proofErr w:type="spellEnd"/>
      <w:r w:rsidRPr="005A1D0E">
        <w:rPr>
          <w:rFonts w:asciiTheme="majorBidi" w:hAnsiTheme="majorBidi" w:cstheme="majorBidi"/>
          <w:sz w:val="24"/>
          <w:szCs w:val="24"/>
        </w:rPr>
        <w:t>,</w:t>
      </w:r>
    </w:p>
    <w:p w14:paraId="77532417" w14:textId="77777777" w:rsidR="005A1D0E" w:rsidRPr="005A1D0E" w:rsidRDefault="005A1D0E" w:rsidP="00010520">
      <w:pPr>
        <w:numPr>
          <w:ilvl w:val="0"/>
          <w:numId w:val="32"/>
        </w:numPr>
        <w:jc w:val="both"/>
        <w:rPr>
          <w:rFonts w:asciiTheme="majorBidi" w:hAnsiTheme="majorBidi" w:cstheme="majorBidi"/>
          <w:sz w:val="24"/>
          <w:szCs w:val="24"/>
        </w:rPr>
      </w:pPr>
      <w:r w:rsidRPr="005A1D0E">
        <w:rPr>
          <w:rFonts w:asciiTheme="majorBidi" w:hAnsiTheme="majorBidi" w:cstheme="majorBidi"/>
          <w:sz w:val="24"/>
          <w:szCs w:val="24"/>
        </w:rPr>
        <w:t>and their squared and interaction terms.</w:t>
      </w:r>
    </w:p>
    <w:p w14:paraId="4B9C7686" w14:textId="700F3B08" w:rsidR="005A1D0E" w:rsidRPr="008C3260" w:rsidRDefault="005A1D0E" w:rsidP="00010520">
      <w:pPr>
        <w:jc w:val="both"/>
        <w:rPr>
          <w:rFonts w:asciiTheme="majorBidi" w:hAnsiTheme="majorBidi" w:cstheme="majorBidi"/>
          <w:sz w:val="24"/>
          <w:szCs w:val="24"/>
        </w:rPr>
      </w:pPr>
      <w:r w:rsidRPr="005A1D0E">
        <w:rPr>
          <w:rFonts w:asciiTheme="majorBidi" w:hAnsiTheme="majorBidi" w:cstheme="majorBidi"/>
          <w:sz w:val="24"/>
          <w:szCs w:val="24"/>
        </w:rPr>
        <w:t xml:space="preserve">As shown in </w:t>
      </w:r>
      <w:r w:rsidRPr="005A1D0E">
        <w:rPr>
          <w:rFonts w:asciiTheme="majorBidi" w:hAnsiTheme="majorBidi" w:cstheme="majorBidi"/>
          <w:b/>
          <w:bCs/>
          <w:color w:val="FF0000"/>
          <w:sz w:val="24"/>
          <w:szCs w:val="24"/>
        </w:rPr>
        <w:t xml:space="preserve">Figure </w:t>
      </w:r>
      <w:r w:rsidRPr="008C3260">
        <w:rPr>
          <w:rFonts w:asciiTheme="majorBidi" w:hAnsiTheme="majorBidi" w:cstheme="majorBidi"/>
          <w:b/>
          <w:bCs/>
          <w:color w:val="FF0000"/>
          <w:sz w:val="24"/>
          <w:szCs w:val="24"/>
        </w:rPr>
        <w:t>P</w:t>
      </w:r>
      <w:r w:rsidRPr="005A1D0E">
        <w:rPr>
          <w:rFonts w:asciiTheme="majorBidi" w:hAnsiTheme="majorBidi" w:cstheme="majorBidi"/>
          <w:sz w:val="24"/>
          <w:szCs w:val="24"/>
        </w:rPr>
        <w:t xml:space="preserve">, </w:t>
      </w:r>
      <w:r w:rsidRPr="005A1D0E">
        <w:rPr>
          <w:rFonts w:asciiTheme="majorBidi" w:hAnsiTheme="majorBidi" w:cstheme="majorBidi"/>
          <w:b/>
          <w:bCs/>
          <w:sz w:val="24"/>
          <w:szCs w:val="24"/>
        </w:rPr>
        <w:t>population density</w:t>
      </w:r>
      <w:r w:rsidRPr="005A1D0E">
        <w:rPr>
          <w:rFonts w:asciiTheme="majorBidi" w:hAnsiTheme="majorBidi" w:cstheme="majorBidi"/>
          <w:sz w:val="24"/>
          <w:szCs w:val="24"/>
        </w:rPr>
        <w:t xml:space="preserve"> alone contributed over 80% of the predictive power, highlighting its critical role in determining NO₂ concentrations. This suggests that high-density zones, especially those with limited green space or ventilation, may retain pollutants more effectively, regardless of human movement patterns.</w:t>
      </w:r>
    </w:p>
    <w:p w14:paraId="63B4340E" w14:textId="4A1CC939" w:rsidR="005A1D0E" w:rsidRPr="005A1D0E" w:rsidRDefault="005A1D0E" w:rsidP="00010520">
      <w:pPr>
        <w:jc w:val="center"/>
        <w:rPr>
          <w:rFonts w:asciiTheme="majorBidi" w:hAnsiTheme="majorBidi" w:cstheme="majorBidi"/>
        </w:rPr>
      </w:pPr>
      <w:r>
        <w:rPr>
          <w:rFonts w:asciiTheme="majorBidi" w:hAnsiTheme="majorBidi" w:cstheme="majorBidi"/>
          <w:noProof/>
        </w:rPr>
        <w:lastRenderedPageBreak/>
        <w:drawing>
          <wp:inline distT="0" distB="0" distL="0" distR="0" wp14:anchorId="4D605BFC" wp14:editId="3E0CF5C1">
            <wp:extent cx="4619609" cy="2865120"/>
            <wp:effectExtent l="0" t="0" r="0" b="0"/>
            <wp:docPr id="1492684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4703" name="Picture 1492684703"/>
                    <pic:cNvPicPr/>
                  </pic:nvPicPr>
                  <pic:blipFill>
                    <a:blip r:embed="rId17">
                      <a:extLst>
                        <a:ext uri="{28A0092B-C50C-407E-A947-70E740481C1C}">
                          <a14:useLocalDpi xmlns:a14="http://schemas.microsoft.com/office/drawing/2010/main" val="0"/>
                        </a:ext>
                      </a:extLst>
                    </a:blip>
                    <a:stretch>
                      <a:fillRect/>
                    </a:stretch>
                  </pic:blipFill>
                  <pic:spPr>
                    <a:xfrm>
                      <a:off x="0" y="0"/>
                      <a:ext cx="4622669" cy="2867018"/>
                    </a:xfrm>
                    <a:prstGeom prst="rect">
                      <a:avLst/>
                    </a:prstGeom>
                  </pic:spPr>
                </pic:pic>
              </a:graphicData>
            </a:graphic>
          </wp:inline>
        </w:drawing>
      </w:r>
    </w:p>
    <w:p w14:paraId="4C7BC95F" w14:textId="7796F5B5" w:rsidR="005A1D0E" w:rsidRPr="005A1D0E" w:rsidRDefault="005A1D0E" w:rsidP="00010520">
      <w:pPr>
        <w:jc w:val="both"/>
        <w:rPr>
          <w:rFonts w:asciiTheme="majorBidi" w:hAnsiTheme="majorBidi" w:cstheme="majorBidi"/>
        </w:rPr>
      </w:pPr>
      <w:r w:rsidRPr="005A1D0E">
        <w:rPr>
          <w:rFonts w:asciiTheme="majorBidi" w:hAnsiTheme="majorBidi" w:cstheme="majorBidi"/>
          <w:b/>
          <w:bCs/>
          <w:color w:val="FF0000"/>
        </w:rPr>
        <w:t xml:space="preserve">Figure </w:t>
      </w:r>
      <w:r w:rsidRPr="005A1D0E">
        <w:rPr>
          <w:rFonts w:asciiTheme="majorBidi" w:hAnsiTheme="majorBidi" w:cstheme="majorBidi"/>
          <w:b/>
          <w:bCs/>
          <w:color w:val="FF0000"/>
        </w:rPr>
        <w:t>P</w:t>
      </w:r>
      <w:r>
        <w:rPr>
          <w:rFonts w:asciiTheme="majorBidi" w:hAnsiTheme="majorBidi" w:cstheme="majorBidi"/>
          <w:b/>
          <w:bCs/>
        </w:rPr>
        <w:t>:</w:t>
      </w:r>
      <w:r w:rsidRPr="005A1D0E">
        <w:rPr>
          <w:rFonts w:asciiTheme="majorBidi" w:hAnsiTheme="majorBidi" w:cstheme="majorBidi"/>
        </w:rPr>
        <w:t xml:space="preserve"> Feature importance from the initial Gradient Boosting model. </w:t>
      </w:r>
      <w:proofErr w:type="spellStart"/>
      <w:r w:rsidRPr="005A1D0E">
        <w:rPr>
          <w:rFonts w:asciiTheme="majorBidi" w:hAnsiTheme="majorBidi" w:cstheme="majorBidi"/>
        </w:rPr>
        <w:t>pop_density</w:t>
      </w:r>
      <w:proofErr w:type="spellEnd"/>
      <w:r w:rsidRPr="005A1D0E">
        <w:rPr>
          <w:rFonts w:asciiTheme="majorBidi" w:hAnsiTheme="majorBidi" w:cstheme="majorBidi"/>
        </w:rPr>
        <w:t xml:space="preserve"> was the dominant predictor of NO₂, while other variables contributed marginally.</w:t>
      </w:r>
    </w:p>
    <w:p w14:paraId="43E9216C" w14:textId="77777777" w:rsidR="005A1D0E" w:rsidRPr="005A1D0E" w:rsidRDefault="005A1D0E" w:rsidP="00010520">
      <w:pPr>
        <w:jc w:val="both"/>
        <w:rPr>
          <w:rFonts w:asciiTheme="majorBidi" w:hAnsiTheme="majorBidi" w:cstheme="majorBidi"/>
        </w:rPr>
      </w:pPr>
      <w:r w:rsidRPr="005A1D0E">
        <w:rPr>
          <w:rFonts w:asciiTheme="majorBidi" w:hAnsiTheme="majorBidi" w:cstheme="majorBidi"/>
        </w:rPr>
        <w:t>To improve generalization and interpretability, a refined model included:</w:t>
      </w:r>
    </w:p>
    <w:p w14:paraId="61B3F2E4" w14:textId="77777777" w:rsidR="005A1D0E" w:rsidRPr="005A1D0E" w:rsidRDefault="005A1D0E" w:rsidP="008C3260">
      <w:pPr>
        <w:numPr>
          <w:ilvl w:val="0"/>
          <w:numId w:val="33"/>
        </w:numPr>
        <w:spacing w:after="0"/>
        <w:jc w:val="both"/>
        <w:rPr>
          <w:rFonts w:asciiTheme="majorBidi" w:hAnsiTheme="majorBidi" w:cstheme="majorBidi"/>
        </w:rPr>
      </w:pPr>
      <w:proofErr w:type="spellStart"/>
      <w:r w:rsidRPr="005A1D0E">
        <w:rPr>
          <w:rFonts w:asciiTheme="majorBidi" w:hAnsiTheme="majorBidi" w:cstheme="majorBidi"/>
        </w:rPr>
        <w:t>pop_density_log</w:t>
      </w:r>
      <w:proofErr w:type="spellEnd"/>
      <w:r w:rsidRPr="005A1D0E">
        <w:rPr>
          <w:rFonts w:asciiTheme="majorBidi" w:hAnsiTheme="majorBidi" w:cstheme="majorBidi"/>
        </w:rPr>
        <w:t xml:space="preserve"> (to normalize skew),</w:t>
      </w:r>
    </w:p>
    <w:p w14:paraId="4F79F9AE" w14:textId="77777777" w:rsidR="005A1D0E" w:rsidRPr="005A1D0E" w:rsidRDefault="005A1D0E" w:rsidP="008C3260">
      <w:pPr>
        <w:numPr>
          <w:ilvl w:val="0"/>
          <w:numId w:val="33"/>
        </w:numPr>
        <w:spacing w:after="0"/>
        <w:jc w:val="both"/>
        <w:rPr>
          <w:rFonts w:asciiTheme="majorBidi" w:hAnsiTheme="majorBidi" w:cstheme="majorBidi"/>
        </w:rPr>
      </w:pPr>
      <w:proofErr w:type="spellStart"/>
      <w:r w:rsidRPr="005A1D0E">
        <w:rPr>
          <w:rFonts w:asciiTheme="majorBidi" w:hAnsiTheme="majorBidi" w:cstheme="majorBidi"/>
        </w:rPr>
        <w:t>mobility_abs</w:t>
      </w:r>
      <w:proofErr w:type="spellEnd"/>
      <w:r w:rsidRPr="005A1D0E">
        <w:rPr>
          <w:rFonts w:asciiTheme="majorBidi" w:hAnsiTheme="majorBidi" w:cstheme="majorBidi"/>
        </w:rPr>
        <w:t xml:space="preserve"> (to reduce direction bias),</w:t>
      </w:r>
    </w:p>
    <w:p w14:paraId="156C74C9" w14:textId="77777777" w:rsidR="005A1D0E" w:rsidRDefault="005A1D0E" w:rsidP="008C3260">
      <w:pPr>
        <w:numPr>
          <w:ilvl w:val="0"/>
          <w:numId w:val="33"/>
        </w:numPr>
        <w:spacing w:after="0"/>
        <w:jc w:val="both"/>
        <w:rPr>
          <w:rFonts w:asciiTheme="majorBidi" w:hAnsiTheme="majorBidi" w:cstheme="majorBidi"/>
        </w:rPr>
      </w:pPr>
      <w:r w:rsidRPr="005A1D0E">
        <w:rPr>
          <w:rFonts w:asciiTheme="majorBidi" w:hAnsiTheme="majorBidi" w:cstheme="majorBidi"/>
        </w:rPr>
        <w:t xml:space="preserve">and </w:t>
      </w:r>
      <w:proofErr w:type="spellStart"/>
      <w:r w:rsidRPr="005A1D0E">
        <w:rPr>
          <w:rFonts w:asciiTheme="majorBidi" w:hAnsiTheme="majorBidi" w:cstheme="majorBidi"/>
        </w:rPr>
        <w:t>mobility_density_ratio</w:t>
      </w:r>
      <w:proofErr w:type="spellEnd"/>
      <w:r w:rsidRPr="005A1D0E">
        <w:rPr>
          <w:rFonts w:asciiTheme="majorBidi" w:hAnsiTheme="majorBidi" w:cstheme="majorBidi"/>
        </w:rPr>
        <w:t xml:space="preserve"> (to capture per-capita activity).</w:t>
      </w:r>
    </w:p>
    <w:p w14:paraId="4139452D" w14:textId="77777777" w:rsidR="008C3260" w:rsidRPr="005A1D0E" w:rsidRDefault="008C3260" w:rsidP="008C3260">
      <w:pPr>
        <w:spacing w:after="0"/>
        <w:ind w:left="720"/>
        <w:jc w:val="both"/>
        <w:rPr>
          <w:rFonts w:asciiTheme="majorBidi" w:hAnsiTheme="majorBidi" w:cstheme="majorBidi"/>
        </w:rPr>
      </w:pPr>
    </w:p>
    <w:p w14:paraId="7CC8FE0F" w14:textId="0394FF4B" w:rsidR="005A1D0E" w:rsidRPr="005A1D0E" w:rsidRDefault="005A1D0E" w:rsidP="00010520">
      <w:pPr>
        <w:ind w:firstLine="360"/>
        <w:jc w:val="both"/>
        <w:rPr>
          <w:rFonts w:asciiTheme="majorBidi" w:hAnsiTheme="majorBidi" w:cstheme="majorBidi"/>
        </w:rPr>
      </w:pPr>
      <w:r w:rsidRPr="005A1D0E">
        <w:rPr>
          <w:rFonts w:asciiTheme="majorBidi" w:hAnsiTheme="majorBidi" w:cstheme="majorBidi"/>
        </w:rPr>
        <w:t xml:space="preserve">As shown in </w:t>
      </w:r>
      <w:r w:rsidRPr="005A1D0E">
        <w:rPr>
          <w:rFonts w:asciiTheme="majorBidi" w:hAnsiTheme="majorBidi" w:cstheme="majorBidi"/>
          <w:color w:val="FF0000"/>
        </w:rPr>
        <w:t xml:space="preserve">Figure </w:t>
      </w:r>
      <w:r w:rsidRPr="005A1D0E">
        <w:rPr>
          <w:rFonts w:asciiTheme="majorBidi" w:hAnsiTheme="majorBidi" w:cstheme="majorBidi"/>
          <w:color w:val="FF0000"/>
        </w:rPr>
        <w:t>O</w:t>
      </w:r>
      <w:r w:rsidRPr="005A1D0E">
        <w:rPr>
          <w:rFonts w:asciiTheme="majorBidi" w:hAnsiTheme="majorBidi" w:cstheme="majorBidi"/>
        </w:rPr>
        <w:t xml:space="preserve">, the improved model distributed feature importance more evenly. </w:t>
      </w:r>
      <w:proofErr w:type="spellStart"/>
      <w:r w:rsidRPr="005A1D0E">
        <w:rPr>
          <w:rFonts w:asciiTheme="majorBidi" w:hAnsiTheme="majorBidi" w:cstheme="majorBidi"/>
        </w:rPr>
        <w:t>pop_density_log</w:t>
      </w:r>
      <w:proofErr w:type="spellEnd"/>
      <w:r w:rsidRPr="005A1D0E">
        <w:rPr>
          <w:rFonts w:asciiTheme="majorBidi" w:hAnsiTheme="majorBidi" w:cstheme="majorBidi"/>
        </w:rPr>
        <w:t xml:space="preserve"> and </w:t>
      </w:r>
      <w:proofErr w:type="spellStart"/>
      <w:r w:rsidRPr="005A1D0E">
        <w:rPr>
          <w:rFonts w:asciiTheme="majorBidi" w:hAnsiTheme="majorBidi" w:cstheme="majorBidi"/>
        </w:rPr>
        <w:t>pop_density</w:t>
      </w:r>
      <w:proofErr w:type="spellEnd"/>
      <w:r w:rsidRPr="005A1D0E">
        <w:rPr>
          <w:rFonts w:asciiTheme="majorBidi" w:hAnsiTheme="majorBidi" w:cstheme="majorBidi"/>
        </w:rPr>
        <w:t xml:space="preserve"> remained highly predictive, but engineered variables like </w:t>
      </w:r>
      <w:proofErr w:type="spellStart"/>
      <w:r w:rsidRPr="005A1D0E">
        <w:rPr>
          <w:rFonts w:asciiTheme="majorBidi" w:hAnsiTheme="majorBidi" w:cstheme="majorBidi"/>
        </w:rPr>
        <w:t>mobility_density_ratio</w:t>
      </w:r>
      <w:proofErr w:type="spellEnd"/>
      <w:r w:rsidRPr="005A1D0E">
        <w:rPr>
          <w:rFonts w:asciiTheme="majorBidi" w:hAnsiTheme="majorBidi" w:cstheme="majorBidi"/>
        </w:rPr>
        <w:t xml:space="preserve"> also gained significance, indicating that combined features capture deeper spatial and </w:t>
      </w:r>
      <w:proofErr w:type="spellStart"/>
      <w:r w:rsidRPr="005A1D0E">
        <w:rPr>
          <w:rFonts w:asciiTheme="majorBidi" w:hAnsiTheme="majorBidi" w:cstheme="majorBidi"/>
        </w:rPr>
        <w:t>behavioral</w:t>
      </w:r>
      <w:proofErr w:type="spellEnd"/>
      <w:r w:rsidRPr="005A1D0E">
        <w:rPr>
          <w:rFonts w:asciiTheme="majorBidi" w:hAnsiTheme="majorBidi" w:cstheme="majorBidi"/>
        </w:rPr>
        <w:t xml:space="preserve"> dynamics.</w:t>
      </w:r>
    </w:p>
    <w:p w14:paraId="2BD16284" w14:textId="68DC8A38" w:rsidR="005A1D0E" w:rsidRPr="005A1D0E" w:rsidRDefault="005A1D0E" w:rsidP="00010520">
      <w:pPr>
        <w:jc w:val="center"/>
        <w:rPr>
          <w:rFonts w:asciiTheme="majorBidi" w:hAnsiTheme="majorBidi" w:cstheme="majorBidi"/>
        </w:rPr>
      </w:pPr>
      <w:r>
        <w:rPr>
          <w:rFonts w:asciiTheme="majorBidi" w:hAnsiTheme="majorBidi" w:cstheme="majorBidi"/>
          <w:noProof/>
        </w:rPr>
        <w:drawing>
          <wp:inline distT="0" distB="0" distL="0" distR="0" wp14:anchorId="6FAF6666" wp14:editId="7800FB95">
            <wp:extent cx="5731510" cy="3554730"/>
            <wp:effectExtent l="0" t="0" r="2540" b="7620"/>
            <wp:docPr id="30283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501" name="Picture 30283501"/>
                    <pic:cNvPicPr/>
                  </pic:nvPicPr>
                  <pic:blipFill>
                    <a:blip r:embed="rId18">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45C78ABF" w14:textId="1D195F78" w:rsidR="005A1D0E" w:rsidRDefault="005A1D0E" w:rsidP="00010520">
      <w:pPr>
        <w:jc w:val="both"/>
        <w:rPr>
          <w:rFonts w:asciiTheme="majorBidi" w:hAnsiTheme="majorBidi" w:cstheme="majorBidi"/>
        </w:rPr>
      </w:pPr>
      <w:r w:rsidRPr="005A1D0E">
        <w:rPr>
          <w:rFonts w:asciiTheme="majorBidi" w:hAnsiTheme="majorBidi" w:cstheme="majorBidi"/>
          <w:b/>
          <w:bCs/>
          <w:color w:val="FF0000"/>
        </w:rPr>
        <w:lastRenderedPageBreak/>
        <w:t xml:space="preserve">Figure </w:t>
      </w:r>
      <w:r w:rsidRPr="005A1D0E">
        <w:rPr>
          <w:rFonts w:asciiTheme="majorBidi" w:hAnsiTheme="majorBidi" w:cstheme="majorBidi"/>
          <w:b/>
          <w:bCs/>
          <w:color w:val="FF0000"/>
        </w:rPr>
        <w:t>O</w:t>
      </w:r>
      <w:r>
        <w:rPr>
          <w:rFonts w:asciiTheme="majorBidi" w:hAnsiTheme="majorBidi" w:cstheme="majorBidi"/>
          <w:b/>
          <w:bCs/>
        </w:rPr>
        <w:t>:</w:t>
      </w:r>
      <w:r w:rsidRPr="005A1D0E">
        <w:rPr>
          <w:rFonts w:asciiTheme="majorBidi" w:hAnsiTheme="majorBidi" w:cstheme="majorBidi"/>
        </w:rPr>
        <w:t xml:space="preserve"> Feature importance from the improved Gradient Boosting model. Log-transformed density and per-capita mobility enhanced interpretability and balance across features.</w:t>
      </w:r>
    </w:p>
    <w:p w14:paraId="23B9572C" w14:textId="77777777" w:rsidR="005A1D0E" w:rsidRPr="005A1D0E" w:rsidRDefault="005A1D0E" w:rsidP="00010520">
      <w:pPr>
        <w:jc w:val="both"/>
        <w:rPr>
          <w:rFonts w:asciiTheme="majorBidi" w:hAnsiTheme="majorBidi" w:cstheme="majorBidi"/>
        </w:rPr>
      </w:pPr>
    </w:p>
    <w:p w14:paraId="1322A0A0" w14:textId="77777777" w:rsidR="005A1D0E" w:rsidRPr="005A1D0E" w:rsidRDefault="005A1D0E" w:rsidP="00010520">
      <w:pPr>
        <w:ind w:firstLine="360"/>
        <w:jc w:val="both"/>
        <w:rPr>
          <w:rFonts w:asciiTheme="majorBidi" w:hAnsiTheme="majorBidi" w:cstheme="majorBidi"/>
        </w:rPr>
      </w:pPr>
      <w:r w:rsidRPr="005A1D0E">
        <w:rPr>
          <w:rFonts w:asciiTheme="majorBidi" w:hAnsiTheme="majorBidi" w:cstheme="majorBidi"/>
        </w:rPr>
        <w:t xml:space="preserve">Despite the model's strong </w:t>
      </w:r>
      <w:r w:rsidRPr="005A1D0E">
        <w:rPr>
          <w:rFonts w:asciiTheme="majorBidi" w:hAnsiTheme="majorBidi" w:cstheme="majorBidi"/>
          <w:b/>
          <w:bCs/>
        </w:rPr>
        <w:t>test R² score of 0.686</w:t>
      </w:r>
      <w:r w:rsidRPr="005A1D0E">
        <w:rPr>
          <w:rFonts w:asciiTheme="majorBidi" w:hAnsiTheme="majorBidi" w:cstheme="majorBidi"/>
        </w:rPr>
        <w:t xml:space="preserve"> and very low </w:t>
      </w:r>
      <w:r w:rsidRPr="005A1D0E">
        <w:rPr>
          <w:rFonts w:asciiTheme="majorBidi" w:hAnsiTheme="majorBidi" w:cstheme="majorBidi"/>
          <w:b/>
          <w:bCs/>
        </w:rPr>
        <w:t>mean absolute error (MAE ≈ 2.5×10⁻⁵)</w:t>
      </w:r>
      <w:r w:rsidRPr="005A1D0E">
        <w:rPr>
          <w:rFonts w:asciiTheme="majorBidi" w:hAnsiTheme="majorBidi" w:cstheme="majorBidi"/>
        </w:rPr>
        <w:t xml:space="preserve">, the </w:t>
      </w:r>
      <w:r w:rsidRPr="005A1D0E">
        <w:rPr>
          <w:rFonts w:asciiTheme="majorBidi" w:hAnsiTheme="majorBidi" w:cstheme="majorBidi"/>
          <w:b/>
          <w:bCs/>
        </w:rPr>
        <w:t>5-fold cross-validation R² was negative (–0.459)</w:t>
      </w:r>
      <w:r w:rsidRPr="005A1D0E">
        <w:rPr>
          <w:rFonts w:asciiTheme="majorBidi" w:hAnsiTheme="majorBidi" w:cstheme="majorBidi"/>
        </w:rPr>
        <w:t>. This discrepancy is likely due to:</w:t>
      </w:r>
    </w:p>
    <w:p w14:paraId="3278C86F"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 xml:space="preserve">The </w:t>
      </w:r>
      <w:r w:rsidRPr="005A1D0E">
        <w:rPr>
          <w:rFonts w:asciiTheme="majorBidi" w:hAnsiTheme="majorBidi" w:cstheme="majorBidi"/>
          <w:b/>
          <w:bCs/>
        </w:rPr>
        <w:t>small dataset size</w:t>
      </w:r>
      <w:r w:rsidRPr="005A1D0E">
        <w:rPr>
          <w:rFonts w:asciiTheme="majorBidi" w:hAnsiTheme="majorBidi" w:cstheme="majorBidi"/>
        </w:rPr>
        <w:t>,</w:t>
      </w:r>
    </w:p>
    <w:p w14:paraId="5EAE078A"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Extremely low target pollution values (close to machine precision),</w:t>
      </w:r>
    </w:p>
    <w:p w14:paraId="55642255"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And high variance between geohash zones.</w:t>
      </w:r>
    </w:p>
    <w:p w14:paraId="7D85F19D" w14:textId="77777777" w:rsidR="005A1D0E" w:rsidRPr="005A1D0E" w:rsidRDefault="005A1D0E" w:rsidP="00010520">
      <w:pPr>
        <w:jc w:val="both"/>
        <w:rPr>
          <w:rFonts w:asciiTheme="majorBidi" w:hAnsiTheme="majorBidi" w:cstheme="majorBidi"/>
        </w:rPr>
      </w:pPr>
      <w:r w:rsidRPr="005A1D0E">
        <w:rPr>
          <w:rFonts w:asciiTheme="majorBidi" w:hAnsiTheme="majorBidi" w:cstheme="majorBidi"/>
        </w:rPr>
        <w:t>These results confirm that while the model performs well on seen data, it may not generalize robustly without a larger or more diverse training set.</w:t>
      </w:r>
    </w:p>
    <w:p w14:paraId="34B4F169" w14:textId="77777777" w:rsidR="00671FB3" w:rsidRPr="00376DFA" w:rsidRDefault="00671FB3" w:rsidP="00010520">
      <w:pPr>
        <w:jc w:val="both"/>
        <w:rPr>
          <w:rFonts w:asciiTheme="majorBidi" w:hAnsiTheme="majorBidi" w:cstheme="majorBidi"/>
        </w:rPr>
      </w:pPr>
    </w:p>
    <w:p w14:paraId="31EBC5D5" w14:textId="755D295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Implications for Urban Air Quality Management</w:t>
      </w:r>
      <w:r w:rsidR="005A1D0E">
        <w:rPr>
          <w:rFonts w:asciiTheme="majorBidi" w:hAnsiTheme="majorBidi"/>
          <w:color w:val="auto"/>
        </w:rPr>
        <w:t>:</w:t>
      </w:r>
    </w:p>
    <w:p w14:paraId="71F1383C" w14:textId="77777777" w:rsidR="00061770" w:rsidRPr="00061770" w:rsidRDefault="00061770" w:rsidP="00010520">
      <w:pPr>
        <w:jc w:val="both"/>
        <w:rPr>
          <w:rFonts w:asciiTheme="majorBidi" w:hAnsiTheme="majorBidi" w:cstheme="majorBidi"/>
        </w:rPr>
      </w:pPr>
      <w:r>
        <w:rPr>
          <w:rFonts w:asciiTheme="majorBidi" w:hAnsiTheme="majorBidi" w:cstheme="majorBidi"/>
        </w:rPr>
        <w:t xml:space="preserve"> </w:t>
      </w:r>
      <w:r w:rsidRPr="00061770">
        <w:rPr>
          <w:rFonts w:asciiTheme="majorBidi" w:hAnsiTheme="majorBidi" w:cstheme="majorBidi"/>
        </w:rPr>
        <w:t xml:space="preserve">The </w:t>
      </w:r>
      <w:proofErr w:type="spellStart"/>
      <w:r w:rsidRPr="00061770">
        <w:rPr>
          <w:rFonts w:asciiTheme="majorBidi" w:hAnsiTheme="majorBidi" w:cstheme="majorBidi"/>
        </w:rPr>
        <w:t>modeling</w:t>
      </w:r>
      <w:proofErr w:type="spellEnd"/>
      <w:r w:rsidRPr="00061770">
        <w:rPr>
          <w:rFonts w:asciiTheme="majorBidi" w:hAnsiTheme="majorBidi" w:cstheme="majorBidi"/>
        </w:rPr>
        <w:t xml:space="preserve"> insights from Sections 4.3.1 and 4.3.2 offer actionable implications for environmental governance. Most notably, the feature importance analysis (Figure X from 4.3.2) confirmed that </w:t>
      </w:r>
      <w:r w:rsidRPr="00061770">
        <w:rPr>
          <w:rFonts w:asciiTheme="majorBidi" w:hAnsiTheme="majorBidi" w:cstheme="majorBidi"/>
          <w:b/>
          <w:bCs/>
        </w:rPr>
        <w:t>population density is a dominant predictor</w:t>
      </w:r>
      <w:r w:rsidRPr="00061770">
        <w:rPr>
          <w:rFonts w:asciiTheme="majorBidi" w:hAnsiTheme="majorBidi" w:cstheme="majorBidi"/>
        </w:rPr>
        <w:t xml:space="preserve"> of NO₂ concentrations, reinforcing the role of </w:t>
      </w:r>
      <w:r w:rsidRPr="00061770">
        <w:rPr>
          <w:rFonts w:asciiTheme="majorBidi" w:hAnsiTheme="majorBidi" w:cstheme="majorBidi"/>
          <w:b/>
          <w:bCs/>
        </w:rPr>
        <w:t>urban structure and land use</w:t>
      </w:r>
      <w:r w:rsidRPr="00061770">
        <w:rPr>
          <w:rFonts w:asciiTheme="majorBidi" w:hAnsiTheme="majorBidi" w:cstheme="majorBidi"/>
        </w:rPr>
        <w:t xml:space="preserve"> in shaping pollution outcomes.</w:t>
      </w:r>
    </w:p>
    <w:p w14:paraId="4E074F7B" w14:textId="39FEB2D1" w:rsidR="00061770" w:rsidRDefault="00061770" w:rsidP="00010520">
      <w:pPr>
        <w:jc w:val="both"/>
        <w:rPr>
          <w:rFonts w:asciiTheme="majorBidi" w:hAnsiTheme="majorBidi" w:cstheme="majorBidi"/>
        </w:rPr>
      </w:pPr>
      <w:r w:rsidRPr="00061770">
        <w:rPr>
          <w:rFonts w:asciiTheme="majorBidi" w:hAnsiTheme="majorBidi" w:cstheme="majorBidi"/>
        </w:rPr>
        <w:t xml:space="preserve">To further explore the relationship between </w:t>
      </w:r>
      <w:r w:rsidRPr="00061770">
        <w:rPr>
          <w:rFonts w:asciiTheme="majorBidi" w:hAnsiTheme="majorBidi" w:cstheme="majorBidi"/>
          <w:b/>
          <w:bCs/>
        </w:rPr>
        <w:t>mobility and pollution over time</w:t>
      </w:r>
      <w:r w:rsidRPr="00061770">
        <w:rPr>
          <w:rFonts w:asciiTheme="majorBidi" w:hAnsiTheme="majorBidi" w:cstheme="majorBidi"/>
        </w:rPr>
        <w:t xml:space="preserve">, a joint analysis of workplace activity and NO₂ concentrations from </w:t>
      </w:r>
      <w:r w:rsidRPr="00061770">
        <w:rPr>
          <w:rFonts w:asciiTheme="majorBidi" w:hAnsiTheme="majorBidi" w:cstheme="majorBidi"/>
          <w:b/>
          <w:bCs/>
        </w:rPr>
        <w:t>2020 to 2022</w:t>
      </w:r>
      <w:r w:rsidRPr="00061770">
        <w:rPr>
          <w:rFonts w:asciiTheme="majorBidi" w:hAnsiTheme="majorBidi" w:cstheme="majorBidi"/>
        </w:rPr>
        <w:t xml:space="preserve"> was conducted. As shown in </w:t>
      </w:r>
      <w:r w:rsidRPr="00061770">
        <w:rPr>
          <w:rFonts w:asciiTheme="majorBidi" w:hAnsiTheme="majorBidi" w:cstheme="majorBidi"/>
          <w:b/>
          <w:bCs/>
        </w:rPr>
        <w:t xml:space="preserve">Figure </w:t>
      </w:r>
      <w:r>
        <w:rPr>
          <w:rFonts w:asciiTheme="majorBidi" w:hAnsiTheme="majorBidi" w:cstheme="majorBidi"/>
          <w:b/>
          <w:bCs/>
        </w:rPr>
        <w:t>E</w:t>
      </w:r>
      <w:r w:rsidRPr="00061770">
        <w:rPr>
          <w:rFonts w:asciiTheme="majorBidi" w:hAnsiTheme="majorBidi" w:cstheme="majorBidi"/>
        </w:rPr>
        <w:t xml:space="preserve">, seasonal trends indicate that </w:t>
      </w:r>
      <w:r w:rsidRPr="00061770">
        <w:rPr>
          <w:rFonts w:asciiTheme="majorBidi" w:hAnsiTheme="majorBidi" w:cstheme="majorBidi"/>
          <w:b/>
          <w:bCs/>
        </w:rPr>
        <w:t>sharp reductions in mobility—especially during early 2020—were often accompanied by dips in NO₂</w:t>
      </w:r>
      <w:r w:rsidRPr="00061770">
        <w:rPr>
          <w:rFonts w:asciiTheme="majorBidi" w:hAnsiTheme="majorBidi" w:cstheme="majorBidi"/>
        </w:rPr>
        <w:t xml:space="preserve">, highlighting the sensitivity of urban air quality to </w:t>
      </w:r>
      <w:proofErr w:type="spellStart"/>
      <w:r w:rsidRPr="00061770">
        <w:rPr>
          <w:rFonts w:asciiTheme="majorBidi" w:hAnsiTheme="majorBidi" w:cstheme="majorBidi"/>
        </w:rPr>
        <w:t>behavioral</w:t>
      </w:r>
      <w:proofErr w:type="spellEnd"/>
      <w:r w:rsidRPr="00061770">
        <w:rPr>
          <w:rFonts w:asciiTheme="majorBidi" w:hAnsiTheme="majorBidi" w:cstheme="majorBidi"/>
        </w:rPr>
        <w:t xml:space="preserve"> and policy-driven shifts in activity.</w:t>
      </w:r>
    </w:p>
    <w:p w14:paraId="438545F6" w14:textId="3E727B7B" w:rsidR="00061770" w:rsidRPr="00061770" w:rsidRDefault="00061770" w:rsidP="00010520">
      <w:pPr>
        <w:jc w:val="both"/>
        <w:rPr>
          <w:rFonts w:asciiTheme="majorBidi" w:hAnsiTheme="majorBidi" w:cstheme="majorBidi"/>
        </w:rPr>
      </w:pPr>
      <w:r>
        <w:rPr>
          <w:rFonts w:asciiTheme="majorBidi" w:hAnsiTheme="majorBidi" w:cstheme="majorBidi"/>
          <w:noProof/>
        </w:rPr>
        <w:drawing>
          <wp:inline distT="0" distB="0" distL="0" distR="0" wp14:anchorId="48F7EDA2" wp14:editId="502D4063">
            <wp:extent cx="5731510" cy="2839720"/>
            <wp:effectExtent l="0" t="0" r="2540" b="0"/>
            <wp:docPr id="133197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376" name="Picture 133197376"/>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980FAED" w14:textId="2CDE202C" w:rsidR="00061770" w:rsidRDefault="00061770" w:rsidP="00010520">
      <w:pPr>
        <w:jc w:val="both"/>
        <w:rPr>
          <w:rFonts w:asciiTheme="majorBidi" w:hAnsiTheme="majorBidi" w:cstheme="majorBidi"/>
        </w:rPr>
      </w:pPr>
      <w:r w:rsidRPr="00061770">
        <w:rPr>
          <w:rFonts w:asciiTheme="majorBidi" w:hAnsiTheme="majorBidi" w:cstheme="majorBidi"/>
          <w:b/>
          <w:bCs/>
        </w:rPr>
        <w:t xml:space="preserve">Figure </w:t>
      </w:r>
      <w:r>
        <w:rPr>
          <w:rFonts w:asciiTheme="majorBidi" w:hAnsiTheme="majorBidi" w:cstheme="majorBidi"/>
          <w:b/>
          <w:bCs/>
        </w:rPr>
        <w:t>E:</w:t>
      </w:r>
      <w:r w:rsidRPr="00061770">
        <w:rPr>
          <w:rFonts w:asciiTheme="majorBidi" w:hAnsiTheme="majorBidi" w:cstheme="majorBidi"/>
        </w:rPr>
        <w:t xml:space="preserve"> Monthly averages of UAE workplace mobility vs. ground-level NO₂ concentration (2020–2022). While mobility dropped significantly during early COVID-19 periods, NO₂ levels followed similar seasonal dips, supporting traffic-pollution linkages.</w:t>
      </w:r>
    </w:p>
    <w:p w14:paraId="17E127FB" w14:textId="77777777" w:rsidR="00010520" w:rsidRDefault="00010520" w:rsidP="00010520">
      <w:pPr>
        <w:jc w:val="both"/>
        <w:rPr>
          <w:rFonts w:asciiTheme="majorBidi" w:hAnsiTheme="majorBidi" w:cstheme="majorBidi"/>
        </w:rPr>
      </w:pPr>
    </w:p>
    <w:p w14:paraId="34271663" w14:textId="33672AC9" w:rsidR="00061770" w:rsidRDefault="00061770" w:rsidP="00010520">
      <w:pPr>
        <w:jc w:val="both"/>
        <w:rPr>
          <w:rFonts w:asciiTheme="majorBidi" w:hAnsiTheme="majorBidi" w:cstheme="majorBidi"/>
        </w:rPr>
      </w:pPr>
      <w:r w:rsidRPr="00061770">
        <w:rPr>
          <w:rFonts w:asciiTheme="majorBidi" w:hAnsiTheme="majorBidi" w:cstheme="majorBidi"/>
        </w:rPr>
        <w:lastRenderedPageBreak/>
        <w:t xml:space="preserve">Looking forward, </w:t>
      </w:r>
      <w:r w:rsidRPr="00061770">
        <w:rPr>
          <w:rFonts w:asciiTheme="majorBidi" w:hAnsiTheme="majorBidi" w:cstheme="majorBidi"/>
        </w:rPr>
        <w:t xml:space="preserve">as shown in Figure F, </w:t>
      </w:r>
      <w:r w:rsidRPr="00061770">
        <w:rPr>
          <w:rFonts w:asciiTheme="majorBidi" w:hAnsiTheme="majorBidi" w:cstheme="majorBidi"/>
        </w:rPr>
        <w:t>Ericsson's urban mobility forecast through 2025 projects a continued rise in mobile device activity, indicative of broader growth in urban movement and energy use. In contrast, the spatial raster analysis for 2023–2025 suggests that pollution intensity may remain stagnant or increase in specific high-density corridors unless mitigated.</w:t>
      </w:r>
      <w:r w:rsidRPr="00061770">
        <w:rPr>
          <w:rFonts w:asciiTheme="majorBidi" w:hAnsiTheme="majorBidi" w:cstheme="majorBidi"/>
        </w:rPr>
        <w:t xml:space="preserve"> </w:t>
      </w:r>
    </w:p>
    <w:p w14:paraId="06F3F32A" w14:textId="77777777" w:rsidR="00010520" w:rsidRPr="00061770" w:rsidRDefault="00010520" w:rsidP="00010520">
      <w:pPr>
        <w:jc w:val="both"/>
        <w:rPr>
          <w:rFonts w:asciiTheme="majorBidi" w:hAnsiTheme="majorBidi" w:cstheme="majorBidi"/>
        </w:rPr>
      </w:pPr>
    </w:p>
    <w:p w14:paraId="2F11FFF2" w14:textId="4288E241" w:rsidR="00061770" w:rsidRPr="00061770" w:rsidRDefault="00061770" w:rsidP="00010520">
      <w:pPr>
        <w:jc w:val="both"/>
        <w:rPr>
          <w:rFonts w:asciiTheme="majorBidi" w:hAnsiTheme="majorBidi" w:cstheme="majorBidi"/>
        </w:rPr>
      </w:pPr>
      <w:r>
        <w:rPr>
          <w:rFonts w:asciiTheme="majorBidi" w:hAnsiTheme="majorBidi" w:cstheme="majorBidi"/>
          <w:noProof/>
        </w:rPr>
        <w:drawing>
          <wp:inline distT="0" distB="0" distL="0" distR="0" wp14:anchorId="185CBC3F" wp14:editId="525FFF89">
            <wp:extent cx="5731510" cy="2051685"/>
            <wp:effectExtent l="0" t="0" r="2540" b="5715"/>
            <wp:docPr id="16469517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1779" name="Picture 164695177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5A92A7F5" w14:textId="76DF2C6B" w:rsidR="00061770" w:rsidRDefault="00061770" w:rsidP="00010520">
      <w:pPr>
        <w:jc w:val="both"/>
        <w:rPr>
          <w:rFonts w:asciiTheme="majorBidi" w:hAnsiTheme="majorBidi" w:cstheme="majorBidi"/>
        </w:rPr>
      </w:pPr>
      <w:r w:rsidRPr="00061770">
        <w:rPr>
          <w:rFonts w:asciiTheme="majorBidi" w:hAnsiTheme="majorBidi" w:cstheme="majorBidi"/>
          <w:b/>
          <w:bCs/>
        </w:rPr>
        <w:t xml:space="preserve">Figure </w:t>
      </w:r>
      <w:r>
        <w:rPr>
          <w:rFonts w:asciiTheme="majorBidi" w:hAnsiTheme="majorBidi" w:cstheme="majorBidi"/>
          <w:b/>
          <w:bCs/>
        </w:rPr>
        <w:t>F:</w:t>
      </w:r>
      <w:r w:rsidRPr="00061770">
        <w:rPr>
          <w:rFonts w:asciiTheme="majorBidi" w:hAnsiTheme="majorBidi" w:cstheme="majorBidi"/>
        </w:rPr>
        <w:t xml:space="preserve"> Ericsson forecast of UAE mobility (EB/month) vs. projected pollution index (2023–2025). The right panel shows the composite pollution raster, where elevated NO₂/SO₂/Aerosol levels remain persistent in northern metro areas.</w:t>
      </w:r>
    </w:p>
    <w:p w14:paraId="210FDF53" w14:textId="77777777" w:rsidR="00010520" w:rsidRPr="00061770" w:rsidRDefault="00010520" w:rsidP="00010520">
      <w:pPr>
        <w:jc w:val="both"/>
        <w:rPr>
          <w:rFonts w:asciiTheme="majorBidi" w:hAnsiTheme="majorBidi" w:cstheme="majorBidi"/>
        </w:rPr>
      </w:pPr>
    </w:p>
    <w:p w14:paraId="3A6E7EF9" w14:textId="601CA9F0" w:rsidR="00061770" w:rsidRPr="00061770" w:rsidRDefault="00010520" w:rsidP="00010520">
      <w:pPr>
        <w:jc w:val="both"/>
        <w:rPr>
          <w:rFonts w:asciiTheme="majorBidi" w:hAnsiTheme="majorBidi" w:cstheme="majorBidi"/>
          <w:b/>
          <w:bCs/>
        </w:rPr>
      </w:pPr>
      <w:r w:rsidRPr="00010520">
        <w:rPr>
          <w:rFonts w:asciiTheme="majorBidi" w:hAnsiTheme="majorBidi" w:cstheme="majorBidi"/>
          <w:b/>
          <w:bCs/>
        </w:rPr>
        <w:t>Recommendations for Sustainable Urban Air Management</w:t>
      </w:r>
      <w:r w:rsidR="00061770" w:rsidRPr="00061770">
        <w:rPr>
          <w:rFonts w:asciiTheme="majorBidi" w:hAnsiTheme="majorBidi" w:cstheme="majorBidi"/>
          <w:b/>
          <w:bCs/>
        </w:rPr>
        <w:t>:</w:t>
      </w:r>
    </w:p>
    <w:p w14:paraId="3C09EE93"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Type C zones (High Mobility – High Pollution) should be prioritized for green transport, low-emission zones, and real-time air quality monitoring.</w:t>
      </w:r>
    </w:p>
    <w:p w14:paraId="64124841"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Type B zones (Low Mobility – High Pollution) demand industrial controls, such as tighter SO₂ regulations and cleaner energy transitions.</w:t>
      </w:r>
    </w:p>
    <w:p w14:paraId="2C6AD110"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Urban densification strategies must include air quality safeguards to avoid clustering emissions.</w:t>
      </w:r>
    </w:p>
    <w:p w14:paraId="18E3186C"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Continued use of satellite-integrated raster data is critical for scalable and automated monitoring.</w:t>
      </w:r>
    </w:p>
    <w:p w14:paraId="5B2CB742" w14:textId="77777777" w:rsidR="00061770" w:rsidRPr="00061770" w:rsidRDefault="00061770" w:rsidP="00010520">
      <w:pPr>
        <w:jc w:val="both"/>
        <w:rPr>
          <w:rFonts w:asciiTheme="majorBidi" w:hAnsiTheme="majorBidi" w:cstheme="majorBidi"/>
        </w:rPr>
      </w:pPr>
      <w:r w:rsidRPr="00061770">
        <w:rPr>
          <w:rFonts w:asciiTheme="majorBidi" w:hAnsiTheme="majorBidi" w:cstheme="majorBidi"/>
        </w:rPr>
        <w:t>Together, these findings underscore the need for multimodal, data-driven environmental policies that move beyond traffic control alone and address both mobile and stationary sources of air pollution.</w:t>
      </w:r>
    </w:p>
    <w:p w14:paraId="795091A5" w14:textId="77777777" w:rsidR="00061770" w:rsidRDefault="00061770" w:rsidP="00010520">
      <w:pPr>
        <w:jc w:val="both"/>
        <w:rPr>
          <w:rFonts w:asciiTheme="majorBidi" w:hAnsiTheme="majorBidi" w:cstheme="majorBidi"/>
          <w:b/>
          <w:bCs/>
        </w:rPr>
      </w:pPr>
    </w:p>
    <w:p w14:paraId="7D27775F" w14:textId="77777777" w:rsidR="00061770" w:rsidRPr="00376DFA" w:rsidRDefault="00061770" w:rsidP="00010520">
      <w:pPr>
        <w:jc w:val="both"/>
        <w:rPr>
          <w:rFonts w:asciiTheme="majorBidi" w:hAnsiTheme="majorBidi" w:cstheme="majorBidi"/>
          <w:b/>
          <w:bCs/>
        </w:rPr>
      </w:pPr>
    </w:p>
    <w:p w14:paraId="327DCB42" w14:textId="55848A76"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t>Forecasting Phase Outlook (2023–2025)</w:t>
      </w:r>
    </w:p>
    <w:p w14:paraId="1EEB7121" w14:textId="78F72640"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Forecasting Urban Mobility and Pollution</w:t>
      </w:r>
      <w:r w:rsidR="00010520">
        <w:rPr>
          <w:rFonts w:asciiTheme="majorBidi" w:hAnsiTheme="majorBidi"/>
          <w:color w:val="auto"/>
        </w:rPr>
        <w:t>:</w:t>
      </w:r>
    </w:p>
    <w:p w14:paraId="7E92BE4B" w14:textId="02DF6254" w:rsidR="00ED0D56" w:rsidRPr="00ED0D56" w:rsidRDefault="00ED0D56" w:rsidP="00010520">
      <w:pPr>
        <w:jc w:val="both"/>
        <w:rPr>
          <w:rFonts w:asciiTheme="majorBidi" w:hAnsiTheme="majorBidi" w:cstheme="majorBidi"/>
        </w:rPr>
      </w:pPr>
      <w:r w:rsidRPr="00ED0D56">
        <w:rPr>
          <w:rFonts w:asciiTheme="majorBidi" w:hAnsiTheme="majorBidi" w:cstheme="majorBidi"/>
        </w:rPr>
        <w:t>To evaluate future pollution trends in light of projected mobility increases and urban growth, a forecasting analysis was conducted for the period 2023–2025 using spatially-resolved pollution raster data. This analysis builds upon the models and environmental baselines established in the 2020–2022 historical phase.</w:t>
      </w:r>
    </w:p>
    <w:p w14:paraId="495FC3C6" w14:textId="7DD40602" w:rsidR="00376DFA" w:rsidRDefault="00ED0D56" w:rsidP="00010520">
      <w:pPr>
        <w:jc w:val="both"/>
        <w:rPr>
          <w:rFonts w:asciiTheme="majorBidi" w:hAnsiTheme="majorBidi" w:cstheme="majorBidi"/>
        </w:rPr>
      </w:pPr>
      <w:r w:rsidRPr="00ED0D56">
        <w:rPr>
          <w:rFonts w:asciiTheme="majorBidi" w:hAnsiTheme="majorBidi" w:cstheme="majorBidi"/>
          <w:b/>
          <w:bCs/>
          <w:color w:val="FF0000"/>
        </w:rPr>
        <w:t xml:space="preserve">Figure </w:t>
      </w:r>
      <w:r w:rsidRPr="00ED0D56">
        <w:rPr>
          <w:rFonts w:asciiTheme="majorBidi" w:hAnsiTheme="majorBidi" w:cstheme="majorBidi"/>
          <w:b/>
          <w:bCs/>
          <w:color w:val="FF0000"/>
        </w:rPr>
        <w:t>B</w:t>
      </w:r>
      <w:r w:rsidRPr="00ED0D56">
        <w:rPr>
          <w:rFonts w:asciiTheme="majorBidi" w:hAnsiTheme="majorBidi" w:cstheme="majorBidi"/>
        </w:rPr>
        <w:t xml:space="preserve"> presents the geospatial forecast of NO₂, SO₂, and aerosol index (AAI) concentrations across the UAE, based on satellite-derived emissions estimates and urban expansion models. The raster, </w:t>
      </w:r>
      <w:r w:rsidRPr="00ED0D56">
        <w:rPr>
          <w:rFonts w:asciiTheme="majorBidi" w:hAnsiTheme="majorBidi" w:cstheme="majorBidi"/>
        </w:rPr>
        <w:lastRenderedPageBreak/>
        <w:t>extracted from UAE_NO2_SO2_Aerosol_Combined_2023_2025.tif, reveals continuity in pollution hotspots previously observed in Abu Dhabi, Dubai, and the Northern Emirates.</w:t>
      </w:r>
    </w:p>
    <w:p w14:paraId="62F7F13F" w14:textId="640EFF1F" w:rsidR="00ED0D56" w:rsidRDefault="00ED0D56" w:rsidP="00010520">
      <w:pPr>
        <w:jc w:val="both"/>
        <w:rPr>
          <w:rFonts w:asciiTheme="majorBidi" w:hAnsiTheme="majorBidi" w:cstheme="majorBidi"/>
        </w:rPr>
      </w:pPr>
      <w:r>
        <w:rPr>
          <w:rFonts w:asciiTheme="majorBidi" w:hAnsiTheme="majorBidi" w:cstheme="majorBidi"/>
          <w:noProof/>
        </w:rPr>
        <w:drawing>
          <wp:inline distT="0" distB="0" distL="0" distR="0" wp14:anchorId="2E5E43D2" wp14:editId="683B316D">
            <wp:extent cx="5138938" cy="3557023"/>
            <wp:effectExtent l="0" t="0" r="5080" b="5715"/>
            <wp:docPr id="828699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9783" name="Picture 828699783"/>
                    <pic:cNvPicPr/>
                  </pic:nvPicPr>
                  <pic:blipFill>
                    <a:blip r:embed="rId21">
                      <a:extLst>
                        <a:ext uri="{28A0092B-C50C-407E-A947-70E740481C1C}">
                          <a14:useLocalDpi xmlns:a14="http://schemas.microsoft.com/office/drawing/2010/main" val="0"/>
                        </a:ext>
                      </a:extLst>
                    </a:blip>
                    <a:stretch>
                      <a:fillRect/>
                    </a:stretch>
                  </pic:blipFill>
                  <pic:spPr>
                    <a:xfrm>
                      <a:off x="0" y="0"/>
                      <a:ext cx="5138938" cy="3557023"/>
                    </a:xfrm>
                    <a:prstGeom prst="rect">
                      <a:avLst/>
                    </a:prstGeom>
                  </pic:spPr>
                </pic:pic>
              </a:graphicData>
            </a:graphic>
          </wp:inline>
        </w:drawing>
      </w:r>
    </w:p>
    <w:p w14:paraId="2E3003A8" w14:textId="519D6434" w:rsidR="00ED0D56" w:rsidRDefault="00ED0D56" w:rsidP="00010520">
      <w:pPr>
        <w:jc w:val="both"/>
        <w:rPr>
          <w:rFonts w:asciiTheme="majorBidi" w:hAnsiTheme="majorBidi" w:cstheme="majorBidi"/>
        </w:rPr>
      </w:pPr>
      <w:r w:rsidRPr="00ED0D56">
        <w:rPr>
          <w:rFonts w:asciiTheme="majorBidi" w:hAnsiTheme="majorBidi" w:cstheme="majorBidi"/>
          <w:b/>
          <w:bCs/>
          <w:color w:val="FF0000"/>
        </w:rPr>
        <w:t xml:space="preserve">Figure </w:t>
      </w:r>
      <w:r w:rsidRPr="00ED0D56">
        <w:rPr>
          <w:rFonts w:asciiTheme="majorBidi" w:hAnsiTheme="majorBidi" w:cstheme="majorBidi"/>
          <w:b/>
          <w:bCs/>
          <w:color w:val="FF0000"/>
        </w:rPr>
        <w:t>B</w:t>
      </w:r>
      <w:r>
        <w:rPr>
          <w:rFonts w:asciiTheme="majorBidi" w:hAnsiTheme="majorBidi" w:cstheme="majorBidi"/>
        </w:rPr>
        <w:t>:</w:t>
      </w:r>
      <w:r w:rsidRPr="00ED0D56">
        <w:rPr>
          <w:rFonts w:asciiTheme="majorBidi" w:hAnsiTheme="majorBidi" w:cstheme="majorBidi"/>
        </w:rPr>
        <w:t xml:space="preserve"> Projected</w:t>
      </w:r>
      <w:r w:rsidRPr="00ED0D56">
        <w:rPr>
          <w:rFonts w:asciiTheme="majorBidi" w:hAnsiTheme="majorBidi" w:cstheme="majorBidi"/>
        </w:rPr>
        <w:t xml:space="preserve"> NO₂, SO₂, and aerosol index distribution in the UAE (2023–2025). Intensified pollution is expected in coastal urban </w:t>
      </w:r>
      <w:proofErr w:type="spellStart"/>
      <w:r w:rsidRPr="00ED0D56">
        <w:rPr>
          <w:rFonts w:asciiTheme="majorBidi" w:hAnsiTheme="majorBidi" w:cstheme="majorBidi"/>
        </w:rPr>
        <w:t>centers</w:t>
      </w:r>
      <w:proofErr w:type="spellEnd"/>
      <w:r w:rsidRPr="00ED0D56">
        <w:rPr>
          <w:rFonts w:asciiTheme="majorBidi" w:hAnsiTheme="majorBidi" w:cstheme="majorBidi"/>
        </w:rPr>
        <w:t>, consistent with mobility and industrial growth forecasts.</w:t>
      </w:r>
    </w:p>
    <w:p w14:paraId="2483569B"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 xml:space="preserve">To quantify the shift, a </w:t>
      </w:r>
      <w:r w:rsidRPr="00ED0D56">
        <w:rPr>
          <w:rFonts w:asciiTheme="majorBidi" w:hAnsiTheme="majorBidi" w:cstheme="majorBidi"/>
          <w:b/>
          <w:bCs/>
        </w:rPr>
        <w:t>pixel-wise comparison</w:t>
      </w:r>
      <w:r w:rsidRPr="00ED0D56">
        <w:rPr>
          <w:rFonts w:asciiTheme="majorBidi" w:hAnsiTheme="majorBidi" w:cstheme="majorBidi"/>
        </w:rPr>
        <w:t xml:space="preserve"> was conducted between the 2020–2022 and 2023–2025 </w:t>
      </w:r>
      <w:proofErr w:type="spellStart"/>
      <w:r w:rsidRPr="00ED0D56">
        <w:rPr>
          <w:rFonts w:asciiTheme="majorBidi" w:hAnsiTheme="majorBidi" w:cstheme="majorBidi"/>
        </w:rPr>
        <w:t>rasters</w:t>
      </w:r>
      <w:proofErr w:type="spellEnd"/>
      <w:r w:rsidRPr="00ED0D56">
        <w:rPr>
          <w:rFonts w:asciiTheme="majorBidi" w:hAnsiTheme="majorBidi" w:cstheme="majorBidi"/>
        </w:rPr>
        <w:t>. The results indicate:</w:t>
      </w:r>
    </w:p>
    <w:p w14:paraId="5D9E2F3B"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Mean absolute difference:</w:t>
      </w:r>
      <w:r w:rsidRPr="00ED0D56">
        <w:rPr>
          <w:rFonts w:asciiTheme="majorBidi" w:hAnsiTheme="majorBidi" w:cstheme="majorBidi"/>
        </w:rPr>
        <w:t xml:space="preserve"> 3.09 × 10⁻⁶</w:t>
      </w:r>
    </w:p>
    <w:p w14:paraId="1886E0C0"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Maximum difference:</w:t>
      </w:r>
      <w:r w:rsidRPr="00ED0D56">
        <w:rPr>
          <w:rFonts w:asciiTheme="majorBidi" w:hAnsiTheme="majorBidi" w:cstheme="majorBidi"/>
        </w:rPr>
        <w:t xml:space="preserve"> 2.59 × 10⁻⁵</w:t>
      </w:r>
    </w:p>
    <w:p w14:paraId="0968D1F6"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Changed pixels:</w:t>
      </w:r>
      <w:r w:rsidRPr="00ED0D56">
        <w:rPr>
          <w:rFonts w:asciiTheme="majorBidi" w:hAnsiTheme="majorBidi" w:cstheme="majorBidi"/>
        </w:rPr>
        <w:t xml:space="preserve"> 80,422</w:t>
      </w:r>
    </w:p>
    <w:p w14:paraId="154B844A"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 xml:space="preserve">These results suggest that while </w:t>
      </w:r>
      <w:r w:rsidRPr="00ED0D56">
        <w:rPr>
          <w:rFonts w:asciiTheme="majorBidi" w:hAnsiTheme="majorBidi" w:cstheme="majorBidi"/>
          <w:b/>
          <w:bCs/>
        </w:rPr>
        <w:t>average changes in pollutant intensity are modest</w:t>
      </w:r>
      <w:r w:rsidRPr="00ED0D56">
        <w:rPr>
          <w:rFonts w:asciiTheme="majorBidi" w:hAnsiTheme="majorBidi" w:cstheme="majorBidi"/>
        </w:rPr>
        <w:t xml:space="preserve">, they are </w:t>
      </w:r>
      <w:r w:rsidRPr="00ED0D56">
        <w:rPr>
          <w:rFonts w:asciiTheme="majorBidi" w:hAnsiTheme="majorBidi" w:cstheme="majorBidi"/>
          <w:b/>
          <w:bCs/>
        </w:rPr>
        <w:t>geographically widespread</w:t>
      </w:r>
      <w:r w:rsidRPr="00ED0D56">
        <w:rPr>
          <w:rFonts w:asciiTheme="majorBidi" w:hAnsiTheme="majorBidi" w:cstheme="majorBidi"/>
        </w:rPr>
        <w:t xml:space="preserve">, especially in zones of projected mobility increase. This supports the hypothesis that pollution burdens will </w:t>
      </w:r>
      <w:r w:rsidRPr="00ED0D56">
        <w:rPr>
          <w:rFonts w:asciiTheme="majorBidi" w:hAnsiTheme="majorBidi" w:cstheme="majorBidi"/>
          <w:b/>
          <w:bCs/>
        </w:rPr>
        <w:t>intensify cumulatively</w:t>
      </w:r>
      <w:r w:rsidRPr="00ED0D56">
        <w:rPr>
          <w:rFonts w:asciiTheme="majorBidi" w:hAnsiTheme="majorBidi" w:cstheme="majorBidi"/>
        </w:rPr>
        <w:t xml:space="preserve"> across metropolitan zones unless mitigated by policy interventions.</w:t>
      </w:r>
    </w:p>
    <w:p w14:paraId="0D1ECE06"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The forecasting analysis integrates:</w:t>
      </w:r>
    </w:p>
    <w:p w14:paraId="71D26610"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b/>
          <w:bCs/>
        </w:rPr>
        <w:t>Ericsson mobility projections</w:t>
      </w:r>
      <w:r w:rsidRPr="00ED0D56">
        <w:rPr>
          <w:rFonts w:asciiTheme="majorBidi" w:hAnsiTheme="majorBidi" w:cstheme="majorBidi"/>
        </w:rPr>
        <w:t xml:space="preserve"> through 2025,</w:t>
      </w:r>
    </w:p>
    <w:p w14:paraId="2FA26242"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rPr>
        <w:t>Historical NO₂ and mobility regression models (trained in Section 4.3), and</w:t>
      </w:r>
    </w:p>
    <w:p w14:paraId="03A04DEE"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rPr>
        <w:t>The clustering framework from Section 4.2 to anticipate shifts in zone risk levels.</w:t>
      </w:r>
    </w:p>
    <w:p w14:paraId="37DA4FAB"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Together, these components provide a predictive lens through which emerging environmental risks can be mapped and monitored at fine spatial resolution.</w:t>
      </w:r>
    </w:p>
    <w:p w14:paraId="0B4B198C" w14:textId="77777777" w:rsidR="00ED0D56" w:rsidRPr="00376DFA" w:rsidRDefault="00ED0D56" w:rsidP="00010520">
      <w:pPr>
        <w:jc w:val="both"/>
        <w:rPr>
          <w:rFonts w:asciiTheme="majorBidi" w:hAnsiTheme="majorBidi" w:cstheme="majorBidi"/>
        </w:rPr>
      </w:pPr>
    </w:p>
    <w:p w14:paraId="2E6A0EC4" w14:textId="3C8360CF"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lastRenderedPageBreak/>
        <w:t>Strategic Recommendations for Policy and Planning</w:t>
      </w:r>
      <w:r w:rsidR="00010520">
        <w:rPr>
          <w:rFonts w:asciiTheme="majorBidi" w:hAnsiTheme="majorBidi"/>
          <w:color w:val="auto"/>
        </w:rPr>
        <w:t>:</w:t>
      </w:r>
    </w:p>
    <w:p w14:paraId="0F2B286A" w14:textId="77777777" w:rsidR="00010520" w:rsidRPr="00010520" w:rsidRDefault="00010520" w:rsidP="00010520">
      <w:pPr>
        <w:jc w:val="both"/>
        <w:rPr>
          <w:rFonts w:asciiTheme="majorBidi" w:hAnsiTheme="majorBidi" w:cstheme="majorBidi"/>
        </w:rPr>
      </w:pPr>
      <w:r w:rsidRPr="00010520">
        <w:rPr>
          <w:rFonts w:asciiTheme="majorBidi" w:hAnsiTheme="majorBidi" w:cstheme="majorBidi"/>
        </w:rPr>
        <w:t xml:space="preserve">The pollution and mobility forecasts for 2023–2025 provide a valuable forward-looking lens for urban policymakers. By integrating mobility trend projections with spatial pollution mapping, the analysis highlights specific </w:t>
      </w:r>
      <w:r w:rsidRPr="00010520">
        <w:rPr>
          <w:rFonts w:asciiTheme="majorBidi" w:hAnsiTheme="majorBidi" w:cstheme="majorBidi"/>
          <w:b/>
          <w:bCs/>
        </w:rPr>
        <w:t>high-risk geohash zones</w:t>
      </w:r>
      <w:r w:rsidRPr="00010520">
        <w:rPr>
          <w:rFonts w:asciiTheme="majorBidi" w:hAnsiTheme="majorBidi" w:cstheme="majorBidi"/>
        </w:rPr>
        <w:t xml:space="preserve"> where interventions can yield the most environmental benefit.</w:t>
      </w:r>
    </w:p>
    <w:p w14:paraId="64169A4A" w14:textId="77777777" w:rsidR="00010520" w:rsidRDefault="00010520" w:rsidP="00010520">
      <w:pPr>
        <w:jc w:val="both"/>
        <w:rPr>
          <w:rFonts w:asciiTheme="majorBidi" w:hAnsiTheme="majorBidi" w:cstheme="majorBidi"/>
        </w:rPr>
      </w:pPr>
      <w:r w:rsidRPr="00010520">
        <w:rPr>
          <w:rFonts w:asciiTheme="majorBidi" w:hAnsiTheme="majorBidi" w:cstheme="majorBidi"/>
        </w:rPr>
        <w:t xml:space="preserve">These zones—many of which align with previously identified </w:t>
      </w:r>
      <w:r w:rsidRPr="00010520">
        <w:rPr>
          <w:rFonts w:asciiTheme="majorBidi" w:hAnsiTheme="majorBidi" w:cstheme="majorBidi"/>
          <w:b/>
          <w:bCs/>
        </w:rPr>
        <w:t>Type B</w:t>
      </w:r>
      <w:r w:rsidRPr="00010520">
        <w:rPr>
          <w:rFonts w:asciiTheme="majorBidi" w:hAnsiTheme="majorBidi" w:cstheme="majorBidi"/>
        </w:rPr>
        <w:t xml:space="preserve"> (Low Mobility – High Pollution) and </w:t>
      </w:r>
      <w:r w:rsidRPr="00010520">
        <w:rPr>
          <w:rFonts w:asciiTheme="majorBidi" w:hAnsiTheme="majorBidi" w:cstheme="majorBidi"/>
          <w:b/>
          <w:bCs/>
        </w:rPr>
        <w:t>Type C</w:t>
      </w:r>
      <w:r w:rsidRPr="00010520">
        <w:rPr>
          <w:rFonts w:asciiTheme="majorBidi" w:hAnsiTheme="majorBidi" w:cstheme="majorBidi"/>
        </w:rPr>
        <w:t xml:space="preserve"> (High Mobility – High Pollution) areas—should be prioritized in future city-level air quality strategies.</w:t>
      </w:r>
    </w:p>
    <w:p w14:paraId="53647874" w14:textId="6AEEBEB2" w:rsidR="00010520" w:rsidRPr="00010520" w:rsidRDefault="00010520" w:rsidP="00010520">
      <w:pPr>
        <w:jc w:val="both"/>
        <w:rPr>
          <w:rFonts w:asciiTheme="majorBidi" w:hAnsiTheme="majorBidi" w:cstheme="majorBidi"/>
        </w:rPr>
      </w:pPr>
      <w:r w:rsidRPr="00010520">
        <w:rPr>
          <w:rFonts w:asciiTheme="majorBidi" w:hAnsiTheme="majorBidi" w:cstheme="majorBidi"/>
          <w:b/>
          <w:bCs/>
        </w:rPr>
        <w:t>Recommended Interventions:</w:t>
      </w:r>
    </w:p>
    <w:p w14:paraId="506DEBCE"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Electrification of public transport fleets, particularly in zones with increasing mobility and congestion. This will reduce traffic-related NO₂ and PM emissions while supporting carbon neutrality goals.</w:t>
      </w:r>
    </w:p>
    <w:p w14:paraId="23FC2CBB"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Development of urban green corridors that integrate vegetation into mobility infrastructure. These buffers can capture particulate matter, mitigate heat islands, and improve pedestrian usability.</w:t>
      </w:r>
    </w:p>
    <w:p w14:paraId="1C4CD52E"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Expansion of air quality monitoring infrastructure, especially in zones with uncertain pollution dynamics or recent urban expansion. Ground-based monitors should complement satellite-based forecasting tools to ensure fine-grained regulatory responsiveness.</w:t>
      </w:r>
    </w:p>
    <w:p w14:paraId="4A9B17FB" w14:textId="7E3E8DC5" w:rsidR="00010520" w:rsidRPr="00010520" w:rsidRDefault="00010520" w:rsidP="00010520">
      <w:pPr>
        <w:jc w:val="both"/>
        <w:rPr>
          <w:rFonts w:asciiTheme="majorBidi" w:hAnsiTheme="majorBidi" w:cstheme="majorBidi"/>
        </w:rPr>
      </w:pPr>
      <w:r w:rsidRPr="00010520">
        <w:rPr>
          <w:rFonts w:asciiTheme="majorBidi" w:hAnsiTheme="majorBidi" w:cstheme="majorBidi"/>
        </w:rPr>
        <w:t xml:space="preserve">The visual forecast in </w:t>
      </w:r>
      <w:r w:rsidRPr="00ED0D56">
        <w:rPr>
          <w:rFonts w:asciiTheme="majorBidi" w:hAnsiTheme="majorBidi" w:cstheme="majorBidi"/>
          <w:b/>
          <w:bCs/>
          <w:color w:val="FF0000"/>
        </w:rPr>
        <w:t>Figure B</w:t>
      </w:r>
      <w:r w:rsidRPr="00010520">
        <w:rPr>
          <w:rFonts w:asciiTheme="majorBidi" w:hAnsiTheme="majorBidi" w:cstheme="majorBidi"/>
        </w:rPr>
        <w:t xml:space="preserve"> (Section 4.4.1) clearly shows intensifying pollution in select urban belts. Without strategic action, these zones may transition from moderate-risk to chronically polluted environments.</w:t>
      </w:r>
    </w:p>
    <w:p w14:paraId="3AF3E2F5" w14:textId="475A16DD" w:rsidR="00010520" w:rsidRPr="00010520" w:rsidRDefault="00010520" w:rsidP="00010520">
      <w:pPr>
        <w:jc w:val="both"/>
        <w:rPr>
          <w:rFonts w:asciiTheme="majorBidi" w:hAnsiTheme="majorBidi" w:cstheme="majorBidi"/>
          <w:b/>
          <w:bCs/>
        </w:rPr>
      </w:pPr>
      <w:r w:rsidRPr="00010520">
        <w:rPr>
          <w:rFonts w:asciiTheme="majorBidi" w:hAnsiTheme="majorBidi" w:cstheme="majorBidi"/>
          <w:b/>
          <w:bCs/>
        </w:rPr>
        <w:t>Long-Term Planning Implications:</w:t>
      </w:r>
    </w:p>
    <w:p w14:paraId="3956A4A0"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Dynamic environmental zoning using satellite and model-integrated data streams will allow for real-time classification of risk areas.</w:t>
      </w:r>
    </w:p>
    <w:p w14:paraId="4BF65CE0"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Cross-sector collaboration (e.g., between transport, energy, and environmental ministries) is essential to avoid fragmented policy implementation.</w:t>
      </w:r>
    </w:p>
    <w:p w14:paraId="4555D38B"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Integration of predictive models into city digital twins may offer simulation tools for assessing the environmental impact of infrastructure before it’s built.</w:t>
      </w:r>
    </w:p>
    <w:p w14:paraId="08A150FE" w14:textId="77777777" w:rsidR="00010520" w:rsidRPr="00010520" w:rsidRDefault="00010520" w:rsidP="00010520">
      <w:pPr>
        <w:jc w:val="both"/>
        <w:rPr>
          <w:rFonts w:asciiTheme="majorBidi" w:hAnsiTheme="majorBidi" w:cstheme="majorBidi"/>
        </w:rPr>
      </w:pPr>
      <w:r w:rsidRPr="00010520">
        <w:rPr>
          <w:rFonts w:asciiTheme="majorBidi" w:hAnsiTheme="majorBidi" w:cstheme="majorBidi"/>
        </w:rPr>
        <w:t>These strategies represent a shift from reactive air quality management to proactive, data-informed governance, well-suited for rapidly urbanizing environments like the UAE.</w:t>
      </w:r>
    </w:p>
    <w:p w14:paraId="618DAD86" w14:textId="77777777" w:rsidR="00376DFA" w:rsidRPr="00376DFA" w:rsidRDefault="00376DFA" w:rsidP="006068D4">
      <w:pPr>
        <w:rPr>
          <w:rFonts w:asciiTheme="majorBidi" w:hAnsiTheme="majorBidi" w:cstheme="majorBidi"/>
          <w:b/>
          <w:bCs/>
        </w:rPr>
      </w:pPr>
    </w:p>
    <w:p w14:paraId="1B4E4AC8" w14:textId="17F7BFD0" w:rsidR="006068D4" w:rsidRPr="00791455" w:rsidRDefault="006068D4" w:rsidP="00791455">
      <w:pPr>
        <w:pStyle w:val="Heading1"/>
        <w:numPr>
          <w:ilvl w:val="0"/>
          <w:numId w:val="12"/>
        </w:numPr>
        <w:rPr>
          <w:rFonts w:asciiTheme="majorBidi" w:hAnsiTheme="majorBidi"/>
          <w:color w:val="auto"/>
          <w:sz w:val="32"/>
          <w:szCs w:val="32"/>
        </w:rPr>
      </w:pPr>
      <w:r w:rsidRPr="00791455">
        <w:rPr>
          <w:rFonts w:asciiTheme="majorBidi" w:hAnsiTheme="majorBidi"/>
          <w:color w:val="auto"/>
          <w:sz w:val="32"/>
          <w:szCs w:val="32"/>
        </w:rPr>
        <w:t>Conclusion and Future Work</w:t>
      </w:r>
    </w:p>
    <w:p w14:paraId="5E5ED331" w14:textId="1CEDFFE7" w:rsidR="00896659" w:rsidRPr="00896659" w:rsidRDefault="00896659" w:rsidP="00896659">
      <w:pPr>
        <w:jc w:val="both"/>
        <w:rPr>
          <w:rFonts w:asciiTheme="majorBidi" w:hAnsiTheme="majorBidi" w:cstheme="majorBidi"/>
        </w:rPr>
      </w:pPr>
      <w:r w:rsidRPr="00896659">
        <w:rPr>
          <w:rFonts w:asciiTheme="majorBidi" w:hAnsiTheme="majorBidi" w:cstheme="majorBidi"/>
        </w:rPr>
        <w:t>This study introduced a two-phase, satellite-based approach to understand how urban mobility affects air quality in major cities across the UAE. By combining data from satellites (Sentinel-5P), Google mobility reports, ground-based pollution sensors (</w:t>
      </w:r>
      <w:proofErr w:type="spellStart"/>
      <w:r w:rsidRPr="00896659">
        <w:rPr>
          <w:rFonts w:asciiTheme="majorBidi" w:hAnsiTheme="majorBidi" w:cstheme="majorBidi"/>
        </w:rPr>
        <w:t>OpenAQ</w:t>
      </w:r>
      <w:proofErr w:type="spellEnd"/>
      <w:r w:rsidRPr="00896659">
        <w:rPr>
          <w:rFonts w:asciiTheme="majorBidi" w:hAnsiTheme="majorBidi" w:cstheme="majorBidi"/>
        </w:rPr>
        <w:t xml:space="preserve">), and population maps, we created a geospatial system that </w:t>
      </w:r>
      <w:r w:rsidRPr="00896659">
        <w:rPr>
          <w:rFonts w:asciiTheme="majorBidi" w:hAnsiTheme="majorBidi" w:cstheme="majorBidi"/>
        </w:rPr>
        <w:t>analysed</w:t>
      </w:r>
      <w:r w:rsidRPr="00896659">
        <w:rPr>
          <w:rFonts w:asciiTheme="majorBidi" w:hAnsiTheme="majorBidi" w:cstheme="majorBidi"/>
        </w:rPr>
        <w:t xml:space="preserve"> pollution patterns down to the </w:t>
      </w:r>
      <w:r w:rsidRPr="00896659">
        <w:rPr>
          <w:rFonts w:asciiTheme="majorBidi" w:hAnsiTheme="majorBidi" w:cstheme="majorBidi"/>
        </w:rPr>
        <w:t>neighbourhood</w:t>
      </w:r>
      <w:r w:rsidRPr="00896659">
        <w:rPr>
          <w:rFonts w:asciiTheme="majorBidi" w:hAnsiTheme="majorBidi" w:cstheme="majorBidi"/>
        </w:rPr>
        <w:t xml:space="preserve"> level using geohash zones. In the historical phase (2020–2022), we found a clear trend: when people moved around less, NO₂ pollution usually dropped, especially in busy city areas. However, some zones still had high pollution despite low movement—likely due to industrial activity. We used clustering and machine learning models to group these zones and predict NO₂ levels based on population, mobility, and land use. Among the models, random forest performed best, helping us see which factors mattered most. The </w:t>
      </w:r>
      <w:r w:rsidRPr="00896659">
        <w:rPr>
          <w:rFonts w:asciiTheme="majorBidi" w:hAnsiTheme="majorBidi" w:cstheme="majorBidi"/>
        </w:rPr>
        <w:lastRenderedPageBreak/>
        <w:t>forecast phase (2023–2025) used future mobility projections to estimate how air pollution might change. This helped us spot zones at higher risk in the future, giving city planners a chance to act before pollution worsens. To build on this research, future work will:</w:t>
      </w:r>
    </w:p>
    <w:p w14:paraId="69ACBB3B" w14:textId="77777777" w:rsid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Add weather data (like wind and temperature) to improve predictions.</w:t>
      </w:r>
    </w:p>
    <w:p w14:paraId="5D7702B1" w14:textId="77777777" w:rsid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Include more pollutants, such as CO and PM2.5.</w:t>
      </w:r>
    </w:p>
    <w:p w14:paraId="049B9816" w14:textId="77777777" w:rsid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Use time-series models (like LSTM) to better capture how pollution changes over time.</w:t>
      </w:r>
    </w:p>
    <w:p w14:paraId="53F98E4A" w14:textId="4D9C6A01" w:rsidR="00896659" w:rsidRP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Create a user-friendly dashboard so city leaders can track and respond to air quality in real time.</w:t>
      </w:r>
    </w:p>
    <w:p w14:paraId="5FB3F166" w14:textId="54FD2433" w:rsidR="00C14340" w:rsidRDefault="00896659" w:rsidP="00896659">
      <w:pPr>
        <w:jc w:val="both"/>
        <w:rPr>
          <w:rFonts w:asciiTheme="majorBidi" w:hAnsiTheme="majorBidi" w:cstheme="majorBidi"/>
        </w:rPr>
      </w:pPr>
      <w:r w:rsidRPr="00896659">
        <w:rPr>
          <w:rFonts w:asciiTheme="majorBidi" w:hAnsiTheme="majorBidi" w:cstheme="majorBidi"/>
        </w:rPr>
        <w:t>Overall, this research offers a practical, scalable method for monitoring and managing urban air pollution. It can support smarter environmental decisions in the UAE and in other fast-growing cities with access to similar data.</w:t>
      </w:r>
    </w:p>
    <w:p w14:paraId="0E62AE78" w14:textId="77777777" w:rsidR="00C14340" w:rsidRDefault="00C14340">
      <w:pPr>
        <w:rPr>
          <w:rFonts w:asciiTheme="majorBidi" w:hAnsiTheme="majorBidi" w:cstheme="majorBidi"/>
        </w:rPr>
      </w:pPr>
      <w:r>
        <w:rPr>
          <w:rFonts w:asciiTheme="majorBidi" w:hAnsiTheme="majorBidi" w:cstheme="majorBidi"/>
        </w:rPr>
        <w:br w:type="page"/>
      </w:r>
    </w:p>
    <w:p w14:paraId="0D5019DE" w14:textId="43C744F5" w:rsidR="006068D4" w:rsidRDefault="00C14340" w:rsidP="00C14340">
      <w:pPr>
        <w:jc w:val="center"/>
        <w:rPr>
          <w:rFonts w:asciiTheme="majorBidi" w:hAnsiTheme="majorBidi" w:cstheme="majorBidi"/>
          <w:sz w:val="32"/>
          <w:szCs w:val="32"/>
        </w:rPr>
      </w:pPr>
      <w:r w:rsidRPr="00C14340">
        <w:rPr>
          <w:rFonts w:asciiTheme="majorBidi" w:hAnsiTheme="majorBidi" w:cstheme="majorBidi"/>
          <w:sz w:val="32"/>
          <w:szCs w:val="32"/>
        </w:rPr>
        <w:lastRenderedPageBreak/>
        <w:t>References</w:t>
      </w:r>
    </w:p>
    <w:p w14:paraId="1150CBC5" w14:textId="77777777" w:rsidR="00C14340" w:rsidRPr="00C14340" w:rsidRDefault="00C14340" w:rsidP="00C14340">
      <w:pPr>
        <w:jc w:val="center"/>
        <w:rPr>
          <w:rFonts w:asciiTheme="majorBidi" w:hAnsiTheme="majorBidi" w:cstheme="majorBidi"/>
          <w:sz w:val="32"/>
          <w:szCs w:val="32"/>
        </w:rPr>
      </w:pPr>
    </w:p>
    <w:p w14:paraId="3CBEB0C6" w14:textId="77777777" w:rsidR="00C14340" w:rsidRDefault="00C14340" w:rsidP="00C14340">
      <w:pPr>
        <w:jc w:val="both"/>
        <w:rPr>
          <w:rFonts w:asciiTheme="majorBidi" w:hAnsiTheme="majorBidi" w:cstheme="majorBidi"/>
        </w:rPr>
      </w:pPr>
      <w:r w:rsidRPr="00C14340">
        <w:rPr>
          <w:rFonts w:asciiTheme="majorBidi" w:hAnsiTheme="majorBidi" w:cstheme="majorBidi"/>
        </w:rPr>
        <w:t xml:space="preserve">[1] World Health Organization, “Air Quality Guidelines: Global Update 2005,” WHO Regional Office for Europe, </w:t>
      </w:r>
      <w:hyperlink r:id="rId22" w:tgtFrame="_new" w:history="1">
        <w:r w:rsidRPr="00C14340">
          <w:rPr>
            <w:rStyle w:val="Hyperlink"/>
            <w:rFonts w:asciiTheme="majorBidi" w:hAnsiTheme="majorBidi" w:cstheme="majorBidi"/>
          </w:rPr>
          <w:t>https://www.who.int/publications/i/item/WHO-SDE-PHE-OEH-06.02</w:t>
        </w:r>
      </w:hyperlink>
      <w:r w:rsidRPr="00C14340">
        <w:rPr>
          <w:rFonts w:asciiTheme="majorBidi" w:hAnsiTheme="majorBidi" w:cstheme="majorBidi"/>
        </w:rPr>
        <w:t xml:space="preserve"> (accessed Apr. 30, 2025).</w:t>
      </w:r>
    </w:p>
    <w:p w14:paraId="65EC7E85" w14:textId="77777777" w:rsidR="00C14340" w:rsidRPr="00376DFA" w:rsidRDefault="00C14340" w:rsidP="00896659">
      <w:pPr>
        <w:jc w:val="both"/>
        <w:rPr>
          <w:rFonts w:asciiTheme="majorBidi" w:hAnsiTheme="majorBidi" w:cstheme="majorBidi"/>
        </w:rPr>
      </w:pPr>
    </w:p>
    <w:sectPr w:rsidR="00C14340" w:rsidRPr="00376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7A10"/>
    <w:multiLevelType w:val="multilevel"/>
    <w:tmpl w:val="3B5E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76D92"/>
    <w:multiLevelType w:val="multilevel"/>
    <w:tmpl w:val="AA5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4A9"/>
    <w:multiLevelType w:val="multilevel"/>
    <w:tmpl w:val="2C64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15B0C"/>
    <w:multiLevelType w:val="multilevel"/>
    <w:tmpl w:val="2AE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13814"/>
    <w:multiLevelType w:val="multilevel"/>
    <w:tmpl w:val="1DB6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BE3"/>
    <w:multiLevelType w:val="multilevel"/>
    <w:tmpl w:val="C61CD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74602"/>
    <w:multiLevelType w:val="hybridMultilevel"/>
    <w:tmpl w:val="7B9C84EA"/>
    <w:lvl w:ilvl="0" w:tplc="FFFFFFFF">
      <w:start w:val="1"/>
      <w:numFmt w:val="upperLetter"/>
      <w:lvlText w:val="%1."/>
      <w:lvlJc w:val="left"/>
      <w:pPr>
        <w:ind w:left="720" w:hanging="360"/>
      </w:pPr>
    </w:lvl>
    <w:lvl w:ilvl="1" w:tplc="4C090015">
      <w:start w:val="1"/>
      <w:numFmt w:val="upp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4D3E55"/>
    <w:multiLevelType w:val="hybridMultilevel"/>
    <w:tmpl w:val="14A8DDFA"/>
    <w:lvl w:ilvl="0" w:tplc="4C09000F">
      <w:start w:val="1"/>
      <w:numFmt w:val="decimal"/>
      <w:lvlText w:val="%1."/>
      <w:lvlJc w:val="left"/>
      <w:pPr>
        <w:ind w:left="720" w:hanging="360"/>
      </w:pPr>
    </w:lvl>
    <w:lvl w:ilvl="1" w:tplc="F2902004">
      <w:start w:val="1"/>
      <w:numFmt w:val="upperLetter"/>
      <w:lvlText w:val="%2."/>
      <w:lvlJc w:val="left"/>
      <w:pPr>
        <w:ind w:left="1440" w:hanging="360"/>
      </w:pPr>
      <w:rPr>
        <w:rFonts w:hint="default"/>
      </w:r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2B11754"/>
    <w:multiLevelType w:val="multilevel"/>
    <w:tmpl w:val="66FC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1287B"/>
    <w:multiLevelType w:val="hybridMultilevel"/>
    <w:tmpl w:val="475E5AD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23052FFC"/>
    <w:multiLevelType w:val="multilevel"/>
    <w:tmpl w:val="4B7A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F787B"/>
    <w:multiLevelType w:val="multilevel"/>
    <w:tmpl w:val="9A54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AC1657"/>
    <w:multiLevelType w:val="multilevel"/>
    <w:tmpl w:val="67C66DC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E309B"/>
    <w:multiLevelType w:val="multilevel"/>
    <w:tmpl w:val="D32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16F57"/>
    <w:multiLevelType w:val="multilevel"/>
    <w:tmpl w:val="3FC26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11480"/>
    <w:multiLevelType w:val="hybridMultilevel"/>
    <w:tmpl w:val="3546447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37852AA4"/>
    <w:multiLevelType w:val="multilevel"/>
    <w:tmpl w:val="2D98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E344E"/>
    <w:multiLevelType w:val="hybridMultilevel"/>
    <w:tmpl w:val="921CCA94"/>
    <w:lvl w:ilvl="0" w:tplc="4C090015">
      <w:start w:val="1"/>
      <w:numFmt w:val="upperLetter"/>
      <w:lvlText w:val="%1."/>
      <w:lvlJc w:val="left"/>
      <w:pPr>
        <w:ind w:left="720" w:hanging="360"/>
      </w:pPr>
    </w:lvl>
    <w:lvl w:ilvl="1" w:tplc="4C090019">
      <w:start w:val="1"/>
      <w:numFmt w:val="lowerLetter"/>
      <w:lvlText w:val="%2."/>
      <w:lvlJc w:val="left"/>
      <w:pPr>
        <w:ind w:left="1069"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8" w15:restartNumberingAfterBreak="0">
    <w:nsid w:val="3BEF0A14"/>
    <w:multiLevelType w:val="multilevel"/>
    <w:tmpl w:val="9B8C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62D57"/>
    <w:multiLevelType w:val="multilevel"/>
    <w:tmpl w:val="32C2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74FF8"/>
    <w:multiLevelType w:val="multilevel"/>
    <w:tmpl w:val="4E5A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553A3"/>
    <w:multiLevelType w:val="multilevel"/>
    <w:tmpl w:val="AA6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74A75"/>
    <w:multiLevelType w:val="multilevel"/>
    <w:tmpl w:val="57E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208C9"/>
    <w:multiLevelType w:val="multilevel"/>
    <w:tmpl w:val="595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1301C"/>
    <w:multiLevelType w:val="multilevel"/>
    <w:tmpl w:val="E038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E48B0"/>
    <w:multiLevelType w:val="multilevel"/>
    <w:tmpl w:val="7FD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B4324F"/>
    <w:multiLevelType w:val="multilevel"/>
    <w:tmpl w:val="75C0D4F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985E88"/>
    <w:multiLevelType w:val="multilevel"/>
    <w:tmpl w:val="BCF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1243D"/>
    <w:multiLevelType w:val="multilevel"/>
    <w:tmpl w:val="BC4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CF79F6"/>
    <w:multiLevelType w:val="multilevel"/>
    <w:tmpl w:val="45AE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82B37"/>
    <w:multiLevelType w:val="multilevel"/>
    <w:tmpl w:val="4FD0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00E54"/>
    <w:multiLevelType w:val="multilevel"/>
    <w:tmpl w:val="CB0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E66C43"/>
    <w:multiLevelType w:val="multilevel"/>
    <w:tmpl w:val="238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4B71E9"/>
    <w:multiLevelType w:val="multilevel"/>
    <w:tmpl w:val="71C2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D4877"/>
    <w:multiLevelType w:val="multilevel"/>
    <w:tmpl w:val="8920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2A683F"/>
    <w:multiLevelType w:val="multilevel"/>
    <w:tmpl w:val="279E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7B5764"/>
    <w:multiLevelType w:val="multilevel"/>
    <w:tmpl w:val="E4AC1DF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7" w15:restartNumberingAfterBreak="0">
    <w:nsid w:val="799360E9"/>
    <w:multiLevelType w:val="multilevel"/>
    <w:tmpl w:val="353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E2382"/>
    <w:multiLevelType w:val="hybridMultilevel"/>
    <w:tmpl w:val="C6821DB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808086095">
    <w:abstractNumId w:val="14"/>
  </w:num>
  <w:num w:numId="2" w16cid:durableId="2088530675">
    <w:abstractNumId w:val="12"/>
  </w:num>
  <w:num w:numId="3" w16cid:durableId="1524974882">
    <w:abstractNumId w:val="5"/>
  </w:num>
  <w:num w:numId="4" w16cid:durableId="1072316256">
    <w:abstractNumId w:val="18"/>
  </w:num>
  <w:num w:numId="5" w16cid:durableId="666784723">
    <w:abstractNumId w:val="1"/>
  </w:num>
  <w:num w:numId="6" w16cid:durableId="1594123960">
    <w:abstractNumId w:val="33"/>
  </w:num>
  <w:num w:numId="7" w16cid:durableId="1101292833">
    <w:abstractNumId w:val="35"/>
  </w:num>
  <w:num w:numId="8" w16cid:durableId="1731876960">
    <w:abstractNumId w:val="32"/>
  </w:num>
  <w:num w:numId="9" w16cid:durableId="5331775">
    <w:abstractNumId w:val="3"/>
  </w:num>
  <w:num w:numId="10" w16cid:durableId="810902038">
    <w:abstractNumId w:val="23"/>
  </w:num>
  <w:num w:numId="11" w16cid:durableId="1527255755">
    <w:abstractNumId w:val="15"/>
  </w:num>
  <w:num w:numId="12" w16cid:durableId="860319481">
    <w:abstractNumId w:val="7"/>
  </w:num>
  <w:num w:numId="13" w16cid:durableId="1700474006">
    <w:abstractNumId w:val="17"/>
  </w:num>
  <w:num w:numId="14" w16cid:durableId="1845121774">
    <w:abstractNumId w:val="6"/>
  </w:num>
  <w:num w:numId="15" w16cid:durableId="1339188235">
    <w:abstractNumId w:val="26"/>
  </w:num>
  <w:num w:numId="16" w16cid:durableId="1382023781">
    <w:abstractNumId w:val="24"/>
  </w:num>
  <w:num w:numId="17" w16cid:durableId="221332343">
    <w:abstractNumId w:val="31"/>
  </w:num>
  <w:num w:numId="18" w16cid:durableId="1106538422">
    <w:abstractNumId w:val="29"/>
  </w:num>
  <w:num w:numId="19" w16cid:durableId="240453763">
    <w:abstractNumId w:val="25"/>
  </w:num>
  <w:num w:numId="20" w16cid:durableId="389887755">
    <w:abstractNumId w:val="10"/>
  </w:num>
  <w:num w:numId="21" w16cid:durableId="1077628030">
    <w:abstractNumId w:val="21"/>
  </w:num>
  <w:num w:numId="22" w16cid:durableId="1563252542">
    <w:abstractNumId w:val="34"/>
  </w:num>
  <w:num w:numId="23" w16cid:durableId="1145858681">
    <w:abstractNumId w:val="4"/>
  </w:num>
  <w:num w:numId="24" w16cid:durableId="254099955">
    <w:abstractNumId w:val="20"/>
  </w:num>
  <w:num w:numId="25" w16cid:durableId="171453402">
    <w:abstractNumId w:val="36"/>
  </w:num>
  <w:num w:numId="26" w16cid:durableId="110977250">
    <w:abstractNumId w:val="30"/>
  </w:num>
  <w:num w:numId="27" w16cid:durableId="1896967299">
    <w:abstractNumId w:val="37"/>
  </w:num>
  <w:num w:numId="28" w16cid:durableId="810563401">
    <w:abstractNumId w:val="8"/>
  </w:num>
  <w:num w:numId="29" w16cid:durableId="2080134858">
    <w:abstractNumId w:val="11"/>
  </w:num>
  <w:num w:numId="30" w16cid:durableId="899948082">
    <w:abstractNumId w:val="9"/>
  </w:num>
  <w:num w:numId="31" w16cid:durableId="145707220">
    <w:abstractNumId w:val="13"/>
  </w:num>
  <w:num w:numId="32" w16cid:durableId="1746805102">
    <w:abstractNumId w:val="27"/>
  </w:num>
  <w:num w:numId="33" w16cid:durableId="1501196614">
    <w:abstractNumId w:val="28"/>
  </w:num>
  <w:num w:numId="34" w16cid:durableId="946155177">
    <w:abstractNumId w:val="0"/>
  </w:num>
  <w:num w:numId="35" w16cid:durableId="1061754080">
    <w:abstractNumId w:val="16"/>
  </w:num>
  <w:num w:numId="36" w16cid:durableId="1062483771">
    <w:abstractNumId w:val="19"/>
  </w:num>
  <w:num w:numId="37" w16cid:durableId="559755548">
    <w:abstractNumId w:val="22"/>
  </w:num>
  <w:num w:numId="38" w16cid:durableId="507404565">
    <w:abstractNumId w:val="2"/>
  </w:num>
  <w:num w:numId="39" w16cid:durableId="165684115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E49"/>
    <w:rsid w:val="00010520"/>
    <w:rsid w:val="00014841"/>
    <w:rsid w:val="00061770"/>
    <w:rsid w:val="00220F49"/>
    <w:rsid w:val="002D6154"/>
    <w:rsid w:val="00305CCE"/>
    <w:rsid w:val="00376DFA"/>
    <w:rsid w:val="00466B57"/>
    <w:rsid w:val="00493781"/>
    <w:rsid w:val="00513040"/>
    <w:rsid w:val="0053260B"/>
    <w:rsid w:val="005A1D0E"/>
    <w:rsid w:val="005D695A"/>
    <w:rsid w:val="006068D4"/>
    <w:rsid w:val="00671FB3"/>
    <w:rsid w:val="007578CA"/>
    <w:rsid w:val="00791455"/>
    <w:rsid w:val="007F6E49"/>
    <w:rsid w:val="00820C87"/>
    <w:rsid w:val="008356EF"/>
    <w:rsid w:val="00896659"/>
    <w:rsid w:val="008C3260"/>
    <w:rsid w:val="008D46A3"/>
    <w:rsid w:val="009E0C72"/>
    <w:rsid w:val="00A57CBB"/>
    <w:rsid w:val="00A62F8F"/>
    <w:rsid w:val="00AF7A2E"/>
    <w:rsid w:val="00C14340"/>
    <w:rsid w:val="00E71792"/>
    <w:rsid w:val="00ED0D5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49BF"/>
  <w15:chartTrackingRefBased/>
  <w15:docId w15:val="{05BFA865-B8B1-4422-A68F-466BEF67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E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6E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6E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6E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6E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6E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E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E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E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E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6E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6E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6E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6E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6E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E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E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E49"/>
    <w:rPr>
      <w:rFonts w:eastAsiaTheme="majorEastAsia" w:cstheme="majorBidi"/>
      <w:color w:val="272727" w:themeColor="text1" w:themeTint="D8"/>
    </w:rPr>
  </w:style>
  <w:style w:type="paragraph" w:styleId="Title">
    <w:name w:val="Title"/>
    <w:basedOn w:val="Normal"/>
    <w:next w:val="Normal"/>
    <w:link w:val="TitleChar"/>
    <w:uiPriority w:val="10"/>
    <w:qFormat/>
    <w:rsid w:val="007F6E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E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E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E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E49"/>
    <w:pPr>
      <w:spacing w:before="160"/>
      <w:jc w:val="center"/>
    </w:pPr>
    <w:rPr>
      <w:i/>
      <w:iCs/>
      <w:color w:val="404040" w:themeColor="text1" w:themeTint="BF"/>
    </w:rPr>
  </w:style>
  <w:style w:type="character" w:customStyle="1" w:styleId="QuoteChar">
    <w:name w:val="Quote Char"/>
    <w:basedOn w:val="DefaultParagraphFont"/>
    <w:link w:val="Quote"/>
    <w:uiPriority w:val="29"/>
    <w:rsid w:val="007F6E49"/>
    <w:rPr>
      <w:i/>
      <w:iCs/>
      <w:color w:val="404040" w:themeColor="text1" w:themeTint="BF"/>
    </w:rPr>
  </w:style>
  <w:style w:type="paragraph" w:styleId="ListParagraph">
    <w:name w:val="List Paragraph"/>
    <w:basedOn w:val="Normal"/>
    <w:uiPriority w:val="34"/>
    <w:qFormat/>
    <w:rsid w:val="007F6E49"/>
    <w:pPr>
      <w:ind w:left="720"/>
      <w:contextualSpacing/>
    </w:pPr>
  </w:style>
  <w:style w:type="character" w:styleId="IntenseEmphasis">
    <w:name w:val="Intense Emphasis"/>
    <w:basedOn w:val="DefaultParagraphFont"/>
    <w:uiPriority w:val="21"/>
    <w:qFormat/>
    <w:rsid w:val="007F6E49"/>
    <w:rPr>
      <w:i/>
      <w:iCs/>
      <w:color w:val="2F5496" w:themeColor="accent1" w:themeShade="BF"/>
    </w:rPr>
  </w:style>
  <w:style w:type="paragraph" w:styleId="IntenseQuote">
    <w:name w:val="Intense Quote"/>
    <w:basedOn w:val="Normal"/>
    <w:next w:val="Normal"/>
    <w:link w:val="IntenseQuoteChar"/>
    <w:uiPriority w:val="30"/>
    <w:qFormat/>
    <w:rsid w:val="007F6E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6E49"/>
    <w:rPr>
      <w:i/>
      <w:iCs/>
      <w:color w:val="2F5496" w:themeColor="accent1" w:themeShade="BF"/>
    </w:rPr>
  </w:style>
  <w:style w:type="character" w:styleId="IntenseReference">
    <w:name w:val="Intense Reference"/>
    <w:basedOn w:val="DefaultParagraphFont"/>
    <w:uiPriority w:val="32"/>
    <w:qFormat/>
    <w:rsid w:val="007F6E49"/>
    <w:rPr>
      <w:b/>
      <w:bCs/>
      <w:smallCaps/>
      <w:color w:val="2F5496" w:themeColor="accent1" w:themeShade="BF"/>
      <w:spacing w:val="5"/>
    </w:rPr>
  </w:style>
  <w:style w:type="table" w:styleId="PlainTable3">
    <w:name w:val="Plain Table 3"/>
    <w:basedOn w:val="TableNormal"/>
    <w:uiPriority w:val="43"/>
    <w:rsid w:val="00E71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717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71792"/>
    <w:rPr>
      <w:b/>
      <w:bCs/>
    </w:rPr>
  </w:style>
  <w:style w:type="character" w:styleId="HTMLCode">
    <w:name w:val="HTML Code"/>
    <w:basedOn w:val="DefaultParagraphFont"/>
    <w:uiPriority w:val="99"/>
    <w:semiHidden/>
    <w:unhideWhenUsed/>
    <w:rsid w:val="00E71792"/>
    <w:rPr>
      <w:rFonts w:ascii="Courier New" w:eastAsia="Times New Roman" w:hAnsi="Courier New" w:cs="Courier New"/>
      <w:sz w:val="20"/>
      <w:szCs w:val="20"/>
    </w:rPr>
  </w:style>
  <w:style w:type="table" w:styleId="PlainTable1">
    <w:name w:val="Plain Table 1"/>
    <w:basedOn w:val="TableNormal"/>
    <w:uiPriority w:val="41"/>
    <w:rsid w:val="00220F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220F49"/>
    <w:rPr>
      <w:color w:val="0563C1" w:themeColor="hyperlink"/>
      <w:u w:val="single"/>
    </w:rPr>
  </w:style>
  <w:style w:type="character" w:styleId="UnresolvedMention">
    <w:name w:val="Unresolved Mention"/>
    <w:basedOn w:val="DefaultParagraphFont"/>
    <w:uiPriority w:val="99"/>
    <w:semiHidden/>
    <w:unhideWhenUsed/>
    <w:rsid w:val="00220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426">
      <w:bodyDiv w:val="1"/>
      <w:marLeft w:val="0"/>
      <w:marRight w:val="0"/>
      <w:marTop w:val="0"/>
      <w:marBottom w:val="0"/>
      <w:divBdr>
        <w:top w:val="none" w:sz="0" w:space="0" w:color="auto"/>
        <w:left w:val="none" w:sz="0" w:space="0" w:color="auto"/>
        <w:bottom w:val="none" w:sz="0" w:space="0" w:color="auto"/>
        <w:right w:val="none" w:sz="0" w:space="0" w:color="auto"/>
      </w:divBdr>
    </w:div>
    <w:div w:id="63259835">
      <w:bodyDiv w:val="1"/>
      <w:marLeft w:val="0"/>
      <w:marRight w:val="0"/>
      <w:marTop w:val="0"/>
      <w:marBottom w:val="0"/>
      <w:divBdr>
        <w:top w:val="none" w:sz="0" w:space="0" w:color="auto"/>
        <w:left w:val="none" w:sz="0" w:space="0" w:color="auto"/>
        <w:bottom w:val="none" w:sz="0" w:space="0" w:color="auto"/>
        <w:right w:val="none" w:sz="0" w:space="0" w:color="auto"/>
      </w:divBdr>
    </w:div>
    <w:div w:id="69546122">
      <w:bodyDiv w:val="1"/>
      <w:marLeft w:val="0"/>
      <w:marRight w:val="0"/>
      <w:marTop w:val="0"/>
      <w:marBottom w:val="0"/>
      <w:divBdr>
        <w:top w:val="none" w:sz="0" w:space="0" w:color="auto"/>
        <w:left w:val="none" w:sz="0" w:space="0" w:color="auto"/>
        <w:bottom w:val="none" w:sz="0" w:space="0" w:color="auto"/>
        <w:right w:val="none" w:sz="0" w:space="0" w:color="auto"/>
      </w:divBdr>
    </w:div>
    <w:div w:id="85925323">
      <w:bodyDiv w:val="1"/>
      <w:marLeft w:val="0"/>
      <w:marRight w:val="0"/>
      <w:marTop w:val="0"/>
      <w:marBottom w:val="0"/>
      <w:divBdr>
        <w:top w:val="none" w:sz="0" w:space="0" w:color="auto"/>
        <w:left w:val="none" w:sz="0" w:space="0" w:color="auto"/>
        <w:bottom w:val="none" w:sz="0" w:space="0" w:color="auto"/>
        <w:right w:val="none" w:sz="0" w:space="0" w:color="auto"/>
      </w:divBdr>
    </w:div>
    <w:div w:id="109320115">
      <w:bodyDiv w:val="1"/>
      <w:marLeft w:val="0"/>
      <w:marRight w:val="0"/>
      <w:marTop w:val="0"/>
      <w:marBottom w:val="0"/>
      <w:divBdr>
        <w:top w:val="none" w:sz="0" w:space="0" w:color="auto"/>
        <w:left w:val="none" w:sz="0" w:space="0" w:color="auto"/>
        <w:bottom w:val="none" w:sz="0" w:space="0" w:color="auto"/>
        <w:right w:val="none" w:sz="0" w:space="0" w:color="auto"/>
      </w:divBdr>
    </w:div>
    <w:div w:id="124008561">
      <w:bodyDiv w:val="1"/>
      <w:marLeft w:val="0"/>
      <w:marRight w:val="0"/>
      <w:marTop w:val="0"/>
      <w:marBottom w:val="0"/>
      <w:divBdr>
        <w:top w:val="none" w:sz="0" w:space="0" w:color="auto"/>
        <w:left w:val="none" w:sz="0" w:space="0" w:color="auto"/>
        <w:bottom w:val="none" w:sz="0" w:space="0" w:color="auto"/>
        <w:right w:val="none" w:sz="0" w:space="0" w:color="auto"/>
      </w:divBdr>
      <w:divsChild>
        <w:div w:id="1954701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231744">
      <w:bodyDiv w:val="1"/>
      <w:marLeft w:val="0"/>
      <w:marRight w:val="0"/>
      <w:marTop w:val="0"/>
      <w:marBottom w:val="0"/>
      <w:divBdr>
        <w:top w:val="none" w:sz="0" w:space="0" w:color="auto"/>
        <w:left w:val="none" w:sz="0" w:space="0" w:color="auto"/>
        <w:bottom w:val="none" w:sz="0" w:space="0" w:color="auto"/>
        <w:right w:val="none" w:sz="0" w:space="0" w:color="auto"/>
      </w:divBdr>
    </w:div>
    <w:div w:id="230580826">
      <w:bodyDiv w:val="1"/>
      <w:marLeft w:val="0"/>
      <w:marRight w:val="0"/>
      <w:marTop w:val="0"/>
      <w:marBottom w:val="0"/>
      <w:divBdr>
        <w:top w:val="none" w:sz="0" w:space="0" w:color="auto"/>
        <w:left w:val="none" w:sz="0" w:space="0" w:color="auto"/>
        <w:bottom w:val="none" w:sz="0" w:space="0" w:color="auto"/>
        <w:right w:val="none" w:sz="0" w:space="0" w:color="auto"/>
      </w:divBdr>
    </w:div>
    <w:div w:id="308831446">
      <w:bodyDiv w:val="1"/>
      <w:marLeft w:val="0"/>
      <w:marRight w:val="0"/>
      <w:marTop w:val="0"/>
      <w:marBottom w:val="0"/>
      <w:divBdr>
        <w:top w:val="none" w:sz="0" w:space="0" w:color="auto"/>
        <w:left w:val="none" w:sz="0" w:space="0" w:color="auto"/>
        <w:bottom w:val="none" w:sz="0" w:space="0" w:color="auto"/>
        <w:right w:val="none" w:sz="0" w:space="0" w:color="auto"/>
      </w:divBdr>
    </w:div>
    <w:div w:id="346257290">
      <w:bodyDiv w:val="1"/>
      <w:marLeft w:val="0"/>
      <w:marRight w:val="0"/>
      <w:marTop w:val="0"/>
      <w:marBottom w:val="0"/>
      <w:divBdr>
        <w:top w:val="none" w:sz="0" w:space="0" w:color="auto"/>
        <w:left w:val="none" w:sz="0" w:space="0" w:color="auto"/>
        <w:bottom w:val="none" w:sz="0" w:space="0" w:color="auto"/>
        <w:right w:val="none" w:sz="0" w:space="0" w:color="auto"/>
      </w:divBdr>
    </w:div>
    <w:div w:id="348411238">
      <w:bodyDiv w:val="1"/>
      <w:marLeft w:val="0"/>
      <w:marRight w:val="0"/>
      <w:marTop w:val="0"/>
      <w:marBottom w:val="0"/>
      <w:divBdr>
        <w:top w:val="none" w:sz="0" w:space="0" w:color="auto"/>
        <w:left w:val="none" w:sz="0" w:space="0" w:color="auto"/>
        <w:bottom w:val="none" w:sz="0" w:space="0" w:color="auto"/>
        <w:right w:val="none" w:sz="0" w:space="0" w:color="auto"/>
      </w:divBdr>
    </w:div>
    <w:div w:id="353850370">
      <w:bodyDiv w:val="1"/>
      <w:marLeft w:val="0"/>
      <w:marRight w:val="0"/>
      <w:marTop w:val="0"/>
      <w:marBottom w:val="0"/>
      <w:divBdr>
        <w:top w:val="none" w:sz="0" w:space="0" w:color="auto"/>
        <w:left w:val="none" w:sz="0" w:space="0" w:color="auto"/>
        <w:bottom w:val="none" w:sz="0" w:space="0" w:color="auto"/>
        <w:right w:val="none" w:sz="0" w:space="0" w:color="auto"/>
      </w:divBdr>
    </w:div>
    <w:div w:id="365447540">
      <w:bodyDiv w:val="1"/>
      <w:marLeft w:val="0"/>
      <w:marRight w:val="0"/>
      <w:marTop w:val="0"/>
      <w:marBottom w:val="0"/>
      <w:divBdr>
        <w:top w:val="none" w:sz="0" w:space="0" w:color="auto"/>
        <w:left w:val="none" w:sz="0" w:space="0" w:color="auto"/>
        <w:bottom w:val="none" w:sz="0" w:space="0" w:color="auto"/>
        <w:right w:val="none" w:sz="0" w:space="0" w:color="auto"/>
      </w:divBdr>
    </w:div>
    <w:div w:id="376054064">
      <w:bodyDiv w:val="1"/>
      <w:marLeft w:val="0"/>
      <w:marRight w:val="0"/>
      <w:marTop w:val="0"/>
      <w:marBottom w:val="0"/>
      <w:divBdr>
        <w:top w:val="none" w:sz="0" w:space="0" w:color="auto"/>
        <w:left w:val="none" w:sz="0" w:space="0" w:color="auto"/>
        <w:bottom w:val="none" w:sz="0" w:space="0" w:color="auto"/>
        <w:right w:val="none" w:sz="0" w:space="0" w:color="auto"/>
      </w:divBdr>
    </w:div>
    <w:div w:id="394276745">
      <w:bodyDiv w:val="1"/>
      <w:marLeft w:val="0"/>
      <w:marRight w:val="0"/>
      <w:marTop w:val="0"/>
      <w:marBottom w:val="0"/>
      <w:divBdr>
        <w:top w:val="none" w:sz="0" w:space="0" w:color="auto"/>
        <w:left w:val="none" w:sz="0" w:space="0" w:color="auto"/>
        <w:bottom w:val="none" w:sz="0" w:space="0" w:color="auto"/>
        <w:right w:val="none" w:sz="0" w:space="0" w:color="auto"/>
      </w:divBdr>
    </w:div>
    <w:div w:id="452359828">
      <w:bodyDiv w:val="1"/>
      <w:marLeft w:val="0"/>
      <w:marRight w:val="0"/>
      <w:marTop w:val="0"/>
      <w:marBottom w:val="0"/>
      <w:divBdr>
        <w:top w:val="none" w:sz="0" w:space="0" w:color="auto"/>
        <w:left w:val="none" w:sz="0" w:space="0" w:color="auto"/>
        <w:bottom w:val="none" w:sz="0" w:space="0" w:color="auto"/>
        <w:right w:val="none" w:sz="0" w:space="0" w:color="auto"/>
      </w:divBdr>
    </w:div>
    <w:div w:id="471288565">
      <w:bodyDiv w:val="1"/>
      <w:marLeft w:val="0"/>
      <w:marRight w:val="0"/>
      <w:marTop w:val="0"/>
      <w:marBottom w:val="0"/>
      <w:divBdr>
        <w:top w:val="none" w:sz="0" w:space="0" w:color="auto"/>
        <w:left w:val="none" w:sz="0" w:space="0" w:color="auto"/>
        <w:bottom w:val="none" w:sz="0" w:space="0" w:color="auto"/>
        <w:right w:val="none" w:sz="0" w:space="0" w:color="auto"/>
      </w:divBdr>
    </w:div>
    <w:div w:id="471604520">
      <w:bodyDiv w:val="1"/>
      <w:marLeft w:val="0"/>
      <w:marRight w:val="0"/>
      <w:marTop w:val="0"/>
      <w:marBottom w:val="0"/>
      <w:divBdr>
        <w:top w:val="none" w:sz="0" w:space="0" w:color="auto"/>
        <w:left w:val="none" w:sz="0" w:space="0" w:color="auto"/>
        <w:bottom w:val="none" w:sz="0" w:space="0" w:color="auto"/>
        <w:right w:val="none" w:sz="0" w:space="0" w:color="auto"/>
      </w:divBdr>
    </w:div>
    <w:div w:id="519274465">
      <w:bodyDiv w:val="1"/>
      <w:marLeft w:val="0"/>
      <w:marRight w:val="0"/>
      <w:marTop w:val="0"/>
      <w:marBottom w:val="0"/>
      <w:divBdr>
        <w:top w:val="none" w:sz="0" w:space="0" w:color="auto"/>
        <w:left w:val="none" w:sz="0" w:space="0" w:color="auto"/>
        <w:bottom w:val="none" w:sz="0" w:space="0" w:color="auto"/>
        <w:right w:val="none" w:sz="0" w:space="0" w:color="auto"/>
      </w:divBdr>
    </w:div>
    <w:div w:id="551499272">
      <w:bodyDiv w:val="1"/>
      <w:marLeft w:val="0"/>
      <w:marRight w:val="0"/>
      <w:marTop w:val="0"/>
      <w:marBottom w:val="0"/>
      <w:divBdr>
        <w:top w:val="none" w:sz="0" w:space="0" w:color="auto"/>
        <w:left w:val="none" w:sz="0" w:space="0" w:color="auto"/>
        <w:bottom w:val="none" w:sz="0" w:space="0" w:color="auto"/>
        <w:right w:val="none" w:sz="0" w:space="0" w:color="auto"/>
      </w:divBdr>
    </w:div>
    <w:div w:id="563881052">
      <w:bodyDiv w:val="1"/>
      <w:marLeft w:val="0"/>
      <w:marRight w:val="0"/>
      <w:marTop w:val="0"/>
      <w:marBottom w:val="0"/>
      <w:divBdr>
        <w:top w:val="none" w:sz="0" w:space="0" w:color="auto"/>
        <w:left w:val="none" w:sz="0" w:space="0" w:color="auto"/>
        <w:bottom w:val="none" w:sz="0" w:space="0" w:color="auto"/>
        <w:right w:val="none" w:sz="0" w:space="0" w:color="auto"/>
      </w:divBdr>
    </w:div>
    <w:div w:id="579173023">
      <w:bodyDiv w:val="1"/>
      <w:marLeft w:val="0"/>
      <w:marRight w:val="0"/>
      <w:marTop w:val="0"/>
      <w:marBottom w:val="0"/>
      <w:divBdr>
        <w:top w:val="none" w:sz="0" w:space="0" w:color="auto"/>
        <w:left w:val="none" w:sz="0" w:space="0" w:color="auto"/>
        <w:bottom w:val="none" w:sz="0" w:space="0" w:color="auto"/>
        <w:right w:val="none" w:sz="0" w:space="0" w:color="auto"/>
      </w:divBdr>
    </w:div>
    <w:div w:id="664548280">
      <w:bodyDiv w:val="1"/>
      <w:marLeft w:val="0"/>
      <w:marRight w:val="0"/>
      <w:marTop w:val="0"/>
      <w:marBottom w:val="0"/>
      <w:divBdr>
        <w:top w:val="none" w:sz="0" w:space="0" w:color="auto"/>
        <w:left w:val="none" w:sz="0" w:space="0" w:color="auto"/>
        <w:bottom w:val="none" w:sz="0" w:space="0" w:color="auto"/>
        <w:right w:val="none" w:sz="0" w:space="0" w:color="auto"/>
      </w:divBdr>
    </w:div>
    <w:div w:id="708728462">
      <w:bodyDiv w:val="1"/>
      <w:marLeft w:val="0"/>
      <w:marRight w:val="0"/>
      <w:marTop w:val="0"/>
      <w:marBottom w:val="0"/>
      <w:divBdr>
        <w:top w:val="none" w:sz="0" w:space="0" w:color="auto"/>
        <w:left w:val="none" w:sz="0" w:space="0" w:color="auto"/>
        <w:bottom w:val="none" w:sz="0" w:space="0" w:color="auto"/>
        <w:right w:val="none" w:sz="0" w:space="0" w:color="auto"/>
      </w:divBdr>
    </w:div>
    <w:div w:id="727873622">
      <w:bodyDiv w:val="1"/>
      <w:marLeft w:val="0"/>
      <w:marRight w:val="0"/>
      <w:marTop w:val="0"/>
      <w:marBottom w:val="0"/>
      <w:divBdr>
        <w:top w:val="none" w:sz="0" w:space="0" w:color="auto"/>
        <w:left w:val="none" w:sz="0" w:space="0" w:color="auto"/>
        <w:bottom w:val="none" w:sz="0" w:space="0" w:color="auto"/>
        <w:right w:val="none" w:sz="0" w:space="0" w:color="auto"/>
      </w:divBdr>
    </w:div>
    <w:div w:id="756561953">
      <w:bodyDiv w:val="1"/>
      <w:marLeft w:val="0"/>
      <w:marRight w:val="0"/>
      <w:marTop w:val="0"/>
      <w:marBottom w:val="0"/>
      <w:divBdr>
        <w:top w:val="none" w:sz="0" w:space="0" w:color="auto"/>
        <w:left w:val="none" w:sz="0" w:space="0" w:color="auto"/>
        <w:bottom w:val="none" w:sz="0" w:space="0" w:color="auto"/>
        <w:right w:val="none" w:sz="0" w:space="0" w:color="auto"/>
      </w:divBdr>
    </w:div>
    <w:div w:id="846285537">
      <w:bodyDiv w:val="1"/>
      <w:marLeft w:val="0"/>
      <w:marRight w:val="0"/>
      <w:marTop w:val="0"/>
      <w:marBottom w:val="0"/>
      <w:divBdr>
        <w:top w:val="none" w:sz="0" w:space="0" w:color="auto"/>
        <w:left w:val="none" w:sz="0" w:space="0" w:color="auto"/>
        <w:bottom w:val="none" w:sz="0" w:space="0" w:color="auto"/>
        <w:right w:val="none" w:sz="0" w:space="0" w:color="auto"/>
      </w:divBdr>
    </w:div>
    <w:div w:id="891237175">
      <w:bodyDiv w:val="1"/>
      <w:marLeft w:val="0"/>
      <w:marRight w:val="0"/>
      <w:marTop w:val="0"/>
      <w:marBottom w:val="0"/>
      <w:divBdr>
        <w:top w:val="none" w:sz="0" w:space="0" w:color="auto"/>
        <w:left w:val="none" w:sz="0" w:space="0" w:color="auto"/>
        <w:bottom w:val="none" w:sz="0" w:space="0" w:color="auto"/>
        <w:right w:val="none" w:sz="0" w:space="0" w:color="auto"/>
      </w:divBdr>
    </w:div>
    <w:div w:id="898712933">
      <w:bodyDiv w:val="1"/>
      <w:marLeft w:val="0"/>
      <w:marRight w:val="0"/>
      <w:marTop w:val="0"/>
      <w:marBottom w:val="0"/>
      <w:divBdr>
        <w:top w:val="none" w:sz="0" w:space="0" w:color="auto"/>
        <w:left w:val="none" w:sz="0" w:space="0" w:color="auto"/>
        <w:bottom w:val="none" w:sz="0" w:space="0" w:color="auto"/>
        <w:right w:val="none" w:sz="0" w:space="0" w:color="auto"/>
      </w:divBdr>
    </w:div>
    <w:div w:id="924266694">
      <w:bodyDiv w:val="1"/>
      <w:marLeft w:val="0"/>
      <w:marRight w:val="0"/>
      <w:marTop w:val="0"/>
      <w:marBottom w:val="0"/>
      <w:divBdr>
        <w:top w:val="none" w:sz="0" w:space="0" w:color="auto"/>
        <w:left w:val="none" w:sz="0" w:space="0" w:color="auto"/>
        <w:bottom w:val="none" w:sz="0" w:space="0" w:color="auto"/>
        <w:right w:val="none" w:sz="0" w:space="0" w:color="auto"/>
      </w:divBdr>
    </w:div>
    <w:div w:id="939141331">
      <w:bodyDiv w:val="1"/>
      <w:marLeft w:val="0"/>
      <w:marRight w:val="0"/>
      <w:marTop w:val="0"/>
      <w:marBottom w:val="0"/>
      <w:divBdr>
        <w:top w:val="none" w:sz="0" w:space="0" w:color="auto"/>
        <w:left w:val="none" w:sz="0" w:space="0" w:color="auto"/>
        <w:bottom w:val="none" w:sz="0" w:space="0" w:color="auto"/>
        <w:right w:val="none" w:sz="0" w:space="0" w:color="auto"/>
      </w:divBdr>
    </w:div>
    <w:div w:id="972171724">
      <w:bodyDiv w:val="1"/>
      <w:marLeft w:val="0"/>
      <w:marRight w:val="0"/>
      <w:marTop w:val="0"/>
      <w:marBottom w:val="0"/>
      <w:divBdr>
        <w:top w:val="none" w:sz="0" w:space="0" w:color="auto"/>
        <w:left w:val="none" w:sz="0" w:space="0" w:color="auto"/>
        <w:bottom w:val="none" w:sz="0" w:space="0" w:color="auto"/>
        <w:right w:val="none" w:sz="0" w:space="0" w:color="auto"/>
      </w:divBdr>
      <w:divsChild>
        <w:div w:id="43144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051289">
      <w:bodyDiv w:val="1"/>
      <w:marLeft w:val="0"/>
      <w:marRight w:val="0"/>
      <w:marTop w:val="0"/>
      <w:marBottom w:val="0"/>
      <w:divBdr>
        <w:top w:val="none" w:sz="0" w:space="0" w:color="auto"/>
        <w:left w:val="none" w:sz="0" w:space="0" w:color="auto"/>
        <w:bottom w:val="none" w:sz="0" w:space="0" w:color="auto"/>
        <w:right w:val="none" w:sz="0" w:space="0" w:color="auto"/>
      </w:divBdr>
    </w:div>
    <w:div w:id="1060859808">
      <w:bodyDiv w:val="1"/>
      <w:marLeft w:val="0"/>
      <w:marRight w:val="0"/>
      <w:marTop w:val="0"/>
      <w:marBottom w:val="0"/>
      <w:divBdr>
        <w:top w:val="none" w:sz="0" w:space="0" w:color="auto"/>
        <w:left w:val="none" w:sz="0" w:space="0" w:color="auto"/>
        <w:bottom w:val="none" w:sz="0" w:space="0" w:color="auto"/>
        <w:right w:val="none" w:sz="0" w:space="0" w:color="auto"/>
      </w:divBdr>
    </w:div>
    <w:div w:id="1070690482">
      <w:bodyDiv w:val="1"/>
      <w:marLeft w:val="0"/>
      <w:marRight w:val="0"/>
      <w:marTop w:val="0"/>
      <w:marBottom w:val="0"/>
      <w:divBdr>
        <w:top w:val="none" w:sz="0" w:space="0" w:color="auto"/>
        <w:left w:val="none" w:sz="0" w:space="0" w:color="auto"/>
        <w:bottom w:val="none" w:sz="0" w:space="0" w:color="auto"/>
        <w:right w:val="none" w:sz="0" w:space="0" w:color="auto"/>
      </w:divBdr>
    </w:div>
    <w:div w:id="1090546366">
      <w:bodyDiv w:val="1"/>
      <w:marLeft w:val="0"/>
      <w:marRight w:val="0"/>
      <w:marTop w:val="0"/>
      <w:marBottom w:val="0"/>
      <w:divBdr>
        <w:top w:val="none" w:sz="0" w:space="0" w:color="auto"/>
        <w:left w:val="none" w:sz="0" w:space="0" w:color="auto"/>
        <w:bottom w:val="none" w:sz="0" w:space="0" w:color="auto"/>
        <w:right w:val="none" w:sz="0" w:space="0" w:color="auto"/>
      </w:divBdr>
    </w:div>
    <w:div w:id="1095977844">
      <w:bodyDiv w:val="1"/>
      <w:marLeft w:val="0"/>
      <w:marRight w:val="0"/>
      <w:marTop w:val="0"/>
      <w:marBottom w:val="0"/>
      <w:divBdr>
        <w:top w:val="none" w:sz="0" w:space="0" w:color="auto"/>
        <w:left w:val="none" w:sz="0" w:space="0" w:color="auto"/>
        <w:bottom w:val="none" w:sz="0" w:space="0" w:color="auto"/>
        <w:right w:val="none" w:sz="0" w:space="0" w:color="auto"/>
      </w:divBdr>
    </w:div>
    <w:div w:id="1108935335">
      <w:bodyDiv w:val="1"/>
      <w:marLeft w:val="0"/>
      <w:marRight w:val="0"/>
      <w:marTop w:val="0"/>
      <w:marBottom w:val="0"/>
      <w:divBdr>
        <w:top w:val="none" w:sz="0" w:space="0" w:color="auto"/>
        <w:left w:val="none" w:sz="0" w:space="0" w:color="auto"/>
        <w:bottom w:val="none" w:sz="0" w:space="0" w:color="auto"/>
        <w:right w:val="none" w:sz="0" w:space="0" w:color="auto"/>
      </w:divBdr>
    </w:div>
    <w:div w:id="1182669902">
      <w:bodyDiv w:val="1"/>
      <w:marLeft w:val="0"/>
      <w:marRight w:val="0"/>
      <w:marTop w:val="0"/>
      <w:marBottom w:val="0"/>
      <w:divBdr>
        <w:top w:val="none" w:sz="0" w:space="0" w:color="auto"/>
        <w:left w:val="none" w:sz="0" w:space="0" w:color="auto"/>
        <w:bottom w:val="none" w:sz="0" w:space="0" w:color="auto"/>
        <w:right w:val="none" w:sz="0" w:space="0" w:color="auto"/>
      </w:divBdr>
    </w:div>
    <w:div w:id="1216896138">
      <w:bodyDiv w:val="1"/>
      <w:marLeft w:val="0"/>
      <w:marRight w:val="0"/>
      <w:marTop w:val="0"/>
      <w:marBottom w:val="0"/>
      <w:divBdr>
        <w:top w:val="none" w:sz="0" w:space="0" w:color="auto"/>
        <w:left w:val="none" w:sz="0" w:space="0" w:color="auto"/>
        <w:bottom w:val="none" w:sz="0" w:space="0" w:color="auto"/>
        <w:right w:val="none" w:sz="0" w:space="0" w:color="auto"/>
      </w:divBdr>
    </w:div>
    <w:div w:id="1313872001">
      <w:bodyDiv w:val="1"/>
      <w:marLeft w:val="0"/>
      <w:marRight w:val="0"/>
      <w:marTop w:val="0"/>
      <w:marBottom w:val="0"/>
      <w:divBdr>
        <w:top w:val="none" w:sz="0" w:space="0" w:color="auto"/>
        <w:left w:val="none" w:sz="0" w:space="0" w:color="auto"/>
        <w:bottom w:val="none" w:sz="0" w:space="0" w:color="auto"/>
        <w:right w:val="none" w:sz="0" w:space="0" w:color="auto"/>
      </w:divBdr>
      <w:divsChild>
        <w:div w:id="740444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152412">
      <w:bodyDiv w:val="1"/>
      <w:marLeft w:val="0"/>
      <w:marRight w:val="0"/>
      <w:marTop w:val="0"/>
      <w:marBottom w:val="0"/>
      <w:divBdr>
        <w:top w:val="none" w:sz="0" w:space="0" w:color="auto"/>
        <w:left w:val="none" w:sz="0" w:space="0" w:color="auto"/>
        <w:bottom w:val="none" w:sz="0" w:space="0" w:color="auto"/>
        <w:right w:val="none" w:sz="0" w:space="0" w:color="auto"/>
      </w:divBdr>
    </w:div>
    <w:div w:id="1320845303">
      <w:bodyDiv w:val="1"/>
      <w:marLeft w:val="0"/>
      <w:marRight w:val="0"/>
      <w:marTop w:val="0"/>
      <w:marBottom w:val="0"/>
      <w:divBdr>
        <w:top w:val="none" w:sz="0" w:space="0" w:color="auto"/>
        <w:left w:val="none" w:sz="0" w:space="0" w:color="auto"/>
        <w:bottom w:val="none" w:sz="0" w:space="0" w:color="auto"/>
        <w:right w:val="none" w:sz="0" w:space="0" w:color="auto"/>
      </w:divBdr>
    </w:div>
    <w:div w:id="1338270374">
      <w:bodyDiv w:val="1"/>
      <w:marLeft w:val="0"/>
      <w:marRight w:val="0"/>
      <w:marTop w:val="0"/>
      <w:marBottom w:val="0"/>
      <w:divBdr>
        <w:top w:val="none" w:sz="0" w:space="0" w:color="auto"/>
        <w:left w:val="none" w:sz="0" w:space="0" w:color="auto"/>
        <w:bottom w:val="none" w:sz="0" w:space="0" w:color="auto"/>
        <w:right w:val="none" w:sz="0" w:space="0" w:color="auto"/>
      </w:divBdr>
    </w:div>
    <w:div w:id="1478762681">
      <w:bodyDiv w:val="1"/>
      <w:marLeft w:val="0"/>
      <w:marRight w:val="0"/>
      <w:marTop w:val="0"/>
      <w:marBottom w:val="0"/>
      <w:divBdr>
        <w:top w:val="none" w:sz="0" w:space="0" w:color="auto"/>
        <w:left w:val="none" w:sz="0" w:space="0" w:color="auto"/>
        <w:bottom w:val="none" w:sz="0" w:space="0" w:color="auto"/>
        <w:right w:val="none" w:sz="0" w:space="0" w:color="auto"/>
      </w:divBdr>
    </w:div>
    <w:div w:id="1481074736">
      <w:bodyDiv w:val="1"/>
      <w:marLeft w:val="0"/>
      <w:marRight w:val="0"/>
      <w:marTop w:val="0"/>
      <w:marBottom w:val="0"/>
      <w:divBdr>
        <w:top w:val="none" w:sz="0" w:space="0" w:color="auto"/>
        <w:left w:val="none" w:sz="0" w:space="0" w:color="auto"/>
        <w:bottom w:val="none" w:sz="0" w:space="0" w:color="auto"/>
        <w:right w:val="none" w:sz="0" w:space="0" w:color="auto"/>
      </w:divBdr>
    </w:div>
    <w:div w:id="1481076943">
      <w:bodyDiv w:val="1"/>
      <w:marLeft w:val="0"/>
      <w:marRight w:val="0"/>
      <w:marTop w:val="0"/>
      <w:marBottom w:val="0"/>
      <w:divBdr>
        <w:top w:val="none" w:sz="0" w:space="0" w:color="auto"/>
        <w:left w:val="none" w:sz="0" w:space="0" w:color="auto"/>
        <w:bottom w:val="none" w:sz="0" w:space="0" w:color="auto"/>
        <w:right w:val="none" w:sz="0" w:space="0" w:color="auto"/>
      </w:divBdr>
    </w:div>
    <w:div w:id="1489125561">
      <w:bodyDiv w:val="1"/>
      <w:marLeft w:val="0"/>
      <w:marRight w:val="0"/>
      <w:marTop w:val="0"/>
      <w:marBottom w:val="0"/>
      <w:divBdr>
        <w:top w:val="none" w:sz="0" w:space="0" w:color="auto"/>
        <w:left w:val="none" w:sz="0" w:space="0" w:color="auto"/>
        <w:bottom w:val="none" w:sz="0" w:space="0" w:color="auto"/>
        <w:right w:val="none" w:sz="0" w:space="0" w:color="auto"/>
      </w:divBdr>
    </w:div>
    <w:div w:id="1533498471">
      <w:bodyDiv w:val="1"/>
      <w:marLeft w:val="0"/>
      <w:marRight w:val="0"/>
      <w:marTop w:val="0"/>
      <w:marBottom w:val="0"/>
      <w:divBdr>
        <w:top w:val="none" w:sz="0" w:space="0" w:color="auto"/>
        <w:left w:val="none" w:sz="0" w:space="0" w:color="auto"/>
        <w:bottom w:val="none" w:sz="0" w:space="0" w:color="auto"/>
        <w:right w:val="none" w:sz="0" w:space="0" w:color="auto"/>
      </w:divBdr>
    </w:div>
    <w:div w:id="1544487534">
      <w:bodyDiv w:val="1"/>
      <w:marLeft w:val="0"/>
      <w:marRight w:val="0"/>
      <w:marTop w:val="0"/>
      <w:marBottom w:val="0"/>
      <w:divBdr>
        <w:top w:val="none" w:sz="0" w:space="0" w:color="auto"/>
        <w:left w:val="none" w:sz="0" w:space="0" w:color="auto"/>
        <w:bottom w:val="none" w:sz="0" w:space="0" w:color="auto"/>
        <w:right w:val="none" w:sz="0" w:space="0" w:color="auto"/>
      </w:divBdr>
    </w:div>
    <w:div w:id="1566451030">
      <w:bodyDiv w:val="1"/>
      <w:marLeft w:val="0"/>
      <w:marRight w:val="0"/>
      <w:marTop w:val="0"/>
      <w:marBottom w:val="0"/>
      <w:divBdr>
        <w:top w:val="none" w:sz="0" w:space="0" w:color="auto"/>
        <w:left w:val="none" w:sz="0" w:space="0" w:color="auto"/>
        <w:bottom w:val="none" w:sz="0" w:space="0" w:color="auto"/>
        <w:right w:val="none" w:sz="0" w:space="0" w:color="auto"/>
      </w:divBdr>
    </w:div>
    <w:div w:id="1635865986">
      <w:bodyDiv w:val="1"/>
      <w:marLeft w:val="0"/>
      <w:marRight w:val="0"/>
      <w:marTop w:val="0"/>
      <w:marBottom w:val="0"/>
      <w:divBdr>
        <w:top w:val="none" w:sz="0" w:space="0" w:color="auto"/>
        <w:left w:val="none" w:sz="0" w:space="0" w:color="auto"/>
        <w:bottom w:val="none" w:sz="0" w:space="0" w:color="auto"/>
        <w:right w:val="none" w:sz="0" w:space="0" w:color="auto"/>
      </w:divBdr>
    </w:div>
    <w:div w:id="1681616517">
      <w:bodyDiv w:val="1"/>
      <w:marLeft w:val="0"/>
      <w:marRight w:val="0"/>
      <w:marTop w:val="0"/>
      <w:marBottom w:val="0"/>
      <w:divBdr>
        <w:top w:val="none" w:sz="0" w:space="0" w:color="auto"/>
        <w:left w:val="none" w:sz="0" w:space="0" w:color="auto"/>
        <w:bottom w:val="none" w:sz="0" w:space="0" w:color="auto"/>
        <w:right w:val="none" w:sz="0" w:space="0" w:color="auto"/>
      </w:divBdr>
    </w:div>
    <w:div w:id="1750299676">
      <w:bodyDiv w:val="1"/>
      <w:marLeft w:val="0"/>
      <w:marRight w:val="0"/>
      <w:marTop w:val="0"/>
      <w:marBottom w:val="0"/>
      <w:divBdr>
        <w:top w:val="none" w:sz="0" w:space="0" w:color="auto"/>
        <w:left w:val="none" w:sz="0" w:space="0" w:color="auto"/>
        <w:bottom w:val="none" w:sz="0" w:space="0" w:color="auto"/>
        <w:right w:val="none" w:sz="0" w:space="0" w:color="auto"/>
      </w:divBdr>
    </w:div>
    <w:div w:id="1816920073">
      <w:bodyDiv w:val="1"/>
      <w:marLeft w:val="0"/>
      <w:marRight w:val="0"/>
      <w:marTop w:val="0"/>
      <w:marBottom w:val="0"/>
      <w:divBdr>
        <w:top w:val="none" w:sz="0" w:space="0" w:color="auto"/>
        <w:left w:val="none" w:sz="0" w:space="0" w:color="auto"/>
        <w:bottom w:val="none" w:sz="0" w:space="0" w:color="auto"/>
        <w:right w:val="none" w:sz="0" w:space="0" w:color="auto"/>
      </w:divBdr>
    </w:div>
    <w:div w:id="1928228274">
      <w:bodyDiv w:val="1"/>
      <w:marLeft w:val="0"/>
      <w:marRight w:val="0"/>
      <w:marTop w:val="0"/>
      <w:marBottom w:val="0"/>
      <w:divBdr>
        <w:top w:val="none" w:sz="0" w:space="0" w:color="auto"/>
        <w:left w:val="none" w:sz="0" w:space="0" w:color="auto"/>
        <w:bottom w:val="none" w:sz="0" w:space="0" w:color="auto"/>
        <w:right w:val="none" w:sz="0" w:space="0" w:color="auto"/>
      </w:divBdr>
      <w:divsChild>
        <w:div w:id="534119828">
          <w:blockQuote w:val="1"/>
          <w:marLeft w:val="720"/>
          <w:marRight w:val="720"/>
          <w:marTop w:val="100"/>
          <w:marBottom w:val="100"/>
          <w:divBdr>
            <w:top w:val="none" w:sz="0" w:space="0" w:color="auto"/>
            <w:left w:val="none" w:sz="0" w:space="0" w:color="auto"/>
            <w:bottom w:val="none" w:sz="0" w:space="0" w:color="auto"/>
            <w:right w:val="none" w:sz="0" w:space="0" w:color="auto"/>
          </w:divBdr>
        </w:div>
        <w:div w:id="431704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3386">
      <w:bodyDiv w:val="1"/>
      <w:marLeft w:val="0"/>
      <w:marRight w:val="0"/>
      <w:marTop w:val="0"/>
      <w:marBottom w:val="0"/>
      <w:divBdr>
        <w:top w:val="none" w:sz="0" w:space="0" w:color="auto"/>
        <w:left w:val="none" w:sz="0" w:space="0" w:color="auto"/>
        <w:bottom w:val="none" w:sz="0" w:space="0" w:color="auto"/>
        <w:right w:val="none" w:sz="0" w:space="0" w:color="auto"/>
      </w:divBdr>
    </w:div>
    <w:div w:id="2034570138">
      <w:bodyDiv w:val="1"/>
      <w:marLeft w:val="0"/>
      <w:marRight w:val="0"/>
      <w:marTop w:val="0"/>
      <w:marBottom w:val="0"/>
      <w:divBdr>
        <w:top w:val="none" w:sz="0" w:space="0" w:color="auto"/>
        <w:left w:val="none" w:sz="0" w:space="0" w:color="auto"/>
        <w:bottom w:val="none" w:sz="0" w:space="0" w:color="auto"/>
        <w:right w:val="none" w:sz="0" w:space="0" w:color="auto"/>
      </w:divBdr>
    </w:div>
    <w:div w:id="2051222252">
      <w:bodyDiv w:val="1"/>
      <w:marLeft w:val="0"/>
      <w:marRight w:val="0"/>
      <w:marTop w:val="0"/>
      <w:marBottom w:val="0"/>
      <w:divBdr>
        <w:top w:val="none" w:sz="0" w:space="0" w:color="auto"/>
        <w:left w:val="none" w:sz="0" w:space="0" w:color="auto"/>
        <w:bottom w:val="none" w:sz="0" w:space="0" w:color="auto"/>
        <w:right w:val="none" w:sz="0" w:space="0" w:color="auto"/>
      </w:divBdr>
      <w:divsChild>
        <w:div w:id="9413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50252">
      <w:bodyDiv w:val="1"/>
      <w:marLeft w:val="0"/>
      <w:marRight w:val="0"/>
      <w:marTop w:val="0"/>
      <w:marBottom w:val="0"/>
      <w:divBdr>
        <w:top w:val="none" w:sz="0" w:space="0" w:color="auto"/>
        <w:left w:val="none" w:sz="0" w:space="0" w:color="auto"/>
        <w:bottom w:val="none" w:sz="0" w:space="0" w:color="auto"/>
        <w:right w:val="none" w:sz="0" w:space="0" w:color="auto"/>
      </w:divBdr>
    </w:div>
    <w:div w:id="2085296209">
      <w:bodyDiv w:val="1"/>
      <w:marLeft w:val="0"/>
      <w:marRight w:val="0"/>
      <w:marTop w:val="0"/>
      <w:marBottom w:val="0"/>
      <w:divBdr>
        <w:top w:val="none" w:sz="0" w:space="0" w:color="auto"/>
        <w:left w:val="none" w:sz="0" w:space="0" w:color="auto"/>
        <w:bottom w:val="none" w:sz="0" w:space="0" w:color="auto"/>
        <w:right w:val="none" w:sz="0" w:space="0" w:color="auto"/>
      </w:divBdr>
    </w:div>
    <w:div w:id="2092583383">
      <w:bodyDiv w:val="1"/>
      <w:marLeft w:val="0"/>
      <w:marRight w:val="0"/>
      <w:marTop w:val="0"/>
      <w:marBottom w:val="0"/>
      <w:divBdr>
        <w:top w:val="none" w:sz="0" w:space="0" w:color="auto"/>
        <w:left w:val="none" w:sz="0" w:space="0" w:color="auto"/>
        <w:bottom w:val="none" w:sz="0" w:space="0" w:color="auto"/>
        <w:right w:val="none" w:sz="0" w:space="0" w:color="auto"/>
      </w:divBdr>
      <w:divsChild>
        <w:div w:id="18587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0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494782">
      <w:bodyDiv w:val="1"/>
      <w:marLeft w:val="0"/>
      <w:marRight w:val="0"/>
      <w:marTop w:val="0"/>
      <w:marBottom w:val="0"/>
      <w:divBdr>
        <w:top w:val="none" w:sz="0" w:space="0" w:color="auto"/>
        <w:left w:val="none" w:sz="0" w:space="0" w:color="auto"/>
        <w:bottom w:val="none" w:sz="0" w:space="0" w:color="auto"/>
        <w:right w:val="none" w:sz="0" w:space="0" w:color="auto"/>
      </w:divBdr>
    </w:div>
    <w:div w:id="21289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ho.int/publications/i/item/WHO-SDE-PHE-OEH-06.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Pages>
  <Words>5325</Words>
  <Characters>30354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Kh</dc:creator>
  <cp:keywords/>
  <dc:description/>
  <cp:lastModifiedBy>Mariam Kh</cp:lastModifiedBy>
  <cp:revision>12</cp:revision>
  <dcterms:created xsi:type="dcterms:W3CDTF">2025-04-16T08:05:00Z</dcterms:created>
  <dcterms:modified xsi:type="dcterms:W3CDTF">2025-04-30T11:22:00Z</dcterms:modified>
</cp:coreProperties>
</file>