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22448" w14:textId="6B0AB9AB" w:rsidR="002B63D8" w:rsidRPr="00620851" w:rsidRDefault="005451B3">
      <w:pPr>
        <w:pStyle w:val="Heading1"/>
        <w:rPr>
          <w:rFonts w:asciiTheme="majorBidi" w:hAnsiTheme="majorBidi"/>
        </w:rPr>
      </w:pPr>
      <w:r>
        <w:rPr>
          <w:rFonts w:asciiTheme="majorBidi" w:hAnsiTheme="majorBidi"/>
          <w:noProof/>
        </w:rPr>
        <w:drawing>
          <wp:anchor distT="0" distB="0" distL="114300" distR="114300" simplePos="0" relativeHeight="251657728" behindDoc="1" locked="0" layoutInCell="1" allowOverlap="1" wp14:anchorId="1BBF3C5A" wp14:editId="7DADFA50">
            <wp:simplePos x="0" y="0"/>
            <wp:positionH relativeFrom="column">
              <wp:posOffset>3615055</wp:posOffset>
            </wp:positionH>
            <wp:positionV relativeFrom="paragraph">
              <wp:posOffset>312420</wp:posOffset>
            </wp:positionV>
            <wp:extent cx="1832610" cy="2125980"/>
            <wp:effectExtent l="0" t="0" r="0" b="7620"/>
            <wp:wrapTight wrapText="bothSides">
              <wp:wrapPolygon edited="0">
                <wp:start x="0" y="0"/>
                <wp:lineTo x="0" y="21484"/>
                <wp:lineTo x="21331" y="21484"/>
                <wp:lineTo x="21331" y="0"/>
                <wp:lineTo x="0" y="0"/>
              </wp:wrapPolygon>
            </wp:wrapTight>
            <wp:docPr id="176019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010" b="16685"/>
                    <a:stretch/>
                  </pic:blipFill>
                  <pic:spPr bwMode="auto">
                    <a:xfrm>
                      <a:off x="0" y="0"/>
                      <a:ext cx="1832610"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0774" w:rsidRPr="00620851">
        <w:rPr>
          <w:rFonts w:asciiTheme="majorBidi" w:hAnsiTheme="majorBidi"/>
        </w:rPr>
        <w:t>III. METHODOLOGY</w:t>
      </w:r>
    </w:p>
    <w:p w14:paraId="1AE6A69D" w14:textId="13D84639" w:rsidR="002B63D8" w:rsidRDefault="005451B3" w:rsidP="005451B3">
      <w:pPr>
        <w:rPr>
          <w:rFonts w:asciiTheme="majorBidi" w:hAnsiTheme="majorBidi" w:cstheme="majorBidi"/>
          <w:sz w:val="20"/>
          <w:szCs w:val="20"/>
        </w:rPr>
      </w:pPr>
      <w:r w:rsidRPr="005451B3">
        <w:rPr>
          <w:rFonts w:asciiTheme="majorBidi" w:hAnsiTheme="majorBidi" w:cstheme="majorBidi"/>
          <w:noProof/>
          <w:sz w:val="20"/>
          <w:szCs w:val="20"/>
        </w:rPr>
        <mc:AlternateContent>
          <mc:Choice Requires="wps">
            <w:drawing>
              <wp:anchor distT="45720" distB="45720" distL="114300" distR="114300" simplePos="0" relativeHeight="251660288" behindDoc="0" locked="0" layoutInCell="1" allowOverlap="1" wp14:anchorId="5BD9F7C6" wp14:editId="25E8128C">
                <wp:simplePos x="0" y="0"/>
                <wp:positionH relativeFrom="column">
                  <wp:posOffset>3855720</wp:posOffset>
                </wp:positionH>
                <wp:positionV relativeFrom="paragraph">
                  <wp:posOffset>1814830</wp:posOffset>
                </wp:positionV>
                <wp:extent cx="1394460" cy="1404620"/>
                <wp:effectExtent l="0" t="0" r="0" b="8255"/>
                <wp:wrapThrough wrapText="bothSides">
                  <wp:wrapPolygon edited="0">
                    <wp:start x="590" y="0"/>
                    <wp:lineTo x="590" y="21121"/>
                    <wp:lineTo x="20656" y="21121"/>
                    <wp:lineTo x="20656" y="0"/>
                    <wp:lineTo x="59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9073F5" w14:textId="31EFC116" w:rsidR="005451B3" w:rsidRPr="005451B3" w:rsidRDefault="005451B3" w:rsidP="005451B3">
                            <w:pPr>
                              <w:jc w:val="center"/>
                              <w:rPr>
                                <w:sz w:val="18"/>
                                <w:szCs w:val="18"/>
                              </w:rPr>
                            </w:pPr>
                            <w:r w:rsidRPr="005451B3">
                              <w:rPr>
                                <w:rFonts w:asciiTheme="majorBidi" w:hAnsiTheme="majorBidi" w:cstheme="majorBidi"/>
                                <w:sz w:val="16"/>
                                <w:szCs w:val="16"/>
                              </w:rPr>
                              <w:t>Figure 1</w:t>
                            </w:r>
                            <w:r w:rsidRPr="005451B3">
                              <w:rPr>
                                <w:rFonts w:asciiTheme="majorBidi" w:hAnsiTheme="majorBidi" w:cstheme="majorBidi"/>
                                <w:sz w:val="16"/>
                                <w:szCs w:val="16"/>
                              </w:rPr>
                              <w:t xml:space="preserve"> Methodology Overview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D9F7C6" id="_x0000_t202" coordsize="21600,21600" o:spt="202" path="m,l,21600r21600,l21600,xe">
                <v:stroke joinstyle="miter"/>
                <v:path gradientshapeok="t" o:connecttype="rect"/>
              </v:shapetype>
              <v:shape id="Text Box 2" o:spid="_x0000_s1026" type="#_x0000_t202" style="position:absolute;margin-left:303.6pt;margin-top:142.9pt;width:109.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" filled="f" stroked="f">
                <v:textbox style="mso-fit-shape-to-text:t">
                  <w:txbxContent>
                    <w:p w14:paraId="199073F5" w14:textId="31EFC116" w:rsidR="005451B3" w:rsidRPr="005451B3" w:rsidRDefault="005451B3" w:rsidP="005451B3">
                      <w:pPr>
                        <w:jc w:val="center"/>
                        <w:rPr>
                          <w:sz w:val="18"/>
                          <w:szCs w:val="18"/>
                        </w:rPr>
                      </w:pPr>
                      <w:r w:rsidRPr="005451B3">
                        <w:rPr>
                          <w:rFonts w:asciiTheme="majorBidi" w:hAnsiTheme="majorBidi" w:cstheme="majorBidi"/>
                          <w:sz w:val="16"/>
                          <w:szCs w:val="16"/>
                        </w:rPr>
                        <w:t>Figure 1</w:t>
                      </w:r>
                      <w:r w:rsidRPr="005451B3">
                        <w:rPr>
                          <w:rFonts w:asciiTheme="majorBidi" w:hAnsiTheme="majorBidi" w:cstheme="majorBidi"/>
                          <w:sz w:val="16"/>
                          <w:szCs w:val="16"/>
                        </w:rPr>
                        <w:t xml:space="preserve"> Methodology Overview</w:t>
                      </w:r>
                    </w:p>
                  </w:txbxContent>
                </v:textbox>
                <w10:wrap type="through"/>
              </v:shape>
            </w:pict>
          </mc:Fallback>
        </mc:AlternateContent>
      </w:r>
      <w:r w:rsidR="002959F5" w:rsidRPr="002959F5">
        <w:rPr>
          <w:rFonts w:asciiTheme="majorBidi" w:hAnsiTheme="majorBidi" w:cstheme="majorBidi"/>
          <w:sz w:val="20"/>
          <w:szCs w:val="20"/>
        </w:rPr>
        <w:t xml:space="preserve">A methodical integration of diverse datasets, including satellite observations, ground sensor data, and forecasted models, is necessary </w:t>
      </w:r>
      <w:r w:rsidR="00DC4BFC" w:rsidRPr="00704C7A">
        <w:rPr>
          <w:rFonts w:asciiTheme="majorBidi" w:hAnsiTheme="majorBidi" w:cstheme="majorBidi"/>
          <w:sz w:val="20"/>
          <w:szCs w:val="20"/>
        </w:rPr>
        <w:t>to investigate</w:t>
      </w:r>
      <w:r w:rsidR="002959F5" w:rsidRPr="002959F5">
        <w:rPr>
          <w:rFonts w:asciiTheme="majorBidi" w:hAnsiTheme="majorBidi" w:cstheme="majorBidi"/>
          <w:sz w:val="20"/>
          <w:szCs w:val="20"/>
        </w:rPr>
        <w:t xml:space="preserve"> urban air quality and mobility</w:t>
      </w:r>
      <w:r w:rsidR="002959F5" w:rsidRPr="00704C7A">
        <w:rPr>
          <w:rFonts w:asciiTheme="majorBidi" w:hAnsiTheme="majorBidi" w:cstheme="majorBidi"/>
          <w:sz w:val="20"/>
          <w:szCs w:val="20"/>
        </w:rPr>
        <w:t xml:space="preserve">. The COVID-19 pandemic provided a rare chance to investigate the effects of anthropogenic mobility decrease on pollution, highlighting the urgent need for interdisciplinary methods [1], [2]. This study employs a two-phase methodology: Phase One conducts </w:t>
      </w:r>
      <w:r w:rsidR="00DC4BFC" w:rsidRPr="00704C7A">
        <w:rPr>
          <w:rFonts w:asciiTheme="majorBidi" w:hAnsiTheme="majorBidi" w:cstheme="majorBidi"/>
          <w:sz w:val="20"/>
          <w:szCs w:val="20"/>
        </w:rPr>
        <w:t xml:space="preserve">a </w:t>
      </w:r>
      <w:r w:rsidR="002959F5" w:rsidRPr="00704C7A">
        <w:rPr>
          <w:rFonts w:asciiTheme="majorBidi" w:hAnsiTheme="majorBidi" w:cstheme="majorBidi"/>
          <w:sz w:val="20"/>
          <w:szCs w:val="20"/>
        </w:rPr>
        <w:t>historical analysis based on observed data (2020–2022), and Phase Two projects future risk scenarios using forecasted data (2023–2025).</w:t>
      </w:r>
      <w:r w:rsidRPr="005451B3">
        <w:t xml:space="preserve"> </w:t>
      </w:r>
      <w:r w:rsidRPr="005451B3">
        <w:rPr>
          <w:rFonts w:asciiTheme="majorBidi" w:hAnsiTheme="majorBidi" w:cstheme="majorBidi"/>
          <w:sz w:val="20"/>
          <w:szCs w:val="20"/>
        </w:rPr>
        <w:t xml:space="preserve">Figure </w:t>
      </w:r>
      <w:r>
        <w:rPr>
          <w:rFonts w:asciiTheme="majorBidi" w:hAnsiTheme="majorBidi" w:cstheme="majorBidi"/>
          <w:sz w:val="20"/>
          <w:szCs w:val="20"/>
        </w:rPr>
        <w:t>1</w:t>
      </w:r>
      <w:r w:rsidRPr="005451B3">
        <w:rPr>
          <w:rFonts w:asciiTheme="majorBidi" w:hAnsiTheme="majorBidi" w:cstheme="majorBidi"/>
          <w:sz w:val="20"/>
          <w:szCs w:val="20"/>
        </w:rPr>
        <w:t xml:space="preserve"> illustrates the overall methodology flow adopted in this study.</w:t>
      </w:r>
    </w:p>
    <w:p w14:paraId="3860A251" w14:textId="77777777" w:rsidR="005451B3" w:rsidRPr="00704C7A" w:rsidRDefault="005451B3" w:rsidP="005451B3">
      <w:pPr>
        <w:rPr>
          <w:rFonts w:asciiTheme="majorBidi" w:hAnsiTheme="majorBidi" w:cstheme="majorBidi"/>
          <w:sz w:val="20"/>
          <w:szCs w:val="20"/>
        </w:rPr>
      </w:pPr>
    </w:p>
    <w:p w14:paraId="1D92A151" w14:textId="27BE8A9A" w:rsidR="002B63D8" w:rsidRPr="00620851" w:rsidRDefault="00DA0774">
      <w:pPr>
        <w:pStyle w:val="Heading2"/>
        <w:rPr>
          <w:rFonts w:asciiTheme="majorBidi" w:hAnsiTheme="majorBidi"/>
        </w:rPr>
      </w:pPr>
      <w:r w:rsidRPr="00620851">
        <w:rPr>
          <w:rFonts w:asciiTheme="majorBidi" w:hAnsiTheme="majorBidi"/>
        </w:rPr>
        <w:t>Phase One: Historical Analysis Using Observed Data (2020–2022)</w:t>
      </w:r>
    </w:p>
    <w:p w14:paraId="1D435075" w14:textId="4637056C" w:rsidR="002B63D8" w:rsidRPr="00620851" w:rsidRDefault="00DA0774">
      <w:pPr>
        <w:pStyle w:val="Heading3"/>
        <w:rPr>
          <w:rFonts w:asciiTheme="majorBidi" w:hAnsiTheme="majorBidi"/>
        </w:rPr>
      </w:pPr>
      <w:r w:rsidRPr="00620851">
        <w:rPr>
          <w:rFonts w:asciiTheme="majorBidi" w:hAnsiTheme="majorBidi"/>
        </w:rPr>
        <w:t>A. Data Acquisition and Preprocessing</w:t>
      </w:r>
    </w:p>
    <w:p w14:paraId="3A725C8A" w14:textId="6CF6567A" w:rsidR="002B63D8" w:rsidRPr="00704C7A" w:rsidRDefault="000E0ED2" w:rsidP="007E0FEA">
      <w:pPr>
        <w:rPr>
          <w:rFonts w:asciiTheme="majorBidi" w:hAnsiTheme="majorBidi" w:cstheme="majorBidi"/>
          <w:sz w:val="20"/>
          <w:szCs w:val="20"/>
        </w:rPr>
      </w:pPr>
      <w:r w:rsidRPr="000E0ED2">
        <w:rPr>
          <w:rFonts w:asciiTheme="majorBidi" w:hAnsiTheme="majorBidi" w:cstheme="majorBidi"/>
          <w:sz w:val="20"/>
          <w:szCs w:val="20"/>
        </w:rPr>
        <w:t>We obtained four main datasets:</w:t>
      </w:r>
      <w:r w:rsidRPr="00704C7A">
        <w:rPr>
          <w:rFonts w:asciiTheme="majorBidi" w:hAnsiTheme="majorBidi" w:cstheme="majorBidi"/>
          <w:sz w:val="20"/>
          <w:szCs w:val="20"/>
        </w:rPr>
        <w:t xml:space="preserve"> Google's UAE Mobility Reports (2020–2022), </w:t>
      </w:r>
      <w:proofErr w:type="spellStart"/>
      <w:r w:rsidRPr="00704C7A">
        <w:rPr>
          <w:rFonts w:asciiTheme="majorBidi" w:hAnsiTheme="majorBidi" w:cstheme="majorBidi"/>
          <w:sz w:val="20"/>
          <w:szCs w:val="20"/>
        </w:rPr>
        <w:t>OpenAQ</w:t>
      </w:r>
      <w:proofErr w:type="spellEnd"/>
      <w:r w:rsidRPr="00704C7A">
        <w:rPr>
          <w:rFonts w:asciiTheme="majorBidi" w:hAnsiTheme="majorBidi" w:cstheme="majorBidi"/>
          <w:sz w:val="20"/>
          <w:szCs w:val="20"/>
        </w:rPr>
        <w:t xml:space="preserve"> ground sensor air quality measurements, satellite pollution </w:t>
      </w:r>
      <w:proofErr w:type="spellStart"/>
      <w:r w:rsidRPr="00704C7A">
        <w:rPr>
          <w:rFonts w:asciiTheme="majorBidi" w:hAnsiTheme="majorBidi" w:cstheme="majorBidi"/>
          <w:sz w:val="20"/>
          <w:szCs w:val="20"/>
        </w:rPr>
        <w:t>rasters</w:t>
      </w:r>
      <w:proofErr w:type="spellEnd"/>
      <w:r w:rsidRPr="00704C7A">
        <w:rPr>
          <w:rFonts w:asciiTheme="majorBidi" w:hAnsiTheme="majorBidi" w:cstheme="majorBidi"/>
          <w:sz w:val="20"/>
          <w:szCs w:val="20"/>
        </w:rPr>
        <w:t xml:space="preserve"> (NO₂, SO₂, aerosol indices), and preliminary regional mobility forecasts. </w:t>
      </w:r>
      <w:r w:rsidR="00482715" w:rsidRPr="00704C7A">
        <w:rPr>
          <w:rFonts w:asciiTheme="majorBidi" w:hAnsiTheme="majorBidi" w:cstheme="majorBidi"/>
          <w:sz w:val="20"/>
          <w:szCs w:val="20"/>
        </w:rPr>
        <w:t>Air quality and mobility data were cleaned, parsed, and time-standardized to monthly intervals. To ensure consistent EPSG 4326 projection, raster datasets were processed using geospatial libraries</w:t>
      </w:r>
      <w:r w:rsidRPr="00704C7A">
        <w:rPr>
          <w:rFonts w:asciiTheme="majorBidi" w:hAnsiTheme="majorBidi" w:cstheme="majorBidi"/>
          <w:sz w:val="20"/>
          <w:szCs w:val="20"/>
        </w:rPr>
        <w:t>. Following spatial pollution monitoring frameworks [3], raster data were clipped to the UAE boundary and preprocessed to mask invalid pixel values.</w:t>
      </w:r>
      <w:r w:rsidR="007E0FEA" w:rsidRPr="00704C7A">
        <w:rPr>
          <w:sz w:val="20"/>
          <w:szCs w:val="20"/>
        </w:rPr>
        <w:t xml:space="preserve"> </w:t>
      </w:r>
      <w:r w:rsidR="007E0FEA" w:rsidRPr="00704C7A">
        <w:rPr>
          <w:rFonts w:asciiTheme="majorBidi" w:hAnsiTheme="majorBidi" w:cstheme="majorBidi"/>
          <w:sz w:val="20"/>
          <w:szCs w:val="20"/>
        </w:rPr>
        <w:t xml:space="preserve">Table I summarizes the datasets utilized in </w:t>
      </w:r>
      <w:r w:rsidR="006B083E" w:rsidRPr="00704C7A">
        <w:rPr>
          <w:rFonts w:asciiTheme="majorBidi" w:hAnsiTheme="majorBidi" w:cstheme="majorBidi"/>
          <w:sz w:val="20"/>
          <w:szCs w:val="20"/>
        </w:rPr>
        <w:t>Phase 1</w:t>
      </w:r>
      <w:r w:rsidR="007E0FEA" w:rsidRPr="00704C7A">
        <w:rPr>
          <w:rFonts w:asciiTheme="majorBidi" w:hAnsiTheme="majorBidi" w:cstheme="majorBidi"/>
          <w:sz w:val="20"/>
          <w:szCs w:val="20"/>
        </w:rPr>
        <w:t>, including their key features and corresponding data sources</w:t>
      </w:r>
      <w:r w:rsidR="006B083E" w:rsidRPr="00704C7A">
        <w:rPr>
          <w:rFonts w:asciiTheme="majorBidi" w:hAnsiTheme="majorBidi" w:cstheme="majorBidi"/>
          <w:sz w:val="20"/>
          <w:szCs w:val="20"/>
        </w:rPr>
        <w:t>:</w:t>
      </w:r>
    </w:p>
    <w:p w14:paraId="510B654B" w14:textId="6D89DC7B" w:rsidR="00774689" w:rsidRPr="00DC3D1F" w:rsidRDefault="00774689" w:rsidP="00774689">
      <w:pPr>
        <w:jc w:val="center"/>
        <w:rPr>
          <w:rFonts w:asciiTheme="majorBidi" w:hAnsiTheme="majorBidi" w:cstheme="majorBidi"/>
          <w:sz w:val="20"/>
          <w:szCs w:val="20"/>
        </w:rPr>
      </w:pPr>
      <w:r w:rsidRPr="00DC3D1F">
        <w:rPr>
          <w:rFonts w:asciiTheme="majorBidi" w:hAnsiTheme="majorBidi" w:cstheme="majorBidi"/>
          <w:sz w:val="20"/>
          <w:szCs w:val="20"/>
        </w:rPr>
        <w:t>TABLE I: Datasets Used for Phase One (Historical Analysis, 2020–2022)</w:t>
      </w:r>
    </w:p>
    <w:tbl>
      <w:tblPr>
        <w:tblStyle w:val="PlainTable2"/>
        <w:tblW w:w="0" w:type="auto"/>
        <w:tblLook w:val="04A0" w:firstRow="1" w:lastRow="0" w:firstColumn="1" w:lastColumn="0" w:noHBand="0" w:noVBand="1"/>
      </w:tblPr>
      <w:tblGrid>
        <w:gridCol w:w="2318"/>
        <w:gridCol w:w="5850"/>
        <w:gridCol w:w="688"/>
      </w:tblGrid>
      <w:tr w:rsidR="007E0FEA" w:rsidRPr="007E0FEA" w14:paraId="7E3369BB" w14:textId="77777777" w:rsidTr="007E0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A754B" w14:textId="77777777" w:rsidR="007E0FEA" w:rsidRPr="007E0FEA" w:rsidRDefault="007E0FEA" w:rsidP="007E0FEA">
            <w:pPr>
              <w:spacing w:after="200" w:line="276" w:lineRule="auto"/>
              <w:rPr>
                <w:rFonts w:asciiTheme="majorBidi" w:hAnsiTheme="majorBidi" w:cstheme="majorBidi"/>
                <w:sz w:val="16"/>
                <w:szCs w:val="16"/>
              </w:rPr>
            </w:pPr>
            <w:r w:rsidRPr="007E0FEA">
              <w:rPr>
                <w:rFonts w:asciiTheme="majorBidi" w:hAnsiTheme="majorBidi" w:cstheme="majorBidi"/>
                <w:sz w:val="16"/>
                <w:szCs w:val="16"/>
              </w:rPr>
              <w:t>Dataset</w:t>
            </w:r>
          </w:p>
        </w:tc>
        <w:tc>
          <w:tcPr>
            <w:tcW w:w="0" w:type="auto"/>
            <w:hideMark/>
          </w:tcPr>
          <w:p w14:paraId="1202868E" w14:textId="77777777" w:rsidR="007E0FEA" w:rsidRPr="007E0FEA" w:rsidRDefault="007E0FEA" w:rsidP="007E0FEA">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7E0FEA">
              <w:rPr>
                <w:rFonts w:asciiTheme="majorBidi" w:hAnsiTheme="majorBidi" w:cstheme="majorBidi"/>
                <w:sz w:val="16"/>
                <w:szCs w:val="16"/>
              </w:rPr>
              <w:t>Features / Variables</w:t>
            </w:r>
          </w:p>
        </w:tc>
        <w:tc>
          <w:tcPr>
            <w:tcW w:w="0" w:type="auto"/>
            <w:hideMark/>
          </w:tcPr>
          <w:p w14:paraId="05F0B3EE" w14:textId="77777777" w:rsidR="007E0FEA" w:rsidRPr="007E0FEA" w:rsidRDefault="007E0FEA" w:rsidP="007E0FEA">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7E0FEA">
              <w:rPr>
                <w:rFonts w:asciiTheme="majorBidi" w:hAnsiTheme="majorBidi" w:cstheme="majorBidi"/>
                <w:sz w:val="16"/>
                <w:szCs w:val="16"/>
              </w:rPr>
              <w:t>Source</w:t>
            </w:r>
          </w:p>
        </w:tc>
      </w:tr>
      <w:tr w:rsidR="007E0FEA" w:rsidRPr="007E0FEA" w14:paraId="70A8F22E" w14:textId="77777777" w:rsidTr="007E0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6C1496" w14:textId="77777777" w:rsidR="007E0FEA" w:rsidRPr="007E0FEA" w:rsidRDefault="007E0FEA" w:rsidP="007E0FEA">
            <w:pPr>
              <w:spacing w:after="200" w:line="276" w:lineRule="auto"/>
              <w:rPr>
                <w:rFonts w:asciiTheme="majorBidi" w:hAnsiTheme="majorBidi" w:cstheme="majorBidi"/>
                <w:sz w:val="16"/>
                <w:szCs w:val="16"/>
              </w:rPr>
            </w:pPr>
            <w:r w:rsidRPr="007E0FEA">
              <w:rPr>
                <w:rFonts w:asciiTheme="majorBidi" w:hAnsiTheme="majorBidi" w:cstheme="majorBidi"/>
                <w:sz w:val="16"/>
                <w:szCs w:val="16"/>
              </w:rPr>
              <w:t>Google Mobility Reports</w:t>
            </w:r>
          </w:p>
        </w:tc>
        <w:tc>
          <w:tcPr>
            <w:tcW w:w="0" w:type="auto"/>
            <w:hideMark/>
          </w:tcPr>
          <w:p w14:paraId="6E5E7676" w14:textId="77777777" w:rsidR="007E0FEA" w:rsidRPr="007E0FEA" w:rsidRDefault="007E0FEA" w:rsidP="007E0FEA">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7E0FEA">
              <w:rPr>
                <w:rFonts w:asciiTheme="majorBidi" w:hAnsiTheme="majorBidi" w:cstheme="majorBidi"/>
                <w:sz w:val="16"/>
                <w:szCs w:val="16"/>
              </w:rPr>
              <w:t>Workplace mobility, Retail mobility, Transit station mobility, Residential mobility trends</w:t>
            </w:r>
          </w:p>
        </w:tc>
        <w:tc>
          <w:tcPr>
            <w:tcW w:w="0" w:type="auto"/>
            <w:hideMark/>
          </w:tcPr>
          <w:p w14:paraId="38F38102" w14:textId="1DECDEA7" w:rsidR="007E0FEA" w:rsidRPr="007E0FEA" w:rsidRDefault="00D9035C" w:rsidP="007E0FEA">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DC3D1F">
              <w:rPr>
                <w:rFonts w:asciiTheme="majorBidi" w:hAnsiTheme="majorBidi" w:cstheme="majorBidi"/>
                <w:sz w:val="16"/>
                <w:szCs w:val="16"/>
              </w:rPr>
              <w:t>[10]</w:t>
            </w:r>
          </w:p>
        </w:tc>
      </w:tr>
      <w:tr w:rsidR="007E0FEA" w:rsidRPr="007E0FEA" w14:paraId="48293540" w14:textId="77777777" w:rsidTr="007E0FEA">
        <w:tc>
          <w:tcPr>
            <w:cnfStyle w:val="001000000000" w:firstRow="0" w:lastRow="0" w:firstColumn="1" w:lastColumn="0" w:oddVBand="0" w:evenVBand="0" w:oddHBand="0" w:evenHBand="0" w:firstRowFirstColumn="0" w:firstRowLastColumn="0" w:lastRowFirstColumn="0" w:lastRowLastColumn="0"/>
            <w:tcW w:w="0" w:type="auto"/>
            <w:hideMark/>
          </w:tcPr>
          <w:p w14:paraId="1C5FC15B" w14:textId="77777777" w:rsidR="007E0FEA" w:rsidRPr="007E0FEA" w:rsidRDefault="007E0FEA" w:rsidP="007E0FEA">
            <w:pPr>
              <w:spacing w:after="200" w:line="276" w:lineRule="auto"/>
              <w:rPr>
                <w:rFonts w:asciiTheme="majorBidi" w:hAnsiTheme="majorBidi" w:cstheme="majorBidi"/>
                <w:sz w:val="16"/>
                <w:szCs w:val="16"/>
              </w:rPr>
            </w:pPr>
            <w:proofErr w:type="spellStart"/>
            <w:r w:rsidRPr="007E0FEA">
              <w:rPr>
                <w:rFonts w:asciiTheme="majorBidi" w:hAnsiTheme="majorBidi" w:cstheme="majorBidi"/>
                <w:sz w:val="16"/>
                <w:szCs w:val="16"/>
              </w:rPr>
              <w:t>OpenAQ</w:t>
            </w:r>
            <w:proofErr w:type="spellEnd"/>
            <w:r w:rsidRPr="007E0FEA">
              <w:rPr>
                <w:rFonts w:asciiTheme="majorBidi" w:hAnsiTheme="majorBidi" w:cstheme="majorBidi"/>
                <w:sz w:val="16"/>
                <w:szCs w:val="16"/>
              </w:rPr>
              <w:t xml:space="preserve"> Air Quality Data</w:t>
            </w:r>
          </w:p>
        </w:tc>
        <w:tc>
          <w:tcPr>
            <w:tcW w:w="0" w:type="auto"/>
            <w:hideMark/>
          </w:tcPr>
          <w:p w14:paraId="2089703D" w14:textId="77777777" w:rsidR="007E0FEA" w:rsidRPr="007E0FEA" w:rsidRDefault="007E0FEA" w:rsidP="007E0FEA">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7E0FEA">
              <w:rPr>
                <w:rFonts w:asciiTheme="majorBidi" w:hAnsiTheme="majorBidi" w:cstheme="majorBidi"/>
                <w:sz w:val="16"/>
                <w:szCs w:val="16"/>
              </w:rPr>
              <w:t>NO₂ concentration, PM2.5 concentration, Timestamp, Location (Latitude, Longitude)</w:t>
            </w:r>
          </w:p>
        </w:tc>
        <w:tc>
          <w:tcPr>
            <w:tcW w:w="0" w:type="auto"/>
            <w:hideMark/>
          </w:tcPr>
          <w:p w14:paraId="53A3A621" w14:textId="322E863F" w:rsidR="007E0FEA" w:rsidRPr="007E0FEA" w:rsidRDefault="00D9035C" w:rsidP="007E0FEA">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DC3D1F">
              <w:rPr>
                <w:rFonts w:asciiTheme="majorBidi" w:hAnsiTheme="majorBidi" w:cstheme="majorBidi"/>
                <w:sz w:val="16"/>
                <w:szCs w:val="16"/>
              </w:rPr>
              <w:t>[11]</w:t>
            </w:r>
          </w:p>
        </w:tc>
      </w:tr>
      <w:tr w:rsidR="007E0FEA" w:rsidRPr="007E0FEA" w14:paraId="11BD79B4" w14:textId="77777777" w:rsidTr="007E0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ECBC5A" w14:textId="77777777" w:rsidR="007E0FEA" w:rsidRPr="007E0FEA" w:rsidRDefault="007E0FEA" w:rsidP="007E0FEA">
            <w:pPr>
              <w:spacing w:after="200" w:line="276" w:lineRule="auto"/>
              <w:rPr>
                <w:rFonts w:asciiTheme="majorBidi" w:hAnsiTheme="majorBidi" w:cstheme="majorBidi"/>
                <w:sz w:val="16"/>
                <w:szCs w:val="16"/>
              </w:rPr>
            </w:pPr>
            <w:r w:rsidRPr="007E0FEA">
              <w:rPr>
                <w:rFonts w:asciiTheme="majorBidi" w:hAnsiTheme="majorBidi" w:cstheme="majorBidi"/>
                <w:sz w:val="16"/>
                <w:szCs w:val="16"/>
              </w:rPr>
              <w:t>Sentinel-5P Pollution Raster Data</w:t>
            </w:r>
          </w:p>
        </w:tc>
        <w:tc>
          <w:tcPr>
            <w:tcW w:w="0" w:type="auto"/>
            <w:hideMark/>
          </w:tcPr>
          <w:p w14:paraId="6802BC4F" w14:textId="77777777" w:rsidR="007E0FEA" w:rsidRPr="007E0FEA" w:rsidRDefault="007E0FEA" w:rsidP="007E0FEA">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7E0FEA">
              <w:rPr>
                <w:rFonts w:asciiTheme="majorBidi" w:hAnsiTheme="majorBidi" w:cstheme="majorBidi"/>
                <w:sz w:val="16"/>
                <w:szCs w:val="16"/>
              </w:rPr>
              <w:t>NO₂ Vertical Column Density, SO₂ Density, Aerosol Index, Multiband raster images (2020–2022)</w:t>
            </w:r>
          </w:p>
        </w:tc>
        <w:tc>
          <w:tcPr>
            <w:tcW w:w="0" w:type="auto"/>
            <w:hideMark/>
          </w:tcPr>
          <w:p w14:paraId="4BFF0707" w14:textId="0F42D2C8" w:rsidR="007E0FEA" w:rsidRPr="007E0FEA" w:rsidRDefault="00D9035C" w:rsidP="007E0FEA">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DC3D1F">
              <w:rPr>
                <w:rFonts w:asciiTheme="majorBidi" w:hAnsiTheme="majorBidi" w:cstheme="majorBidi"/>
                <w:sz w:val="16"/>
                <w:szCs w:val="16"/>
              </w:rPr>
              <w:t>[12]</w:t>
            </w:r>
          </w:p>
        </w:tc>
      </w:tr>
    </w:tbl>
    <w:p w14:paraId="5054F146" w14:textId="77777777" w:rsidR="002B63D8" w:rsidRPr="00620851" w:rsidRDefault="00DA0774">
      <w:pPr>
        <w:pStyle w:val="Heading3"/>
        <w:rPr>
          <w:rFonts w:asciiTheme="majorBidi" w:hAnsiTheme="majorBidi"/>
        </w:rPr>
      </w:pPr>
      <w:r w:rsidRPr="00620851">
        <w:rPr>
          <w:rFonts w:asciiTheme="majorBidi" w:hAnsiTheme="majorBidi"/>
        </w:rPr>
        <w:t xml:space="preserve">B. Feature Engineering and </w:t>
      </w:r>
      <w:proofErr w:type="spellStart"/>
      <w:r w:rsidRPr="00620851">
        <w:rPr>
          <w:rFonts w:asciiTheme="majorBidi" w:hAnsiTheme="majorBidi"/>
        </w:rPr>
        <w:t>Geohashing</w:t>
      </w:r>
      <w:proofErr w:type="spellEnd"/>
    </w:p>
    <w:p w14:paraId="65B8EDC8" w14:textId="09B77F27" w:rsidR="002B63D8" w:rsidRPr="00704C7A" w:rsidRDefault="00FB7383" w:rsidP="00FB7383">
      <w:pPr>
        <w:rPr>
          <w:rFonts w:asciiTheme="majorBidi" w:hAnsiTheme="majorBidi" w:cstheme="majorBidi"/>
          <w:sz w:val="20"/>
          <w:szCs w:val="20"/>
        </w:rPr>
      </w:pPr>
      <w:r w:rsidRPr="00FB7383">
        <w:rPr>
          <w:rFonts w:asciiTheme="majorBidi" w:hAnsiTheme="majorBidi" w:cstheme="majorBidi"/>
          <w:sz w:val="20"/>
          <w:szCs w:val="20"/>
        </w:rPr>
        <w:t xml:space="preserve">Normalized pollution indices, mobility change rates, and spatial interaction terms were produced by feature engineering. </w:t>
      </w:r>
      <w:r w:rsidR="00DC4BFC" w:rsidRPr="00704C7A">
        <w:rPr>
          <w:rFonts w:asciiTheme="majorBidi" w:hAnsiTheme="majorBidi" w:cstheme="majorBidi"/>
          <w:sz w:val="20"/>
          <w:szCs w:val="20"/>
        </w:rPr>
        <w:t>To</w:t>
      </w:r>
      <w:r w:rsidRPr="00FB7383">
        <w:rPr>
          <w:rFonts w:asciiTheme="majorBidi" w:hAnsiTheme="majorBidi" w:cstheme="majorBidi"/>
          <w:sz w:val="20"/>
          <w:szCs w:val="20"/>
        </w:rPr>
        <w:t xml:space="preserve"> facilitate effective spatial aggregation and analysis beyond localized urban zones, latitude and longitude coordinates were </w:t>
      </w:r>
      <w:proofErr w:type="spellStart"/>
      <w:r w:rsidRPr="00FB7383">
        <w:rPr>
          <w:rFonts w:asciiTheme="majorBidi" w:hAnsiTheme="majorBidi" w:cstheme="majorBidi"/>
          <w:sz w:val="20"/>
          <w:szCs w:val="20"/>
        </w:rPr>
        <w:t>geohashed</w:t>
      </w:r>
      <w:proofErr w:type="spellEnd"/>
      <w:r w:rsidRPr="00FB7383">
        <w:rPr>
          <w:rFonts w:asciiTheme="majorBidi" w:hAnsiTheme="majorBidi" w:cstheme="majorBidi"/>
          <w:sz w:val="20"/>
          <w:szCs w:val="20"/>
        </w:rPr>
        <w:t xml:space="preserve"> at a precision of 5–6 characters (about 1–5 km²) [4]. </w:t>
      </w:r>
      <w:r w:rsidRPr="00704C7A">
        <w:rPr>
          <w:rFonts w:asciiTheme="majorBidi" w:hAnsiTheme="majorBidi" w:cstheme="majorBidi"/>
          <w:sz w:val="20"/>
          <w:szCs w:val="20"/>
        </w:rPr>
        <w:t xml:space="preserve">This geospatial discretization enhanced computational tractability and </w:t>
      </w:r>
      <w:r w:rsidR="00DC4BFC" w:rsidRPr="00704C7A">
        <w:rPr>
          <w:rFonts w:asciiTheme="majorBidi" w:hAnsiTheme="majorBidi" w:cstheme="majorBidi"/>
          <w:sz w:val="20"/>
          <w:szCs w:val="20"/>
        </w:rPr>
        <w:t>enabled scaled spatial joins to be performed</w:t>
      </w:r>
      <w:r w:rsidRPr="00704C7A">
        <w:rPr>
          <w:rFonts w:asciiTheme="majorBidi" w:hAnsiTheme="majorBidi" w:cstheme="majorBidi"/>
          <w:sz w:val="20"/>
          <w:szCs w:val="20"/>
        </w:rPr>
        <w:t xml:space="preserve"> throughout the modeling and simulation stages.</w:t>
      </w:r>
    </w:p>
    <w:p w14:paraId="02870C51" w14:textId="77777777" w:rsidR="002B63D8" w:rsidRPr="00620851" w:rsidRDefault="00DA0774">
      <w:pPr>
        <w:pStyle w:val="Heading3"/>
        <w:rPr>
          <w:rFonts w:asciiTheme="majorBidi" w:hAnsiTheme="majorBidi"/>
        </w:rPr>
      </w:pPr>
      <w:r w:rsidRPr="00620851">
        <w:rPr>
          <w:rFonts w:asciiTheme="majorBidi" w:hAnsiTheme="majorBidi"/>
        </w:rPr>
        <w:t>C. Raster Difference Analysis and Validation</w:t>
      </w:r>
    </w:p>
    <w:p w14:paraId="72CC466A" w14:textId="446A97BD" w:rsidR="00EF756D" w:rsidRPr="00704C7A" w:rsidRDefault="00DA0774" w:rsidP="00A0428C">
      <w:pPr>
        <w:rPr>
          <w:rFonts w:asciiTheme="majorBidi" w:hAnsiTheme="majorBidi" w:cstheme="majorBidi"/>
          <w:sz w:val="20"/>
          <w:szCs w:val="20"/>
        </w:rPr>
      </w:pPr>
      <w:r w:rsidRPr="00704C7A">
        <w:rPr>
          <w:rFonts w:asciiTheme="majorBidi" w:hAnsiTheme="majorBidi" w:cstheme="majorBidi"/>
          <w:sz w:val="20"/>
          <w:szCs w:val="20"/>
        </w:rPr>
        <w:t xml:space="preserve">Validation of satellite pollution </w:t>
      </w:r>
      <w:proofErr w:type="spellStart"/>
      <w:r w:rsidRPr="00704C7A">
        <w:rPr>
          <w:rFonts w:asciiTheme="majorBidi" w:hAnsiTheme="majorBidi" w:cstheme="majorBidi"/>
          <w:sz w:val="20"/>
          <w:szCs w:val="20"/>
        </w:rPr>
        <w:t>rasters</w:t>
      </w:r>
      <w:proofErr w:type="spellEnd"/>
      <w:r w:rsidRPr="00704C7A">
        <w:rPr>
          <w:rFonts w:asciiTheme="majorBidi" w:hAnsiTheme="majorBidi" w:cstheme="majorBidi"/>
          <w:sz w:val="20"/>
          <w:szCs w:val="20"/>
        </w:rPr>
        <w:t xml:space="preserve"> across years employed pixel-level statistical analysis. </w:t>
      </w:r>
      <w:r w:rsidR="005A24C6" w:rsidRPr="005A24C6">
        <w:rPr>
          <w:rFonts w:asciiTheme="majorBidi" w:hAnsiTheme="majorBidi" w:cstheme="majorBidi"/>
          <w:sz w:val="20"/>
          <w:szCs w:val="20"/>
        </w:rPr>
        <w:t xml:space="preserve">The Mean Absolute Difference (MAD) </w:t>
      </w:r>
      <w:r w:rsidR="005A24C6">
        <w:rPr>
          <w:rFonts w:asciiTheme="majorBidi" w:hAnsiTheme="majorBidi" w:cstheme="majorBidi"/>
          <w:sz w:val="20"/>
          <w:szCs w:val="20"/>
        </w:rPr>
        <w:t xml:space="preserve">computed </w:t>
      </w:r>
      <w:r w:rsidR="005A24C6" w:rsidRPr="005A24C6">
        <w:rPr>
          <w:rFonts w:asciiTheme="majorBidi" w:hAnsiTheme="majorBidi" w:cstheme="majorBidi"/>
          <w:sz w:val="20"/>
          <w:szCs w:val="20"/>
        </w:rPr>
        <w:t xml:space="preserve">quantifies the average magnitude of pixel-level differences between </w:t>
      </w:r>
      <w:r w:rsidR="005A24C6" w:rsidRPr="005A24C6">
        <w:rPr>
          <w:rFonts w:asciiTheme="majorBidi" w:hAnsiTheme="majorBidi" w:cstheme="majorBidi"/>
          <w:sz w:val="20"/>
          <w:szCs w:val="20"/>
        </w:rPr>
        <w:lastRenderedPageBreak/>
        <w:t>two raster datasets, disregarding directionality. It provides a robust measure of the overall discrepancy between observed and forecasted pollutant concentrations</w:t>
      </w:r>
      <w:r w:rsidR="00A0428C">
        <w:rPr>
          <w:rFonts w:asciiTheme="majorBidi" w:hAnsiTheme="majorBidi" w:cstheme="majorBidi"/>
          <w:sz w:val="20"/>
          <w:szCs w:val="20"/>
        </w:rPr>
        <w:t>.</w:t>
      </w:r>
      <w:r w:rsidR="00A0428C" w:rsidRPr="00A0428C">
        <w:t xml:space="preserve"> </w:t>
      </w:r>
      <w:r w:rsidR="00A0428C" w:rsidRPr="00A0428C">
        <w:rPr>
          <w:rFonts w:asciiTheme="majorBidi" w:hAnsiTheme="majorBidi" w:cstheme="majorBidi"/>
          <w:sz w:val="20"/>
          <w:szCs w:val="20"/>
        </w:rPr>
        <w:t>The MAD is computed as:</w:t>
      </w:r>
    </w:p>
    <w:p w14:paraId="04508059" w14:textId="2ADAE524" w:rsidR="000A062C" w:rsidRPr="00704C7A" w:rsidRDefault="0069647A" w:rsidP="000A062C">
      <w:pPr>
        <w:rPr>
          <w:rFonts w:asciiTheme="majorBidi" w:hAnsiTheme="majorBidi" w:cstheme="majorBidi"/>
          <w:sz w:val="20"/>
          <w:szCs w:val="20"/>
        </w:rPr>
      </w:pPr>
      <m:oMathPara>
        <m:oMath>
          <m:r>
            <w:rPr>
              <w:rFonts w:ascii="Cambria Math" w:hAnsi="Cambria Math" w:cstheme="majorBidi"/>
              <w:sz w:val="20"/>
              <w:szCs w:val="20"/>
            </w:rPr>
            <m:t>MAD=</m:t>
          </m:r>
          <m:f>
            <m:fPr>
              <m:ctrlPr>
                <w:rPr>
                  <w:rFonts w:ascii="Cambria Math" w:hAnsi="Cambria Math" w:cstheme="majorBidi"/>
                  <w:i/>
                  <w:sz w:val="20"/>
                  <w:szCs w:val="20"/>
                </w:rPr>
              </m:ctrlPr>
            </m:fPr>
            <m:num>
              <m:r>
                <w:rPr>
                  <w:rFonts w:ascii="Cambria Math" w:hAnsi="Cambria Math" w:cstheme="majorBidi"/>
                  <w:sz w:val="20"/>
                  <w:szCs w:val="20"/>
                </w:rPr>
                <m:t>1</m:t>
              </m:r>
            </m:num>
            <m:den>
              <m:r>
                <w:rPr>
                  <w:rFonts w:ascii="Cambria Math" w:hAnsi="Cambria Math" w:cstheme="majorBidi"/>
                  <w:sz w:val="20"/>
                  <w:szCs w:val="20"/>
                </w:rPr>
                <m:t>n</m:t>
              </m:r>
            </m:den>
          </m:f>
          <m:nary>
            <m:naryPr>
              <m:chr m:val="∑"/>
              <m:limLoc m:val="undOvr"/>
              <m:ctrlPr>
                <w:rPr>
                  <w:rFonts w:ascii="Cambria Math" w:hAnsi="Cambria Math" w:cstheme="majorBidi"/>
                  <w:i/>
                  <w:sz w:val="20"/>
                  <w:szCs w:val="20"/>
                </w:rPr>
              </m:ctrlPr>
            </m:naryPr>
            <m:sub>
              <m:r>
                <w:rPr>
                  <w:rFonts w:ascii="Cambria Math" w:hAnsi="Cambria Math" w:cstheme="majorBidi"/>
                  <w:sz w:val="20"/>
                  <w:szCs w:val="20"/>
                </w:rPr>
                <m:t>i=1</m:t>
              </m:r>
            </m:sub>
            <m:sup>
              <m:r>
                <w:rPr>
                  <w:rFonts w:ascii="Cambria Math" w:hAnsi="Cambria Math" w:cstheme="majorBidi"/>
                  <w:sz w:val="20"/>
                  <w:szCs w:val="20"/>
                </w:rPr>
                <m:t>n</m:t>
              </m:r>
            </m:sup>
            <m:e>
              <m:d>
                <m:dPr>
                  <m:begChr m:val="|"/>
                  <m:endChr m:val="|"/>
                  <m:ctrlPr>
                    <w:rPr>
                      <w:rFonts w:ascii="Cambria Math"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X</m:t>
                      </m:r>
                    </m:e>
                    <m:sub>
                      <m:r>
                        <w:rPr>
                          <w:rFonts w:ascii="Cambria Math" w:hAnsi="Cambria Math" w:cstheme="majorBidi"/>
                          <w:sz w:val="20"/>
                          <w:szCs w:val="20"/>
                        </w:rPr>
                        <m:t>i</m:t>
                      </m:r>
                    </m:sub>
                  </m:sSub>
                  <m:r>
                    <w:rPr>
                      <w:rFonts w:ascii="Cambria Math" w:hAnsi="Cambria Math" w:cstheme="majorBidi"/>
                      <w:sz w:val="20"/>
                      <w:szCs w:val="20"/>
                    </w:rPr>
                    <m:t>-</m:t>
                  </m:r>
                  <m:sSub>
                    <m:sSubPr>
                      <m:ctrlPr>
                        <w:rPr>
                          <w:rFonts w:ascii="Cambria Math" w:hAnsi="Cambria Math" w:cstheme="majorBidi"/>
                          <w:i/>
                          <w:sz w:val="20"/>
                          <w:szCs w:val="20"/>
                        </w:rPr>
                      </m:ctrlPr>
                    </m:sSubPr>
                    <m:e>
                      <m:r>
                        <m:rPr>
                          <m:scr m:val="script"/>
                        </m:rPr>
                        <w:rPr>
                          <w:rFonts w:ascii="Cambria Math" w:hAnsi="Cambria Math" w:cstheme="majorBidi"/>
                          <w:sz w:val="20"/>
                          <w:szCs w:val="20"/>
                        </w:rPr>
                        <m:t>Y</m:t>
                      </m:r>
                    </m:e>
                    <m:sub>
                      <m:r>
                        <w:rPr>
                          <w:rFonts w:ascii="Cambria Math" w:hAnsi="Cambria Math" w:cstheme="majorBidi"/>
                          <w:sz w:val="20"/>
                          <w:szCs w:val="20"/>
                        </w:rPr>
                        <m:t>i</m:t>
                      </m:r>
                    </m:sub>
                  </m:sSub>
                </m:e>
              </m:d>
            </m:e>
          </m:nary>
          <m:r>
            <m:rPr>
              <m:sty m:val="p"/>
            </m:rPr>
            <w:rPr>
              <w:rFonts w:asciiTheme="majorBidi" w:hAnsiTheme="majorBidi" w:cstheme="majorBidi"/>
              <w:sz w:val="20"/>
              <w:szCs w:val="20"/>
            </w:rPr>
            <w:br/>
          </m:r>
        </m:oMath>
      </m:oMathPara>
      <w:r w:rsidR="001E4FDD">
        <w:rPr>
          <w:rFonts w:asciiTheme="majorBidi" w:hAnsiTheme="majorBidi" w:cstheme="majorBidi"/>
          <w:sz w:val="20"/>
          <w:szCs w:val="20"/>
        </w:rPr>
        <w:t>Where</w:t>
      </w:r>
      <w:r w:rsidRPr="00704C7A">
        <w:rPr>
          <w:rFonts w:asciiTheme="majorBidi" w:hAnsiTheme="majorBidi" w:cstheme="majorBidi"/>
          <w:sz w:val="20"/>
          <w:szCs w:val="20"/>
        </w:rPr>
        <w:t xml:space="preserve"> </w:t>
      </w:r>
      <m:oMath>
        <m:sSub>
          <m:sSubPr>
            <m:ctrlPr>
              <w:rPr>
                <w:rFonts w:ascii="Cambria Math" w:hAnsi="Cambria Math" w:cstheme="majorBidi"/>
                <w:i/>
                <w:sz w:val="20"/>
                <w:szCs w:val="20"/>
              </w:rPr>
            </m:ctrlPr>
          </m:sSubPr>
          <m:e>
            <m:r>
              <m:rPr>
                <m:scr m:val="script"/>
              </m:rPr>
              <w:rPr>
                <w:rFonts w:ascii="Cambria Math" w:hAnsi="Cambria Math" w:cstheme="majorBidi"/>
                <w:sz w:val="20"/>
                <w:szCs w:val="20"/>
              </w:rPr>
              <m:t>X</m:t>
            </m:r>
          </m:e>
          <m:sub>
            <m:r>
              <w:rPr>
                <w:rFonts w:ascii="Cambria Math" w:hAnsi="Cambria Math" w:cstheme="majorBidi"/>
                <w:sz w:val="20"/>
                <w:szCs w:val="20"/>
              </w:rPr>
              <m:t>i</m:t>
            </m:r>
          </m:sub>
        </m:sSub>
      </m:oMath>
      <w:r w:rsidRPr="00704C7A">
        <w:rPr>
          <w:rFonts w:asciiTheme="majorBidi" w:hAnsiTheme="majorBidi" w:cstheme="majorBidi"/>
          <w:sz w:val="20"/>
          <w:szCs w:val="20"/>
        </w:rPr>
        <w:t xml:space="preserve">and </w:t>
      </w:r>
      <m:oMath>
        <m:sSub>
          <m:sSubPr>
            <m:ctrlPr>
              <w:rPr>
                <w:rFonts w:ascii="Cambria Math" w:hAnsi="Cambria Math" w:cstheme="majorBidi"/>
                <w:i/>
                <w:sz w:val="20"/>
                <w:szCs w:val="20"/>
              </w:rPr>
            </m:ctrlPr>
          </m:sSubPr>
          <m:e>
            <m:r>
              <m:rPr>
                <m:scr m:val="script"/>
              </m:rPr>
              <w:rPr>
                <w:rFonts w:ascii="Cambria Math" w:hAnsi="Cambria Math" w:cstheme="majorBidi"/>
                <w:sz w:val="20"/>
                <w:szCs w:val="20"/>
              </w:rPr>
              <m:t>Y</m:t>
            </m:r>
            <m:r>
              <m:rPr>
                <m:sty m:val="p"/>
              </m:rPr>
              <w:rPr>
                <w:rFonts w:ascii="Cambria Math" w:hAnsi="Cambria Math" w:cstheme="majorBidi"/>
                <w:sz w:val="20"/>
                <w:szCs w:val="20"/>
              </w:rPr>
              <m:t xml:space="preserve"> </m:t>
            </m:r>
          </m:e>
          <m:sub>
            <m:r>
              <w:rPr>
                <w:rFonts w:ascii="Cambria Math" w:hAnsi="Cambria Math" w:cstheme="majorBidi"/>
                <w:sz w:val="20"/>
                <w:szCs w:val="20"/>
              </w:rPr>
              <m:t>i</m:t>
            </m:r>
          </m:sub>
        </m:sSub>
      </m:oMath>
      <w:r w:rsidR="00DC4BFC" w:rsidRPr="00704C7A">
        <w:rPr>
          <w:rFonts w:asciiTheme="majorBidi" w:hAnsiTheme="majorBidi" w:cstheme="majorBidi"/>
          <w:sz w:val="20"/>
          <w:szCs w:val="20"/>
        </w:rPr>
        <w:t>The</w:t>
      </w:r>
      <w:r w:rsidRPr="00704C7A">
        <w:rPr>
          <w:rFonts w:asciiTheme="majorBidi" w:hAnsiTheme="majorBidi" w:cstheme="majorBidi"/>
          <w:sz w:val="20"/>
          <w:szCs w:val="20"/>
        </w:rPr>
        <w:t xml:space="preserve"> corresponding pixel intensities in different years. Maximum Absolute Difference (MAXD) was also computed to capture extreme spatial changes [5].</w:t>
      </w:r>
      <w:r w:rsidR="00CD1196" w:rsidRPr="00704C7A">
        <w:rPr>
          <w:sz w:val="20"/>
          <w:szCs w:val="20"/>
        </w:rPr>
        <w:t xml:space="preserve"> </w:t>
      </w:r>
      <w:r w:rsidR="000A062C" w:rsidRPr="00704C7A">
        <w:rPr>
          <w:rFonts w:asciiTheme="majorBidi" w:hAnsiTheme="majorBidi" w:cstheme="majorBidi"/>
          <w:sz w:val="20"/>
          <w:szCs w:val="20"/>
        </w:rPr>
        <w:t>In addition to reducing satellite noise, this ensured that the raster layers utilized for analysis caught actual atmospheric fluctuations.</w:t>
      </w:r>
    </w:p>
    <w:p w14:paraId="48DA62B4" w14:textId="77777777" w:rsidR="002B63D8" w:rsidRPr="00620851" w:rsidRDefault="00DA0774">
      <w:pPr>
        <w:pStyle w:val="Heading3"/>
        <w:rPr>
          <w:rFonts w:asciiTheme="majorBidi" w:hAnsiTheme="majorBidi"/>
        </w:rPr>
      </w:pPr>
      <w:r w:rsidRPr="00620851">
        <w:rPr>
          <w:rFonts w:asciiTheme="majorBidi" w:hAnsiTheme="majorBidi"/>
        </w:rPr>
        <w:t>D. Clustering Analysis and Optimal Cluster Selection</w:t>
      </w:r>
    </w:p>
    <w:p w14:paraId="7D095CE4" w14:textId="0E8315D0" w:rsidR="002B63D8" w:rsidRPr="00620851" w:rsidRDefault="00DC4BFC" w:rsidP="000E2D89">
      <w:pPr>
        <w:rPr>
          <w:rFonts w:asciiTheme="majorBidi" w:hAnsiTheme="majorBidi" w:cstheme="majorBidi"/>
        </w:rPr>
      </w:pPr>
      <w:r w:rsidRPr="00DC4BFC">
        <w:rPr>
          <w:rFonts w:asciiTheme="majorBidi" w:hAnsiTheme="majorBidi" w:cstheme="majorBidi"/>
          <w:sz w:val="20"/>
          <w:szCs w:val="20"/>
        </w:rPr>
        <w:t xml:space="preserve">After normalizing all variables, the mobility-pollution geohash </w:t>
      </w:r>
      <w:r w:rsidRPr="00704C7A">
        <w:rPr>
          <w:rFonts w:asciiTheme="majorBidi" w:hAnsiTheme="majorBidi" w:cstheme="majorBidi"/>
          <w:sz w:val="20"/>
          <w:szCs w:val="20"/>
        </w:rPr>
        <w:t>features</w:t>
      </w:r>
      <w:r w:rsidRPr="00DC4BFC">
        <w:rPr>
          <w:rFonts w:asciiTheme="majorBidi" w:hAnsiTheme="majorBidi" w:cstheme="majorBidi"/>
          <w:sz w:val="20"/>
          <w:szCs w:val="20"/>
        </w:rPr>
        <w:t xml:space="preserve"> were subjected to K-Means clustering </w:t>
      </w:r>
      <w:r w:rsidRPr="00704C7A">
        <w:rPr>
          <w:rFonts w:asciiTheme="majorBidi" w:hAnsiTheme="majorBidi" w:cstheme="majorBidi"/>
          <w:sz w:val="20"/>
          <w:szCs w:val="20"/>
        </w:rPr>
        <w:t>to</w:t>
      </w:r>
      <w:r w:rsidRPr="00DC4BFC">
        <w:rPr>
          <w:rFonts w:asciiTheme="majorBidi" w:hAnsiTheme="majorBidi" w:cstheme="majorBidi"/>
          <w:sz w:val="20"/>
          <w:szCs w:val="20"/>
        </w:rPr>
        <w:t xml:space="preserve"> reveal underlying urban trends. </w:t>
      </w:r>
      <w:r w:rsidRPr="00704C7A">
        <w:rPr>
          <w:rFonts w:asciiTheme="majorBidi" w:hAnsiTheme="majorBidi" w:cstheme="majorBidi"/>
          <w:sz w:val="20"/>
          <w:szCs w:val="20"/>
        </w:rPr>
        <w:t xml:space="preserve">The optimal number of clusters was selected using the Elbow Method, minimizing within-cluster sum of squares and balancing model complexity and interpretability [6]. </w:t>
      </w:r>
      <w:r w:rsidR="002C5804" w:rsidRPr="00704C7A">
        <w:rPr>
          <w:rFonts w:asciiTheme="majorBidi" w:hAnsiTheme="majorBidi" w:cstheme="majorBidi"/>
          <w:sz w:val="20"/>
          <w:szCs w:val="20"/>
        </w:rPr>
        <w:t>The formal expression for K-Means clustering is to minimize the variance inside each cluster, which is as follows:</w:t>
      </w:r>
      <w:r w:rsidRPr="00704C7A">
        <w:rPr>
          <w:rFonts w:asciiTheme="majorBidi" w:hAnsiTheme="majorBidi" w:cstheme="majorBidi"/>
          <w:sz w:val="20"/>
          <w:szCs w:val="20"/>
        </w:rPr>
        <w:br/>
      </w:r>
      <m:oMathPara>
        <m:oMath>
          <m:func>
            <m:funcPr>
              <m:ctrlPr>
                <w:rPr>
                  <w:rFonts w:ascii="Cambria Math" w:hAnsi="Cambria Math" w:cstheme="majorBidi"/>
                  <w:i/>
                  <w:sz w:val="20"/>
                  <w:szCs w:val="20"/>
                </w:rPr>
              </m:ctrlPr>
            </m:funcPr>
            <m:fName>
              <m:sSub>
                <m:sSubPr>
                  <m:ctrlPr>
                    <w:rPr>
                      <w:rFonts w:ascii="Cambria Math" w:hAnsi="Cambria Math" w:cstheme="majorBidi"/>
                      <w:sz w:val="20"/>
                      <w:szCs w:val="20"/>
                    </w:rPr>
                  </m:ctrlPr>
                </m:sSubPr>
                <m:e>
                  <m:r>
                    <w:rPr>
                      <w:rFonts w:ascii="Cambria Math" w:hAnsi="Cambria Math" w:cstheme="majorBidi"/>
                      <w:sz w:val="20"/>
                      <w:szCs w:val="20"/>
                    </w:rPr>
                    <m:t>arg</m:t>
                  </m:r>
                </m:e>
                <m:sub>
                  <m:r>
                    <w:rPr>
                      <w:rFonts w:ascii="Cambria Math" w:hAnsi="Cambria Math" w:cstheme="majorBidi"/>
                      <w:sz w:val="20"/>
                      <w:szCs w:val="20"/>
                    </w:rPr>
                    <m:t>S</m:t>
                  </m:r>
                </m:sub>
              </m:sSub>
            </m:fName>
            <m:e>
              <m:func>
                <m:funcPr>
                  <m:ctrlPr>
                    <w:rPr>
                      <w:rFonts w:ascii="Cambria Math" w:hAnsi="Cambria Math" w:cstheme="majorBidi"/>
                      <w:i/>
                      <w:sz w:val="20"/>
                      <w:szCs w:val="20"/>
                    </w:rPr>
                  </m:ctrlPr>
                </m:funcPr>
                <m:fName>
                  <m:r>
                    <m:rPr>
                      <m:sty m:val="p"/>
                    </m:rPr>
                    <w:rPr>
                      <w:rFonts w:ascii="Cambria Math" w:hAnsi="Cambria Math" w:cstheme="majorBidi"/>
                      <w:sz w:val="20"/>
                      <w:szCs w:val="20"/>
                    </w:rPr>
                    <m:t>min</m:t>
                  </m:r>
                </m:fName>
                <m:e>
                  <m:r>
                    <w:rPr>
                      <w:rFonts w:ascii="Cambria Math" w:hAnsi="Cambria Math" w:cstheme="majorBidi"/>
                      <w:sz w:val="20"/>
                      <w:szCs w:val="20"/>
                    </w:rPr>
                    <m:t xml:space="preserve"> </m:t>
                  </m:r>
                  <m:nary>
                    <m:naryPr>
                      <m:chr m:val="∑"/>
                      <m:limLoc m:val="undOvr"/>
                      <m:ctrlPr>
                        <w:rPr>
                          <w:rFonts w:ascii="Cambria Math" w:hAnsi="Cambria Math" w:cstheme="majorBidi"/>
                          <w:i/>
                          <w:sz w:val="20"/>
                          <w:szCs w:val="20"/>
                        </w:rPr>
                      </m:ctrlPr>
                    </m:naryPr>
                    <m:sub>
                      <m:r>
                        <w:rPr>
                          <w:rFonts w:ascii="Cambria Math" w:hAnsi="Cambria Math" w:cstheme="majorBidi"/>
                          <w:sz w:val="20"/>
                          <w:szCs w:val="20"/>
                        </w:rPr>
                        <m:t>i=1</m:t>
                      </m:r>
                    </m:sub>
                    <m:sup>
                      <m:r>
                        <w:rPr>
                          <w:rFonts w:ascii="Cambria Math" w:hAnsi="Cambria Math" w:cstheme="majorBidi"/>
                          <w:sz w:val="20"/>
                          <w:szCs w:val="20"/>
                        </w:rPr>
                        <m:t>k</m:t>
                      </m:r>
                    </m:sup>
                    <m:e>
                      <m:nary>
                        <m:naryPr>
                          <m:chr m:val="∑"/>
                          <m:limLoc m:val="undOvr"/>
                          <m:supHide m:val="1"/>
                          <m:ctrlPr>
                            <w:rPr>
                              <w:rFonts w:ascii="Cambria Math" w:hAnsi="Cambria Math" w:cstheme="majorBidi"/>
                              <w:i/>
                              <w:sz w:val="20"/>
                              <w:szCs w:val="20"/>
                            </w:rPr>
                          </m:ctrlPr>
                        </m:naryPr>
                        <m:sub>
                          <m:r>
                            <m:rPr>
                              <m:scr m:val="script"/>
                            </m:rPr>
                            <w:rPr>
                              <w:rFonts w:ascii="Cambria Math" w:hAnsi="Cambria Math" w:cstheme="majorBidi"/>
                              <w:sz w:val="20"/>
                              <w:szCs w:val="20"/>
                            </w:rPr>
                            <m:t>X∈</m:t>
                          </m:r>
                          <m:sSub>
                            <m:sSubPr>
                              <m:ctrlPr>
                                <w:rPr>
                                  <w:rFonts w:ascii="Cambria Math" w:hAnsi="Cambria Math" w:cstheme="majorBidi"/>
                                  <w:i/>
                                  <w:sz w:val="20"/>
                                  <w:szCs w:val="20"/>
                                </w:rPr>
                              </m:ctrlPr>
                            </m:sSubPr>
                            <m:e>
                              <m:r>
                                <w:rPr>
                                  <w:rFonts w:ascii="Cambria Math" w:hAnsi="Cambria Math" w:cstheme="majorBidi"/>
                                  <w:sz w:val="20"/>
                                  <w:szCs w:val="20"/>
                                </w:rPr>
                                <m:t>S</m:t>
                              </m:r>
                            </m:e>
                            <m:sub>
                              <m:r>
                                <w:rPr>
                                  <w:rFonts w:ascii="Cambria Math" w:hAnsi="Cambria Math" w:cstheme="majorBidi"/>
                                  <w:sz w:val="20"/>
                                  <w:szCs w:val="20"/>
                                </w:rPr>
                                <m:t>i</m:t>
                              </m:r>
                            </m:sub>
                          </m:sSub>
                        </m:sub>
                        <m:sup/>
                        <m:e>
                          <m:sSup>
                            <m:sSupPr>
                              <m:ctrlPr>
                                <w:rPr>
                                  <w:rFonts w:ascii="Cambria Math" w:hAnsi="Cambria Math" w:cstheme="majorBidi"/>
                                  <w:i/>
                                  <w:sz w:val="20"/>
                                  <w:szCs w:val="20"/>
                                </w:rPr>
                              </m:ctrlPr>
                            </m:sSupPr>
                            <m:e>
                              <m:d>
                                <m:dPr>
                                  <m:begChr m:val="‖"/>
                                  <m:endChr m:val="‖"/>
                                  <m:ctrlPr>
                                    <w:rPr>
                                      <w:rFonts w:ascii="Cambria Math" w:hAnsi="Cambria Math" w:cstheme="majorBidi"/>
                                      <w:i/>
                                      <w:sz w:val="20"/>
                                      <w:szCs w:val="20"/>
                                    </w:rPr>
                                  </m:ctrlPr>
                                </m:dPr>
                                <m:e>
                                  <m:r>
                                    <m:rPr>
                                      <m:scr m:val="script"/>
                                    </m:rPr>
                                    <w:rPr>
                                      <w:rFonts w:ascii="Cambria Math" w:hAnsi="Cambria Math" w:cstheme="majorBidi"/>
                                      <w:sz w:val="20"/>
                                      <w:szCs w:val="20"/>
                                    </w:rPr>
                                    <m:t>X-</m:t>
                                  </m:r>
                                  <m:sSub>
                                    <m:sSubPr>
                                      <m:ctrlPr>
                                        <w:rPr>
                                          <w:rFonts w:ascii="Cambria Math" w:hAnsi="Cambria Math" w:cstheme="majorBidi"/>
                                          <w:i/>
                                          <w:sz w:val="20"/>
                                          <w:szCs w:val="20"/>
                                        </w:rPr>
                                      </m:ctrlPr>
                                    </m:sSubPr>
                                    <m:e>
                                      <m:r>
                                        <w:rPr>
                                          <w:rFonts w:ascii="Cambria Math" w:hAnsi="Cambria Math" w:cstheme="majorBidi"/>
                                          <w:sz w:val="20"/>
                                          <w:szCs w:val="20"/>
                                        </w:rPr>
                                        <m:t>μ</m:t>
                                      </m:r>
                                    </m:e>
                                    <m:sub>
                                      <m:r>
                                        <w:rPr>
                                          <w:rFonts w:ascii="Cambria Math" w:hAnsi="Cambria Math" w:cstheme="majorBidi"/>
                                          <w:sz w:val="20"/>
                                          <w:szCs w:val="20"/>
                                        </w:rPr>
                                        <m:t>i</m:t>
                                      </m:r>
                                    </m:sub>
                                  </m:sSub>
                                </m:e>
                              </m:d>
                            </m:e>
                            <m:sup>
                              <m:r>
                                <w:rPr>
                                  <w:rFonts w:ascii="Cambria Math" w:hAnsi="Cambria Math" w:cstheme="majorBidi"/>
                                  <w:sz w:val="20"/>
                                  <w:szCs w:val="20"/>
                                </w:rPr>
                                <m:t>2</m:t>
                              </m:r>
                            </m:sup>
                          </m:sSup>
                        </m:e>
                      </m:nary>
                    </m:e>
                  </m:nary>
                </m:e>
              </m:func>
              <m:r>
                <w:rPr>
                  <w:rFonts w:ascii="Cambria Math" w:hAnsi="Cambria Math" w:cstheme="majorBidi"/>
                  <w:sz w:val="20"/>
                  <w:szCs w:val="20"/>
                </w:rPr>
                <m:t xml:space="preserve"> </m:t>
              </m:r>
            </m:e>
          </m:func>
        </m:oMath>
      </m:oMathPara>
    </w:p>
    <w:p w14:paraId="2BBCF719" w14:textId="0379A424" w:rsidR="00CD1196" w:rsidRPr="00704C7A" w:rsidRDefault="00CD1196" w:rsidP="00CD1196">
      <w:pPr>
        <w:pStyle w:val="Heading3"/>
        <w:rPr>
          <w:rFonts w:asciiTheme="majorBidi" w:hAnsiTheme="majorBidi"/>
          <w:b w:val="0"/>
          <w:bCs w:val="0"/>
          <w:color w:val="auto"/>
          <w:sz w:val="20"/>
          <w:szCs w:val="20"/>
        </w:rPr>
      </w:pPr>
      <w:r w:rsidRPr="00704C7A">
        <w:rPr>
          <w:rFonts w:asciiTheme="majorBidi" w:hAnsiTheme="majorBidi"/>
          <w:b w:val="0"/>
          <w:bCs w:val="0"/>
          <w:color w:val="auto"/>
          <w:sz w:val="20"/>
          <w:szCs w:val="20"/>
        </w:rPr>
        <w:t xml:space="preserve">where </w:t>
      </w:r>
      <m:oMath>
        <m:sSub>
          <m:sSubPr>
            <m:ctrlPr>
              <w:rPr>
                <w:rFonts w:ascii="Cambria Math" w:hAnsi="Cambria Math"/>
                <w:b w:val="0"/>
                <w:bCs w:val="0"/>
                <w:i/>
                <w:color w:val="auto"/>
                <w:sz w:val="20"/>
                <w:szCs w:val="20"/>
              </w:rPr>
            </m:ctrlPr>
          </m:sSubPr>
          <m:e>
            <m:r>
              <m:rPr>
                <m:sty m:val="bi"/>
              </m:rPr>
              <w:rPr>
                <w:rFonts w:ascii="Cambria Math" w:hAnsi="Cambria Math"/>
                <w:color w:val="auto"/>
                <w:sz w:val="20"/>
                <w:szCs w:val="20"/>
              </w:rPr>
              <m:t>μ</m:t>
            </m:r>
          </m:e>
          <m:sub>
            <m:r>
              <m:rPr>
                <m:sty m:val="bi"/>
              </m:rPr>
              <w:rPr>
                <w:rFonts w:ascii="Cambria Math" w:hAnsi="Cambria Math"/>
                <w:color w:val="auto"/>
                <w:sz w:val="20"/>
                <w:szCs w:val="20"/>
              </w:rPr>
              <m:t>i</m:t>
            </m:r>
          </m:sub>
        </m:sSub>
      </m:oMath>
      <w:r w:rsidRPr="00704C7A">
        <w:rPr>
          <w:rFonts w:asciiTheme="majorBidi" w:hAnsiTheme="majorBidi"/>
          <w:b w:val="0"/>
          <w:bCs w:val="0"/>
          <w:color w:val="auto"/>
          <w:sz w:val="20"/>
          <w:szCs w:val="20"/>
        </w:rPr>
        <w:t xml:space="preserve">represents the centroid of </w:t>
      </w:r>
      <w:r w:rsidR="00DC4BFC" w:rsidRPr="00704C7A">
        <w:rPr>
          <w:rFonts w:asciiTheme="majorBidi" w:hAnsiTheme="majorBidi"/>
          <w:b w:val="0"/>
          <w:bCs w:val="0"/>
          <w:color w:val="auto"/>
          <w:sz w:val="20"/>
          <w:szCs w:val="20"/>
        </w:rPr>
        <w:t xml:space="preserve">the </w:t>
      </w:r>
      <w:r w:rsidRPr="00704C7A">
        <w:rPr>
          <w:rFonts w:asciiTheme="majorBidi" w:hAnsiTheme="majorBidi"/>
          <w:b w:val="0"/>
          <w:bCs w:val="0"/>
          <w:color w:val="auto"/>
          <w:sz w:val="20"/>
          <w:szCs w:val="20"/>
        </w:rPr>
        <w:t xml:space="preserve">cluster </w:t>
      </w:r>
      <m:oMath>
        <m:sSub>
          <m:sSubPr>
            <m:ctrlPr>
              <w:rPr>
                <w:rFonts w:ascii="Cambria Math" w:hAnsi="Cambria Math"/>
                <w:b w:val="0"/>
                <w:bCs w:val="0"/>
                <w:i/>
                <w:color w:val="auto"/>
                <w:sz w:val="20"/>
                <w:szCs w:val="20"/>
              </w:rPr>
            </m:ctrlPr>
          </m:sSubPr>
          <m:e>
            <m:r>
              <m:rPr>
                <m:sty m:val="bi"/>
              </m:rPr>
              <w:rPr>
                <w:rFonts w:ascii="Cambria Math" w:hAnsi="Cambria Math"/>
                <w:color w:val="auto"/>
                <w:sz w:val="20"/>
                <w:szCs w:val="20"/>
              </w:rPr>
              <m:t>S</m:t>
            </m:r>
          </m:e>
          <m:sub>
            <m:r>
              <m:rPr>
                <m:sty m:val="bi"/>
              </m:rPr>
              <w:rPr>
                <w:rFonts w:ascii="Cambria Math" w:hAnsi="Cambria Math"/>
                <w:color w:val="auto"/>
                <w:sz w:val="20"/>
                <w:szCs w:val="20"/>
              </w:rPr>
              <m:t>i</m:t>
            </m:r>
          </m:sub>
        </m:sSub>
      </m:oMath>
      <w:r w:rsidRPr="00704C7A">
        <w:rPr>
          <w:rFonts w:asciiTheme="majorBidi" w:hAnsiTheme="majorBidi"/>
          <w:b w:val="0"/>
          <w:bCs w:val="0"/>
          <w:color w:val="auto"/>
          <w:sz w:val="20"/>
          <w:szCs w:val="20"/>
        </w:rPr>
        <w:t>​.</w:t>
      </w:r>
    </w:p>
    <w:p w14:paraId="6B3D9E4C" w14:textId="0C8D81E5" w:rsidR="002B63D8" w:rsidRPr="00620851" w:rsidRDefault="00DA0774">
      <w:pPr>
        <w:pStyle w:val="Heading3"/>
        <w:rPr>
          <w:rFonts w:asciiTheme="majorBidi" w:hAnsiTheme="majorBidi"/>
        </w:rPr>
      </w:pPr>
      <w:r w:rsidRPr="00620851">
        <w:rPr>
          <w:rFonts w:asciiTheme="majorBidi" w:hAnsiTheme="majorBidi"/>
        </w:rPr>
        <w:t>E. Predictive Modeling with Linear Regression</w:t>
      </w:r>
    </w:p>
    <w:p w14:paraId="35EEB309" w14:textId="5BC1A920" w:rsidR="002B63D8" w:rsidRPr="00704C7A" w:rsidRDefault="000E2D89" w:rsidP="000E2D89">
      <w:pPr>
        <w:rPr>
          <w:rFonts w:asciiTheme="majorBidi" w:hAnsiTheme="majorBidi" w:cstheme="majorBidi"/>
          <w:sz w:val="20"/>
          <w:szCs w:val="20"/>
        </w:rPr>
      </w:pPr>
      <w:r w:rsidRPr="000E2D89">
        <w:rPr>
          <w:rFonts w:asciiTheme="majorBidi" w:hAnsiTheme="majorBidi" w:cstheme="majorBidi"/>
          <w:sz w:val="20"/>
          <w:szCs w:val="20"/>
        </w:rPr>
        <w:t xml:space="preserve">OLS linear regression was used to estimate the annualized workplace mobility and NO₂ averages for 2020–2022. The fit was assessed using the coefficient of determination </w:t>
      </w:r>
      <w:r w:rsidRPr="00704C7A">
        <w:rPr>
          <w:rFonts w:asciiTheme="majorBidi" w:hAnsiTheme="majorBidi" w:cstheme="majorBidi"/>
          <w:sz w:val="20"/>
          <w:szCs w:val="20"/>
        </w:rPr>
        <w:t>(R² score). OLS linear regression was used to estimate the annualized workplace mobility and NO₂ averages for 2020–2022. For Phase Two validation, baseline estimates were generated by extrapolating to 2023–2025.</w:t>
      </w:r>
    </w:p>
    <w:p w14:paraId="215729A0" w14:textId="77777777" w:rsidR="002B63D8" w:rsidRDefault="00DA0774">
      <w:pPr>
        <w:pStyle w:val="Heading3"/>
        <w:rPr>
          <w:rFonts w:asciiTheme="majorBidi" w:hAnsiTheme="majorBidi"/>
        </w:rPr>
      </w:pPr>
      <w:r w:rsidRPr="00620851">
        <w:rPr>
          <w:rFonts w:asciiTheme="majorBidi" w:hAnsiTheme="majorBidi"/>
        </w:rPr>
        <w:t>F. Simulation Framework and Boosting Techniques</w:t>
      </w:r>
    </w:p>
    <w:p w14:paraId="7C351301" w14:textId="60CF4C11" w:rsidR="002F2AB3" w:rsidRPr="00704C7A" w:rsidRDefault="002F2AB3" w:rsidP="002F2AB3">
      <w:pPr>
        <w:spacing w:after="0" w:line="240" w:lineRule="auto"/>
        <w:rPr>
          <w:rFonts w:ascii="Times New Roman" w:eastAsia="Times New Roman" w:hAnsi="Times New Roman" w:cs="Times New Roman"/>
          <w:sz w:val="20"/>
          <w:szCs w:val="20"/>
        </w:rPr>
      </w:pPr>
      <w:r w:rsidRPr="00704C7A">
        <w:rPr>
          <w:rFonts w:ascii="Times New Roman" w:eastAsia="Times New Roman" w:hAnsi="Times New Roman" w:cs="Times New Roman"/>
          <w:sz w:val="20"/>
          <w:szCs w:val="20"/>
        </w:rPr>
        <w:t>We created a simulation framework with three synthetic scenarios to evaluate the model's resilience:</w:t>
      </w:r>
    </w:p>
    <w:p w14:paraId="2275FDD2" w14:textId="77777777" w:rsidR="002F2AB3" w:rsidRPr="00704C7A" w:rsidRDefault="002F2AB3" w:rsidP="002F2AB3">
      <w:pPr>
        <w:spacing w:after="0" w:line="240" w:lineRule="auto"/>
        <w:rPr>
          <w:rFonts w:ascii="Times New Roman" w:eastAsia="Times New Roman" w:hAnsi="Times New Roman" w:cs="Times New Roman"/>
          <w:sz w:val="20"/>
          <w:szCs w:val="20"/>
        </w:rPr>
      </w:pPr>
    </w:p>
    <w:p w14:paraId="507A726B" w14:textId="5F87753A" w:rsidR="00B610BC" w:rsidRPr="00704C7A" w:rsidRDefault="00D8215C" w:rsidP="00B610BC">
      <w:pPr>
        <w:numPr>
          <w:ilvl w:val="0"/>
          <w:numId w:val="11"/>
        </w:numPr>
        <w:rPr>
          <w:rFonts w:asciiTheme="majorBidi" w:hAnsiTheme="majorBidi" w:cstheme="majorBidi"/>
          <w:sz w:val="20"/>
          <w:szCs w:val="20"/>
        </w:rPr>
      </w:pPr>
      <w:r w:rsidRPr="00D8215C">
        <w:rPr>
          <w:rFonts w:asciiTheme="majorBidi" w:hAnsiTheme="majorBidi" w:cstheme="majorBidi"/>
          <w:b/>
          <w:bCs/>
          <w:sz w:val="20"/>
          <w:szCs w:val="20"/>
        </w:rPr>
        <w:t>Synthetic Mobility Scenarios</w:t>
      </w:r>
      <w:r w:rsidRPr="00D8215C">
        <w:rPr>
          <w:rFonts w:asciiTheme="majorBidi" w:hAnsiTheme="majorBidi" w:cstheme="majorBidi"/>
          <w:sz w:val="20"/>
          <w:szCs w:val="20"/>
        </w:rPr>
        <w:br/>
        <w:t xml:space="preserve">We introduced controlled variations in observed mobility data </w:t>
      </w:r>
      <m:oMath>
        <m:sSub>
          <m:sSubPr>
            <m:ctrlPr>
              <w:rPr>
                <w:rFonts w:ascii="Cambria Math" w:hAnsi="Cambria Math" w:cstheme="majorBidi"/>
                <w:i/>
                <w:sz w:val="20"/>
                <w:szCs w:val="20"/>
              </w:rPr>
            </m:ctrlPr>
          </m:sSubPr>
          <m:e>
            <m:r>
              <w:rPr>
                <w:rFonts w:ascii="Cambria Math" w:hAnsi="Cambria Math" w:cstheme="majorBidi"/>
                <w:sz w:val="20"/>
                <w:szCs w:val="20"/>
              </w:rPr>
              <m:t>M</m:t>
            </m:r>
          </m:e>
          <m:sub>
            <m:r>
              <w:rPr>
                <w:rFonts w:ascii="Cambria Math" w:hAnsi="Cambria Math" w:cstheme="majorBidi"/>
                <w:sz w:val="20"/>
                <w:szCs w:val="20"/>
              </w:rPr>
              <m:t>obs</m:t>
            </m:r>
          </m:sub>
        </m:sSub>
        <m:r>
          <w:rPr>
            <w:rFonts w:ascii="Cambria Math" w:hAnsi="Cambria Math" w:cstheme="majorBidi"/>
            <w:sz w:val="20"/>
            <w:szCs w:val="20"/>
          </w:rPr>
          <m:t xml:space="preserve"> </m:t>
        </m:r>
      </m:oMath>
      <w:r w:rsidR="00DC4BFC" w:rsidRPr="00D8215C">
        <w:rPr>
          <w:rFonts w:asciiTheme="majorBidi" w:hAnsiTheme="majorBidi" w:cstheme="majorBidi"/>
          <w:sz w:val="20"/>
          <w:szCs w:val="20"/>
        </w:rPr>
        <w:t>to simulate</w:t>
      </w:r>
      <w:r w:rsidR="00DC4BFC" w:rsidRPr="00704C7A">
        <w:rPr>
          <w:rFonts w:asciiTheme="majorBidi" w:hAnsiTheme="majorBidi" w:cstheme="majorBidi"/>
          <w:sz w:val="20"/>
          <w:szCs w:val="20"/>
        </w:rPr>
        <w:t xml:space="preserve"> </w:t>
      </w:r>
      <w:r w:rsidRPr="00D8215C">
        <w:rPr>
          <w:rFonts w:asciiTheme="majorBidi" w:hAnsiTheme="majorBidi" w:cstheme="majorBidi"/>
          <w:sz w:val="20"/>
          <w:szCs w:val="20"/>
        </w:rPr>
        <w:t xml:space="preserve">fluctuations in urban movement. The synthetic mobility </w:t>
      </w:r>
      <m:oMath>
        <m:sSub>
          <m:sSubPr>
            <m:ctrlPr>
              <w:rPr>
                <w:rFonts w:ascii="Cambria Math" w:hAnsi="Cambria Math" w:cstheme="majorBidi"/>
                <w:i/>
                <w:sz w:val="20"/>
                <w:szCs w:val="20"/>
              </w:rPr>
            </m:ctrlPr>
          </m:sSubPr>
          <m:e>
            <m:r>
              <w:rPr>
                <w:rFonts w:ascii="Cambria Math" w:hAnsi="Cambria Math" w:cstheme="majorBidi"/>
                <w:sz w:val="20"/>
                <w:szCs w:val="20"/>
              </w:rPr>
              <m:t>M</m:t>
            </m:r>
          </m:e>
          <m:sub>
            <m:r>
              <w:rPr>
                <w:rFonts w:ascii="Cambria Math" w:hAnsi="Cambria Math" w:cstheme="majorBidi"/>
                <w:sz w:val="20"/>
                <w:szCs w:val="20"/>
              </w:rPr>
              <m:t>sim</m:t>
            </m:r>
          </m:sub>
        </m:sSub>
      </m:oMath>
      <w:r w:rsidR="00DC4BFC" w:rsidRPr="00704C7A">
        <w:rPr>
          <w:rFonts w:asciiTheme="majorBidi" w:hAnsiTheme="majorBidi" w:cstheme="majorBidi"/>
          <w:sz w:val="20"/>
          <w:szCs w:val="20"/>
        </w:rPr>
        <w:t>Was</w:t>
      </w:r>
      <w:r w:rsidRPr="00D8215C">
        <w:rPr>
          <w:rFonts w:asciiTheme="majorBidi" w:hAnsiTheme="majorBidi" w:cstheme="majorBidi"/>
          <w:sz w:val="20"/>
          <w:szCs w:val="20"/>
        </w:rPr>
        <w:t xml:space="preserve"> generated by applying proportional adjustments:</w:t>
      </w:r>
    </w:p>
    <w:p w14:paraId="6473DD49" w14:textId="4BFD1EBF" w:rsidR="00B610BC" w:rsidRPr="00704C7A" w:rsidRDefault="005B7D8F" w:rsidP="00B610BC">
      <w:pPr>
        <w:ind w:left="360"/>
        <w:jc w:val="center"/>
        <w:rPr>
          <w:rFonts w:asciiTheme="majorBidi" w:hAnsiTheme="majorBidi" w:cstheme="majorBidi"/>
          <w:sz w:val="20"/>
          <w:szCs w:val="20"/>
        </w:rPr>
      </w:pPr>
      <m:oMathPara>
        <m:oMath>
          <m:sSub>
            <m:sSubPr>
              <m:ctrlPr>
                <w:rPr>
                  <w:rFonts w:ascii="Cambria Math" w:hAnsi="Cambria Math" w:cstheme="majorBidi"/>
                  <w:i/>
                  <w:sz w:val="20"/>
                  <w:szCs w:val="20"/>
                </w:rPr>
              </m:ctrlPr>
            </m:sSubPr>
            <m:e>
              <m:r>
                <w:rPr>
                  <w:rFonts w:ascii="Cambria Math" w:hAnsi="Cambria Math" w:cstheme="majorBidi"/>
                  <w:sz w:val="20"/>
                  <w:szCs w:val="20"/>
                </w:rPr>
                <m:t>M</m:t>
              </m:r>
            </m:e>
            <m:sub>
              <m:r>
                <w:rPr>
                  <w:rFonts w:ascii="Cambria Math" w:hAnsi="Cambria Math" w:cstheme="majorBidi"/>
                  <w:sz w:val="20"/>
                  <w:szCs w:val="20"/>
                </w:rPr>
                <m:t>sim</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M</m:t>
              </m:r>
            </m:e>
            <m:sub>
              <m:r>
                <w:rPr>
                  <w:rFonts w:ascii="Cambria Math" w:hAnsi="Cambria Math" w:cstheme="majorBidi"/>
                  <w:sz w:val="20"/>
                  <w:szCs w:val="20"/>
                </w:rPr>
                <m:t>obs</m:t>
              </m:r>
            </m:sub>
          </m:sSub>
          <m:r>
            <w:rPr>
              <w:rFonts w:ascii="Cambria Math" w:hAnsi="Cambria Math" w:cstheme="majorBidi"/>
              <w:sz w:val="20"/>
              <w:szCs w:val="20"/>
            </w:rPr>
            <m:t>×</m:t>
          </m:r>
          <m:d>
            <m:dPr>
              <m:ctrlPr>
                <w:rPr>
                  <w:rFonts w:ascii="Cambria Math" w:hAnsi="Cambria Math" w:cstheme="majorBidi"/>
                  <w:i/>
                  <w:sz w:val="20"/>
                  <w:szCs w:val="20"/>
                </w:rPr>
              </m:ctrlPr>
            </m:dPr>
            <m:e>
              <m:r>
                <w:rPr>
                  <w:rFonts w:ascii="Cambria Math" w:hAnsi="Cambria Math" w:cstheme="majorBidi"/>
                  <w:sz w:val="20"/>
                  <w:szCs w:val="20"/>
                </w:rPr>
                <m:t>1+δ</m:t>
              </m:r>
            </m:e>
          </m:d>
        </m:oMath>
      </m:oMathPara>
    </w:p>
    <w:p w14:paraId="12120F4F" w14:textId="340C21D3" w:rsidR="00D8215C" w:rsidRPr="00D8215C" w:rsidRDefault="00D8215C" w:rsidP="00B610BC">
      <w:pPr>
        <w:ind w:left="720"/>
        <w:rPr>
          <w:rFonts w:asciiTheme="majorBidi" w:hAnsiTheme="majorBidi" w:cstheme="majorBidi"/>
          <w:sz w:val="20"/>
          <w:szCs w:val="20"/>
        </w:rPr>
      </w:pPr>
      <w:r w:rsidRPr="00D8215C">
        <w:rPr>
          <w:rFonts w:asciiTheme="majorBidi" w:hAnsiTheme="majorBidi" w:cstheme="majorBidi"/>
          <w:sz w:val="20"/>
          <w:szCs w:val="20"/>
        </w:rPr>
        <w:t>Here, </w:t>
      </w:r>
      <w:r w:rsidRPr="00D8215C">
        <w:rPr>
          <w:rFonts w:asciiTheme="majorBidi" w:hAnsiTheme="majorBidi" w:cstheme="majorBidi"/>
          <w:i/>
          <w:iCs/>
          <w:sz w:val="20"/>
          <w:szCs w:val="20"/>
        </w:rPr>
        <w:t>δ</w:t>
      </w:r>
      <w:r w:rsidRPr="00D8215C">
        <w:rPr>
          <w:rFonts w:asciiTheme="majorBidi" w:hAnsiTheme="majorBidi" w:cstheme="majorBidi"/>
          <w:sz w:val="20"/>
          <w:szCs w:val="20"/>
        </w:rPr>
        <w:t> represents synthetic changes of ±10%, ±20%, and ±30%.</w:t>
      </w:r>
    </w:p>
    <w:p w14:paraId="59E211B4" w14:textId="10D41160" w:rsidR="00D8215C" w:rsidRPr="00D8215C" w:rsidRDefault="00D8215C" w:rsidP="00CB26E9">
      <w:pPr>
        <w:numPr>
          <w:ilvl w:val="0"/>
          <w:numId w:val="11"/>
        </w:numPr>
        <w:rPr>
          <w:rFonts w:asciiTheme="majorBidi" w:hAnsiTheme="majorBidi" w:cstheme="majorBidi"/>
          <w:sz w:val="20"/>
          <w:szCs w:val="20"/>
        </w:rPr>
      </w:pPr>
      <w:r w:rsidRPr="00D8215C">
        <w:rPr>
          <w:rFonts w:asciiTheme="majorBidi" w:hAnsiTheme="majorBidi" w:cstheme="majorBidi"/>
          <w:b/>
          <w:bCs/>
          <w:sz w:val="20"/>
          <w:szCs w:val="20"/>
        </w:rPr>
        <w:t>Spatial Perturbations</w:t>
      </w:r>
      <w:r w:rsidRPr="00D8215C">
        <w:rPr>
          <w:rFonts w:asciiTheme="majorBidi" w:hAnsiTheme="majorBidi" w:cstheme="majorBidi"/>
          <w:sz w:val="20"/>
          <w:szCs w:val="20"/>
        </w:rPr>
        <w:br/>
      </w:r>
      <w:r w:rsidR="00CB26E9" w:rsidRPr="00704C7A">
        <w:rPr>
          <w:rFonts w:asciiTheme="majorBidi" w:hAnsiTheme="majorBidi" w:cstheme="majorBidi"/>
          <w:sz w:val="20"/>
          <w:szCs w:val="20"/>
        </w:rPr>
        <w:t xml:space="preserve">To simulate real-world disturbances like zoning regulations or new infrastructure, we randomly reassigned the mobility values between nearby geohashes </w:t>
      </w:r>
      <w:r w:rsidRPr="00D8215C">
        <w:rPr>
          <w:rFonts w:asciiTheme="majorBidi" w:hAnsiTheme="majorBidi" w:cstheme="majorBidi"/>
          <w:sz w:val="20"/>
          <w:szCs w:val="20"/>
        </w:rPr>
        <w:t xml:space="preserve">[7]. </w:t>
      </w:r>
      <w:r w:rsidR="00CB26E9" w:rsidRPr="00704C7A">
        <w:rPr>
          <w:rFonts w:asciiTheme="majorBidi" w:hAnsiTheme="majorBidi" w:cstheme="majorBidi"/>
          <w:sz w:val="20"/>
          <w:szCs w:val="20"/>
        </w:rPr>
        <w:t>This examined how sensitive the model was to regional spatial changes.</w:t>
      </w:r>
    </w:p>
    <w:p w14:paraId="53B8FCAD" w14:textId="30ADD50E" w:rsidR="001971FB" w:rsidRPr="00704C7A" w:rsidRDefault="00D8215C" w:rsidP="001971FB">
      <w:pPr>
        <w:numPr>
          <w:ilvl w:val="0"/>
          <w:numId w:val="11"/>
        </w:numPr>
        <w:rPr>
          <w:rFonts w:asciiTheme="majorBidi" w:hAnsiTheme="majorBidi" w:cstheme="majorBidi"/>
          <w:sz w:val="20"/>
          <w:szCs w:val="20"/>
        </w:rPr>
      </w:pPr>
      <w:r w:rsidRPr="00D8215C">
        <w:rPr>
          <w:rFonts w:asciiTheme="majorBidi" w:hAnsiTheme="majorBidi" w:cstheme="majorBidi"/>
          <w:b/>
          <w:bCs/>
          <w:sz w:val="20"/>
          <w:szCs w:val="20"/>
        </w:rPr>
        <w:t>Population Weight Perturbations</w:t>
      </w:r>
      <w:r w:rsidRPr="00D8215C">
        <w:rPr>
          <w:rFonts w:asciiTheme="majorBidi" w:hAnsiTheme="majorBidi" w:cstheme="majorBidi"/>
          <w:sz w:val="20"/>
          <w:szCs w:val="20"/>
        </w:rPr>
        <w:br/>
      </w:r>
      <w:r w:rsidR="001971FB" w:rsidRPr="00704C7A">
        <w:rPr>
          <w:rFonts w:asciiTheme="majorBidi" w:hAnsiTheme="majorBidi" w:cstheme="majorBidi"/>
          <w:sz w:val="20"/>
          <w:szCs w:val="20"/>
        </w:rPr>
        <w:t>To replicate demographic fluctuation, we used normally distributed noise to alter population weights (P).</w:t>
      </w:r>
    </w:p>
    <w:p w14:paraId="75DA206E" w14:textId="7AC25E5F" w:rsidR="00B610BC" w:rsidRPr="00704C7A" w:rsidRDefault="00B610BC" w:rsidP="001971FB">
      <w:pPr>
        <w:ind w:left="720"/>
        <w:rPr>
          <w:rFonts w:asciiTheme="majorBidi" w:hAnsiTheme="majorBidi" w:cstheme="majorBidi"/>
          <w:sz w:val="20"/>
          <w:szCs w:val="20"/>
        </w:rPr>
      </w:pPr>
      <m:oMathPara>
        <m:oMath>
          <m:r>
            <m:rPr>
              <m:sty m:val="p"/>
            </m:rPr>
            <w:rPr>
              <w:rFonts w:ascii="Cambria Math" w:hAnsi="Cambria Math" w:cstheme="majorBidi"/>
              <w:sz w:val="20"/>
              <w:szCs w:val="20"/>
            </w:rPr>
            <m:t>P' = P × (1 + γ)</m:t>
          </m:r>
        </m:oMath>
      </m:oMathPara>
    </w:p>
    <w:p w14:paraId="75272D09" w14:textId="5F9B6497" w:rsidR="00D8215C" w:rsidRPr="00D8215C" w:rsidRDefault="00DA4643" w:rsidP="00B610BC">
      <w:pPr>
        <w:ind w:left="720"/>
        <w:rPr>
          <w:rFonts w:asciiTheme="majorBidi" w:hAnsiTheme="majorBidi" w:cstheme="majorBidi"/>
          <w:sz w:val="20"/>
          <w:szCs w:val="20"/>
        </w:rPr>
      </w:pPr>
      <w:r w:rsidRPr="00704C7A">
        <w:rPr>
          <w:rFonts w:asciiTheme="majorBidi" w:hAnsiTheme="majorBidi" w:cstheme="majorBidi"/>
          <w:sz w:val="20"/>
          <w:szCs w:val="20"/>
        </w:rPr>
        <w:t>Where</w:t>
      </w:r>
      <w:r w:rsidR="00D8215C" w:rsidRPr="00D8215C">
        <w:rPr>
          <w:rFonts w:asciiTheme="majorBidi" w:hAnsiTheme="majorBidi" w:cstheme="majorBidi"/>
          <w:sz w:val="20"/>
          <w:szCs w:val="20"/>
        </w:rPr>
        <w:t> </w:t>
      </w:r>
      <w:r w:rsidR="00D8215C" w:rsidRPr="00D8215C">
        <w:rPr>
          <w:rFonts w:asciiTheme="majorBidi" w:hAnsiTheme="majorBidi" w:cstheme="majorBidi"/>
          <w:i/>
          <w:iCs/>
          <w:sz w:val="20"/>
          <w:szCs w:val="20"/>
        </w:rPr>
        <w:t>γ</w:t>
      </w:r>
      <w:r w:rsidR="00D8215C" w:rsidRPr="00D8215C">
        <w:rPr>
          <w:rFonts w:asciiTheme="majorBidi" w:hAnsiTheme="majorBidi" w:cstheme="majorBidi"/>
          <w:sz w:val="20"/>
          <w:szCs w:val="20"/>
        </w:rPr>
        <w:t> follows a normal distribution, introducing realistic randomness.</w:t>
      </w:r>
    </w:p>
    <w:p w14:paraId="55AC2455" w14:textId="6549B93C" w:rsidR="00D8215C" w:rsidRPr="00704C7A" w:rsidRDefault="00F541DC" w:rsidP="00394B71">
      <w:pPr>
        <w:rPr>
          <w:rFonts w:asciiTheme="majorBidi" w:hAnsiTheme="majorBidi" w:cstheme="majorBidi"/>
          <w:sz w:val="20"/>
          <w:szCs w:val="20"/>
        </w:rPr>
      </w:pPr>
      <w:r w:rsidRPr="00F541DC">
        <w:rPr>
          <w:rFonts w:asciiTheme="majorBidi" w:hAnsiTheme="majorBidi" w:cstheme="majorBidi"/>
          <w:sz w:val="20"/>
          <w:szCs w:val="20"/>
        </w:rPr>
        <w:lastRenderedPageBreak/>
        <w:t xml:space="preserve">We </w:t>
      </w:r>
      <w:r w:rsidR="00CB596A" w:rsidRPr="00704C7A">
        <w:rPr>
          <w:rFonts w:asciiTheme="majorBidi" w:hAnsiTheme="majorBidi" w:cstheme="majorBidi"/>
          <w:sz w:val="20"/>
          <w:szCs w:val="20"/>
        </w:rPr>
        <w:t>employed</w:t>
      </w:r>
      <w:r w:rsidRPr="00F541DC">
        <w:rPr>
          <w:rFonts w:asciiTheme="majorBidi" w:hAnsiTheme="majorBidi" w:cstheme="majorBidi"/>
          <w:sz w:val="20"/>
          <w:szCs w:val="20"/>
        </w:rPr>
        <w:t xml:space="preserve"> boosting approaches that approximated second-order interactions between geohash clusters, mobility, and pollution </w:t>
      </w:r>
      <w:r w:rsidRPr="00704C7A">
        <w:rPr>
          <w:rFonts w:asciiTheme="majorBidi" w:hAnsiTheme="majorBidi" w:cstheme="majorBidi"/>
          <w:sz w:val="20"/>
          <w:szCs w:val="20"/>
        </w:rPr>
        <w:t>to</w:t>
      </w:r>
      <w:r w:rsidRPr="00F541DC">
        <w:rPr>
          <w:rFonts w:asciiTheme="majorBidi" w:hAnsiTheme="majorBidi" w:cstheme="majorBidi"/>
          <w:sz w:val="20"/>
          <w:szCs w:val="20"/>
        </w:rPr>
        <w:t xml:space="preserve"> improve the simulations. </w:t>
      </w:r>
      <w:r w:rsidR="00D8215C" w:rsidRPr="00D8215C">
        <w:rPr>
          <w:rFonts w:asciiTheme="majorBidi" w:hAnsiTheme="majorBidi" w:cstheme="majorBidi"/>
          <w:sz w:val="20"/>
          <w:szCs w:val="20"/>
        </w:rPr>
        <w:t>[8]. This allowed the framework to capture non-linear urban dynamics, improving its adaptability to complex real-world scenarios.</w:t>
      </w:r>
      <w:r w:rsidR="00CB596A" w:rsidRPr="00704C7A">
        <w:rPr>
          <w:rFonts w:ascii="Open Sans" w:hAnsi="Open Sans" w:cs="Open Sans"/>
          <w:color w:val="172B4D"/>
          <w:sz w:val="20"/>
          <w:szCs w:val="20"/>
          <w:shd w:val="clear" w:color="auto" w:fill="FFFFFF"/>
        </w:rPr>
        <w:t xml:space="preserve"> </w:t>
      </w:r>
      <w:r w:rsidR="00CB596A" w:rsidRPr="00704C7A">
        <w:rPr>
          <w:rFonts w:asciiTheme="majorBidi" w:hAnsiTheme="majorBidi" w:cstheme="majorBidi"/>
          <w:sz w:val="20"/>
          <w:szCs w:val="20"/>
        </w:rPr>
        <w:t>Among the simulated models, the model that performed the best based on evaluation parameters such as mean absolute difference (MAD), standard deviation (σ), and geographic consistency with historical data was chosen for Phase Two forecasting and scenario risk evaluation.</w:t>
      </w:r>
    </w:p>
    <w:p w14:paraId="0B98D8EA" w14:textId="77777777" w:rsidR="002B63D8" w:rsidRPr="00620851" w:rsidRDefault="00DA0774">
      <w:pPr>
        <w:pStyle w:val="Heading2"/>
        <w:rPr>
          <w:rFonts w:asciiTheme="majorBidi" w:hAnsiTheme="majorBidi"/>
        </w:rPr>
      </w:pPr>
      <w:r w:rsidRPr="00620851">
        <w:rPr>
          <w:rFonts w:asciiTheme="majorBidi" w:hAnsiTheme="majorBidi"/>
        </w:rPr>
        <w:t>Phase Two: Forecast Scenario Analysis Using Projected Data (2023–2025)</w:t>
      </w:r>
    </w:p>
    <w:p w14:paraId="01C6518B" w14:textId="77777777" w:rsidR="002B63D8" w:rsidRPr="00620851" w:rsidRDefault="00DA0774">
      <w:pPr>
        <w:pStyle w:val="Heading3"/>
        <w:rPr>
          <w:rFonts w:asciiTheme="majorBidi" w:hAnsiTheme="majorBidi"/>
        </w:rPr>
      </w:pPr>
      <w:r w:rsidRPr="00620851">
        <w:rPr>
          <w:rFonts w:asciiTheme="majorBidi" w:hAnsiTheme="majorBidi"/>
        </w:rPr>
        <w:t>A. Forecast Data Integration and Preprocessing</w:t>
      </w:r>
    </w:p>
    <w:p w14:paraId="034ED128" w14:textId="2DC08CD6" w:rsidR="003A3F70" w:rsidRPr="00704C7A" w:rsidRDefault="003A3F70" w:rsidP="003A3F70">
      <w:pPr>
        <w:rPr>
          <w:rFonts w:asciiTheme="majorBidi" w:hAnsiTheme="majorBidi" w:cstheme="majorBidi"/>
          <w:sz w:val="20"/>
          <w:szCs w:val="20"/>
        </w:rPr>
      </w:pPr>
      <w:r w:rsidRPr="00704C7A">
        <w:rPr>
          <w:rFonts w:asciiTheme="majorBidi" w:hAnsiTheme="majorBidi" w:cstheme="majorBidi"/>
          <w:sz w:val="20"/>
          <w:szCs w:val="20"/>
        </w:rPr>
        <w:t xml:space="preserve">As stand-ins for human activity, projected Ericsson Mobility statistics (GB/user/month) for 2023–2025 were used. Forecast </w:t>
      </w:r>
      <w:proofErr w:type="spellStart"/>
      <w:r w:rsidRPr="00704C7A">
        <w:rPr>
          <w:rFonts w:asciiTheme="majorBidi" w:hAnsiTheme="majorBidi" w:cstheme="majorBidi"/>
          <w:sz w:val="20"/>
          <w:szCs w:val="20"/>
        </w:rPr>
        <w:t>rasters</w:t>
      </w:r>
      <w:proofErr w:type="spellEnd"/>
      <w:r w:rsidRPr="00704C7A">
        <w:rPr>
          <w:rFonts w:asciiTheme="majorBidi" w:hAnsiTheme="majorBidi" w:cstheme="majorBidi"/>
          <w:sz w:val="20"/>
          <w:szCs w:val="20"/>
        </w:rPr>
        <w:t xml:space="preserve"> for NO₂, SO₂, and aerosol indices that were generated from satellites were loaded concurrently. Forecasted pollution </w:t>
      </w:r>
      <w:proofErr w:type="spellStart"/>
      <w:r w:rsidRPr="00704C7A">
        <w:rPr>
          <w:rFonts w:asciiTheme="majorBidi" w:hAnsiTheme="majorBidi" w:cstheme="majorBidi"/>
          <w:sz w:val="20"/>
          <w:szCs w:val="20"/>
        </w:rPr>
        <w:t>rasters</w:t>
      </w:r>
      <w:proofErr w:type="spellEnd"/>
      <w:r w:rsidRPr="00704C7A">
        <w:rPr>
          <w:rFonts w:asciiTheme="majorBidi" w:hAnsiTheme="majorBidi" w:cstheme="majorBidi"/>
          <w:sz w:val="20"/>
          <w:szCs w:val="20"/>
        </w:rPr>
        <w:t xml:space="preserve"> were matched with historical geohash zones created in Phase One, per best standards for spatial forecasting integration [1]. </w:t>
      </w:r>
      <w:r w:rsidR="006B083E" w:rsidRPr="00704C7A">
        <w:rPr>
          <w:rFonts w:asciiTheme="majorBidi" w:hAnsiTheme="majorBidi" w:cstheme="majorBidi"/>
          <w:sz w:val="20"/>
          <w:szCs w:val="20"/>
        </w:rPr>
        <w:t xml:space="preserve">Table II summarizes the datasets utilized in Phase </w:t>
      </w:r>
      <w:r w:rsidR="00705F2D" w:rsidRPr="00704C7A">
        <w:rPr>
          <w:rFonts w:asciiTheme="majorBidi" w:hAnsiTheme="majorBidi" w:cstheme="majorBidi"/>
          <w:sz w:val="20"/>
          <w:szCs w:val="20"/>
        </w:rPr>
        <w:t>Two</w:t>
      </w:r>
      <w:r w:rsidR="006B083E" w:rsidRPr="00704C7A">
        <w:rPr>
          <w:rFonts w:asciiTheme="majorBidi" w:hAnsiTheme="majorBidi" w:cstheme="majorBidi"/>
          <w:sz w:val="20"/>
          <w:szCs w:val="20"/>
        </w:rPr>
        <w:t>, including their key features and corresponding data sources</w:t>
      </w:r>
    </w:p>
    <w:p w14:paraId="6D7D4677" w14:textId="333E7602" w:rsidR="00DD6AE9" w:rsidRPr="0027106F" w:rsidRDefault="00DD6AE9" w:rsidP="00DD6AE9">
      <w:pPr>
        <w:jc w:val="center"/>
        <w:rPr>
          <w:rFonts w:asciiTheme="majorBidi" w:hAnsiTheme="majorBidi" w:cstheme="majorBidi"/>
          <w:sz w:val="20"/>
          <w:szCs w:val="20"/>
        </w:rPr>
      </w:pPr>
      <w:r w:rsidRPr="0027106F">
        <w:rPr>
          <w:rFonts w:asciiTheme="majorBidi" w:hAnsiTheme="majorBidi" w:cstheme="majorBidi"/>
          <w:sz w:val="20"/>
          <w:szCs w:val="20"/>
        </w:rPr>
        <w:t>TABLE II: Datasets Used for Phase Two (Forecast Scenario Analysis, 2023–2025)</w:t>
      </w:r>
    </w:p>
    <w:tbl>
      <w:tblPr>
        <w:tblStyle w:val="PlainTable2"/>
        <w:tblW w:w="0" w:type="auto"/>
        <w:tblLook w:val="04A0" w:firstRow="1" w:lastRow="0" w:firstColumn="1" w:lastColumn="0" w:noHBand="0" w:noVBand="1"/>
      </w:tblPr>
      <w:tblGrid>
        <w:gridCol w:w="3073"/>
        <w:gridCol w:w="5095"/>
        <w:gridCol w:w="688"/>
      </w:tblGrid>
      <w:tr w:rsidR="00FC4852" w:rsidRPr="00FC4852" w14:paraId="410DA58B" w14:textId="77777777" w:rsidTr="00FC4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E4A4C" w14:textId="77777777" w:rsidR="00FC4852" w:rsidRPr="00FC4852" w:rsidRDefault="00FC4852" w:rsidP="00FC4852">
            <w:pPr>
              <w:spacing w:after="200" w:line="276" w:lineRule="auto"/>
              <w:rPr>
                <w:rFonts w:asciiTheme="majorBidi" w:hAnsiTheme="majorBidi" w:cstheme="majorBidi"/>
                <w:sz w:val="16"/>
                <w:szCs w:val="16"/>
              </w:rPr>
            </w:pPr>
            <w:r w:rsidRPr="00FC4852">
              <w:rPr>
                <w:rFonts w:asciiTheme="majorBidi" w:hAnsiTheme="majorBidi" w:cstheme="majorBidi"/>
                <w:sz w:val="16"/>
                <w:szCs w:val="16"/>
              </w:rPr>
              <w:t>Dataset</w:t>
            </w:r>
          </w:p>
        </w:tc>
        <w:tc>
          <w:tcPr>
            <w:tcW w:w="0" w:type="auto"/>
            <w:hideMark/>
          </w:tcPr>
          <w:p w14:paraId="71B54DC0" w14:textId="77777777" w:rsidR="00FC4852" w:rsidRPr="00FC4852" w:rsidRDefault="00FC4852" w:rsidP="00FC485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FC4852">
              <w:rPr>
                <w:rFonts w:asciiTheme="majorBidi" w:hAnsiTheme="majorBidi" w:cstheme="majorBidi"/>
                <w:sz w:val="16"/>
                <w:szCs w:val="16"/>
              </w:rPr>
              <w:t>Features / Variables</w:t>
            </w:r>
          </w:p>
        </w:tc>
        <w:tc>
          <w:tcPr>
            <w:tcW w:w="0" w:type="auto"/>
            <w:hideMark/>
          </w:tcPr>
          <w:p w14:paraId="5374C09A" w14:textId="77777777" w:rsidR="00FC4852" w:rsidRPr="00FC4852" w:rsidRDefault="00FC4852" w:rsidP="00FC485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FC4852">
              <w:rPr>
                <w:rFonts w:asciiTheme="majorBidi" w:hAnsiTheme="majorBidi" w:cstheme="majorBidi"/>
                <w:sz w:val="16"/>
                <w:szCs w:val="16"/>
              </w:rPr>
              <w:t>Source</w:t>
            </w:r>
          </w:p>
        </w:tc>
      </w:tr>
      <w:tr w:rsidR="00FC4852" w:rsidRPr="00FC4852" w14:paraId="59EE8434" w14:textId="77777777" w:rsidTr="00FC4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9497EB" w14:textId="77777777" w:rsidR="00FC4852" w:rsidRPr="00FC4852" w:rsidRDefault="00FC4852" w:rsidP="00FC4852">
            <w:pPr>
              <w:spacing w:after="200" w:line="276" w:lineRule="auto"/>
              <w:rPr>
                <w:rFonts w:asciiTheme="majorBidi" w:hAnsiTheme="majorBidi" w:cstheme="majorBidi"/>
                <w:sz w:val="16"/>
                <w:szCs w:val="16"/>
              </w:rPr>
            </w:pPr>
            <w:r w:rsidRPr="00FC4852">
              <w:rPr>
                <w:rFonts w:asciiTheme="majorBidi" w:hAnsiTheme="majorBidi" w:cstheme="majorBidi"/>
                <w:sz w:val="16"/>
                <w:szCs w:val="16"/>
              </w:rPr>
              <w:t>Ericsson Mobility Forecast</w:t>
            </w:r>
          </w:p>
        </w:tc>
        <w:tc>
          <w:tcPr>
            <w:tcW w:w="0" w:type="auto"/>
            <w:hideMark/>
          </w:tcPr>
          <w:p w14:paraId="3694E4B8" w14:textId="5D0C5A5E" w:rsidR="00FC4852" w:rsidRPr="00FC4852" w:rsidRDefault="00FC4852" w:rsidP="00FC485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FC4852">
              <w:rPr>
                <w:rFonts w:asciiTheme="majorBidi" w:hAnsiTheme="majorBidi" w:cstheme="majorBidi"/>
                <w:sz w:val="16"/>
                <w:szCs w:val="16"/>
              </w:rPr>
              <w:t xml:space="preserve">Forecasted GB/user/month data for </w:t>
            </w:r>
            <w:r w:rsidR="004C224B" w:rsidRPr="0027106F">
              <w:rPr>
                <w:rFonts w:asciiTheme="majorBidi" w:hAnsiTheme="majorBidi" w:cstheme="majorBidi"/>
                <w:sz w:val="16"/>
                <w:szCs w:val="16"/>
              </w:rPr>
              <w:t xml:space="preserve">the </w:t>
            </w:r>
            <w:r w:rsidRPr="00FC4852">
              <w:rPr>
                <w:rFonts w:asciiTheme="majorBidi" w:hAnsiTheme="majorBidi" w:cstheme="majorBidi"/>
                <w:sz w:val="16"/>
                <w:szCs w:val="16"/>
              </w:rPr>
              <w:t xml:space="preserve">Middle East and Africa, including </w:t>
            </w:r>
            <w:r w:rsidR="004C224B" w:rsidRPr="0027106F">
              <w:rPr>
                <w:rFonts w:asciiTheme="majorBidi" w:hAnsiTheme="majorBidi" w:cstheme="majorBidi"/>
                <w:sz w:val="16"/>
                <w:szCs w:val="16"/>
              </w:rPr>
              <w:t xml:space="preserve">the </w:t>
            </w:r>
            <w:r w:rsidRPr="00FC4852">
              <w:rPr>
                <w:rFonts w:asciiTheme="majorBidi" w:hAnsiTheme="majorBidi" w:cstheme="majorBidi"/>
                <w:sz w:val="16"/>
                <w:szCs w:val="16"/>
              </w:rPr>
              <w:t>UAE</w:t>
            </w:r>
          </w:p>
        </w:tc>
        <w:tc>
          <w:tcPr>
            <w:tcW w:w="0" w:type="auto"/>
            <w:hideMark/>
          </w:tcPr>
          <w:p w14:paraId="0917323A" w14:textId="1E90A498" w:rsidR="00FC4852" w:rsidRPr="00FC4852" w:rsidRDefault="00182AF9" w:rsidP="00FC485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Pr>
                <w:rFonts w:asciiTheme="majorBidi" w:hAnsiTheme="majorBidi" w:cstheme="majorBidi"/>
                <w:sz w:val="16"/>
                <w:szCs w:val="16"/>
              </w:rPr>
              <w:t>[13]</w:t>
            </w:r>
          </w:p>
        </w:tc>
      </w:tr>
      <w:tr w:rsidR="00FC4852" w:rsidRPr="00FC4852" w14:paraId="2C3CEA13" w14:textId="77777777" w:rsidTr="00FC4852">
        <w:tc>
          <w:tcPr>
            <w:cnfStyle w:val="001000000000" w:firstRow="0" w:lastRow="0" w:firstColumn="1" w:lastColumn="0" w:oddVBand="0" w:evenVBand="0" w:oddHBand="0" w:evenHBand="0" w:firstRowFirstColumn="0" w:firstRowLastColumn="0" w:lastRowFirstColumn="0" w:lastRowLastColumn="0"/>
            <w:tcW w:w="0" w:type="auto"/>
            <w:hideMark/>
          </w:tcPr>
          <w:p w14:paraId="2E52B461" w14:textId="77777777" w:rsidR="00FC4852" w:rsidRPr="00FC4852" w:rsidRDefault="00FC4852" w:rsidP="00FC4852">
            <w:pPr>
              <w:spacing w:after="200" w:line="276" w:lineRule="auto"/>
              <w:rPr>
                <w:rFonts w:asciiTheme="majorBidi" w:hAnsiTheme="majorBidi" w:cstheme="majorBidi"/>
                <w:sz w:val="16"/>
                <w:szCs w:val="16"/>
              </w:rPr>
            </w:pPr>
            <w:r w:rsidRPr="00FC4852">
              <w:rPr>
                <w:rFonts w:asciiTheme="majorBidi" w:hAnsiTheme="majorBidi" w:cstheme="majorBidi"/>
                <w:sz w:val="16"/>
                <w:szCs w:val="16"/>
              </w:rPr>
              <w:t>Sentinel-5P Forecasted Pollution Raster Data</w:t>
            </w:r>
          </w:p>
        </w:tc>
        <w:tc>
          <w:tcPr>
            <w:tcW w:w="0" w:type="auto"/>
            <w:hideMark/>
          </w:tcPr>
          <w:p w14:paraId="35DEBFE3" w14:textId="77777777" w:rsidR="00FC4852" w:rsidRPr="00FC4852" w:rsidRDefault="00FC4852" w:rsidP="00FC485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FC4852">
              <w:rPr>
                <w:rFonts w:asciiTheme="majorBidi" w:hAnsiTheme="majorBidi" w:cstheme="majorBidi"/>
                <w:sz w:val="16"/>
                <w:szCs w:val="16"/>
              </w:rPr>
              <w:t>Predicted NO₂ Vertical Column Density, SO₂ Density, Aerosol Index (2023–2025)</w:t>
            </w:r>
          </w:p>
        </w:tc>
        <w:tc>
          <w:tcPr>
            <w:tcW w:w="0" w:type="auto"/>
            <w:hideMark/>
          </w:tcPr>
          <w:p w14:paraId="3D74285A" w14:textId="67379143" w:rsidR="00FC4852" w:rsidRPr="00FC4852" w:rsidRDefault="00182AF9" w:rsidP="00FC485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Pr>
                <w:rFonts w:asciiTheme="majorBidi" w:hAnsiTheme="majorBidi" w:cstheme="majorBidi"/>
                <w:sz w:val="16"/>
                <w:szCs w:val="16"/>
              </w:rPr>
              <w:t>[12]</w:t>
            </w:r>
          </w:p>
        </w:tc>
      </w:tr>
    </w:tbl>
    <w:p w14:paraId="2CEFD183" w14:textId="43D41C5A" w:rsidR="002B63D8" w:rsidRPr="00620851" w:rsidRDefault="00DA0774" w:rsidP="00222BC7">
      <w:pPr>
        <w:pStyle w:val="Heading3"/>
        <w:rPr>
          <w:rFonts w:asciiTheme="majorBidi" w:hAnsiTheme="majorBidi"/>
        </w:rPr>
      </w:pPr>
      <w:r w:rsidRPr="00620851">
        <w:rPr>
          <w:rFonts w:asciiTheme="majorBidi" w:hAnsiTheme="majorBidi"/>
        </w:rPr>
        <w:t>B. Raster Comparative Evaluation and Change Quantification</w:t>
      </w:r>
    </w:p>
    <w:p w14:paraId="07456A02" w14:textId="3BF31B9F" w:rsidR="002B63D8" w:rsidRPr="00704C7A" w:rsidRDefault="00DA0774" w:rsidP="00460C57">
      <w:pPr>
        <w:rPr>
          <w:rFonts w:asciiTheme="majorBidi" w:hAnsiTheme="majorBidi" w:cstheme="majorBidi"/>
          <w:sz w:val="20"/>
          <w:szCs w:val="20"/>
        </w:rPr>
      </w:pPr>
      <w:r w:rsidRPr="00704C7A">
        <w:rPr>
          <w:rFonts w:asciiTheme="majorBidi" w:hAnsiTheme="majorBidi" w:cstheme="majorBidi"/>
          <w:sz w:val="20"/>
          <w:szCs w:val="20"/>
        </w:rPr>
        <w:t xml:space="preserve">Forecasted raster values were compared against historical baselines using MAD and MAXD metrics. </w:t>
      </w:r>
      <w:r w:rsidR="00460C57" w:rsidRPr="00460C57">
        <w:rPr>
          <w:rFonts w:asciiTheme="majorBidi" w:hAnsiTheme="majorBidi" w:cstheme="majorBidi"/>
          <w:sz w:val="20"/>
          <w:szCs w:val="20"/>
        </w:rPr>
        <w:t>Additionally, the standard deviation (σ) was computed to measure the dispersion of forecasted pollution values across geohash zones relative to the mean. It provides insight into the spatial variability and uncertainty associated with future pollution patterns.</w:t>
      </w:r>
      <w:r w:rsidR="00460C57">
        <w:rPr>
          <w:rFonts w:asciiTheme="majorBidi" w:hAnsiTheme="majorBidi" w:cstheme="majorBidi"/>
          <w:sz w:val="20"/>
          <w:szCs w:val="20"/>
        </w:rPr>
        <w:t xml:space="preserve"> </w:t>
      </w:r>
      <w:r w:rsidR="00460C57" w:rsidRPr="00460C57">
        <w:rPr>
          <w:rFonts w:asciiTheme="majorBidi" w:hAnsiTheme="majorBidi" w:cstheme="majorBidi"/>
          <w:sz w:val="20"/>
          <w:szCs w:val="20"/>
        </w:rPr>
        <w:t>A higher standard deviation indicates greater variability in predicted pollution intensities.</w:t>
      </w:r>
      <w:r w:rsidR="00460C57">
        <w:rPr>
          <w:rFonts w:asciiTheme="majorBidi" w:hAnsiTheme="majorBidi" w:cstheme="majorBidi"/>
          <w:sz w:val="20"/>
          <w:szCs w:val="20"/>
        </w:rPr>
        <w:t xml:space="preserve"> </w:t>
      </w:r>
      <w:r w:rsidR="00460C57" w:rsidRPr="00460C57">
        <w:rPr>
          <w:rFonts w:asciiTheme="majorBidi" w:hAnsiTheme="majorBidi" w:cstheme="majorBidi"/>
          <w:sz w:val="20"/>
          <w:szCs w:val="20"/>
        </w:rPr>
        <w:t>The standard deviation is calculated as:</w:t>
      </w:r>
      <w:r w:rsidRPr="00704C7A">
        <w:rPr>
          <w:rFonts w:asciiTheme="majorBidi" w:hAnsiTheme="majorBidi" w:cstheme="majorBidi"/>
          <w:sz w:val="20"/>
          <w:szCs w:val="20"/>
        </w:rPr>
        <w:br/>
      </w:r>
      <m:oMathPara>
        <m:oMath>
          <m:r>
            <m:rPr>
              <m:sty m:val="p"/>
            </m:rPr>
            <w:rPr>
              <w:rFonts w:ascii="Cambria Math" w:hAnsi="Cambria Math" w:cstheme="majorBidi"/>
              <w:sz w:val="20"/>
              <w:szCs w:val="20"/>
            </w:rPr>
            <m:t xml:space="preserve">σ= </m:t>
          </m:r>
          <m:rad>
            <m:radPr>
              <m:degHide m:val="1"/>
              <m:ctrlPr>
                <w:rPr>
                  <w:rFonts w:ascii="Cambria Math" w:hAnsi="Cambria Math" w:cstheme="majorBidi"/>
                  <w:sz w:val="20"/>
                  <w:szCs w:val="20"/>
                </w:rPr>
              </m:ctrlPr>
            </m:radPr>
            <m:deg/>
            <m:e>
              <m:f>
                <m:fPr>
                  <m:ctrlPr>
                    <w:rPr>
                      <w:rFonts w:ascii="Cambria Math" w:hAnsi="Cambria Math" w:cstheme="majorBidi"/>
                      <w:i/>
                      <w:sz w:val="20"/>
                      <w:szCs w:val="20"/>
                    </w:rPr>
                  </m:ctrlPr>
                </m:fPr>
                <m:num>
                  <m:r>
                    <w:rPr>
                      <w:rFonts w:ascii="Cambria Math" w:hAnsi="Cambria Math" w:cstheme="majorBidi"/>
                      <w:sz w:val="20"/>
                      <w:szCs w:val="20"/>
                    </w:rPr>
                    <m:t>1</m:t>
                  </m:r>
                </m:num>
                <m:den>
                  <m:r>
                    <w:rPr>
                      <w:rFonts w:ascii="Cambria Math" w:hAnsi="Cambria Math" w:cstheme="majorBidi"/>
                      <w:sz w:val="20"/>
                      <w:szCs w:val="20"/>
                    </w:rPr>
                    <m:t>n</m:t>
                  </m:r>
                </m:den>
              </m:f>
              <m:nary>
                <m:naryPr>
                  <m:chr m:val="∑"/>
                  <m:limLoc m:val="undOvr"/>
                  <m:ctrlPr>
                    <w:rPr>
                      <w:rFonts w:ascii="Cambria Math" w:hAnsi="Cambria Math" w:cstheme="majorBidi"/>
                      <w:i/>
                      <w:sz w:val="20"/>
                      <w:szCs w:val="20"/>
                    </w:rPr>
                  </m:ctrlPr>
                </m:naryPr>
                <m:sub>
                  <m:r>
                    <w:rPr>
                      <w:rFonts w:ascii="Cambria Math" w:hAnsi="Cambria Math" w:cstheme="majorBidi"/>
                      <w:sz w:val="20"/>
                      <w:szCs w:val="20"/>
                    </w:rPr>
                    <m:t>i=1</m:t>
                  </m:r>
                </m:sub>
                <m:sup>
                  <m:r>
                    <w:rPr>
                      <w:rFonts w:ascii="Cambria Math" w:hAnsi="Cambria Math" w:cstheme="majorBidi"/>
                      <w:sz w:val="20"/>
                      <w:szCs w:val="20"/>
                    </w:rPr>
                    <m:t>n</m:t>
                  </m:r>
                </m:sup>
                <m:e>
                  <m:r>
                    <w:rPr>
                      <w:rFonts w:ascii="Cambria Math" w:hAnsi="Cambria Math" w:cstheme="majorBidi"/>
                      <w:sz w:val="20"/>
                      <w:szCs w:val="20"/>
                    </w:rPr>
                    <m:t>(</m:t>
                  </m:r>
                  <m:sSub>
                    <m:sSubPr>
                      <m:ctrlPr>
                        <w:rPr>
                          <w:rFonts w:ascii="Cambria Math" w:hAnsi="Cambria Math" w:cstheme="majorBidi"/>
                          <w:i/>
                          <w:sz w:val="20"/>
                          <w:szCs w:val="20"/>
                        </w:rPr>
                      </m:ctrlPr>
                    </m:sSubPr>
                    <m:e>
                      <m:r>
                        <m:rPr>
                          <m:scr m:val="script"/>
                        </m:rPr>
                        <w:rPr>
                          <w:rFonts w:ascii="Cambria Math" w:hAnsi="Cambria Math" w:cstheme="majorBidi"/>
                          <w:sz w:val="20"/>
                          <w:szCs w:val="20"/>
                        </w:rPr>
                        <m:t>X</m:t>
                      </m:r>
                    </m:e>
                    <m:sub>
                      <m:r>
                        <w:rPr>
                          <w:rFonts w:ascii="Cambria Math" w:hAnsi="Cambria Math" w:cstheme="majorBidi"/>
                          <w:sz w:val="20"/>
                          <w:szCs w:val="20"/>
                        </w:rPr>
                        <m:t>i</m:t>
                      </m:r>
                    </m:sub>
                  </m:sSub>
                </m:e>
              </m:nary>
              <m:r>
                <m:rPr>
                  <m:sty m:val="p"/>
                </m:rPr>
                <w:rPr>
                  <w:rFonts w:ascii="Cambria Math" w:hAnsi="Cambria Math" w:cstheme="majorBidi"/>
                  <w:sz w:val="20"/>
                  <w:szCs w:val="20"/>
                </w:rPr>
                <m:t>-</m:t>
              </m:r>
              <m:acc>
                <m:accPr>
                  <m:chr m:val="̅"/>
                  <m:ctrlPr>
                    <w:rPr>
                      <w:rFonts w:ascii="Cambria Math" w:hAnsi="Cambria Math" w:cstheme="majorBidi"/>
                      <w:sz w:val="20"/>
                      <w:szCs w:val="20"/>
                    </w:rPr>
                  </m:ctrlPr>
                </m:accPr>
                <m:e>
                  <m:r>
                    <m:rPr>
                      <m:scr m:val="script"/>
                    </m:rPr>
                    <w:rPr>
                      <w:rFonts w:ascii="Cambria Math" w:hAnsi="Cambria Math" w:cstheme="majorBidi"/>
                      <w:sz w:val="20"/>
                      <w:szCs w:val="20"/>
                    </w:rPr>
                    <m:t>X</m:t>
                  </m:r>
                </m:e>
              </m:acc>
              <m:sSup>
                <m:sSupPr>
                  <m:ctrlPr>
                    <w:rPr>
                      <w:rFonts w:ascii="Cambria Math" w:hAnsi="Cambria Math" w:cstheme="majorBidi"/>
                      <w:sz w:val="20"/>
                      <w:szCs w:val="20"/>
                    </w:rPr>
                  </m:ctrlPr>
                </m:sSupPr>
                <m:e>
                  <m:r>
                    <w:rPr>
                      <w:rFonts w:ascii="Cambria Math" w:hAnsi="Cambria Math" w:cstheme="majorBidi"/>
                      <w:sz w:val="20"/>
                      <w:szCs w:val="20"/>
                    </w:rPr>
                    <m:t>)</m:t>
                  </m:r>
                </m:e>
                <m:sup>
                  <m:r>
                    <w:rPr>
                      <w:rFonts w:ascii="Cambria Math" w:hAnsi="Cambria Math" w:cstheme="majorBidi"/>
                      <w:sz w:val="20"/>
                      <w:szCs w:val="20"/>
                    </w:rPr>
                    <m:t>2</m:t>
                  </m:r>
                </m:sup>
              </m:sSup>
            </m:e>
          </m:rad>
          <m:r>
            <m:rPr>
              <m:sty m:val="p"/>
            </m:rPr>
            <w:rPr>
              <w:rFonts w:asciiTheme="majorBidi" w:hAnsiTheme="majorBidi" w:cstheme="majorBidi"/>
              <w:sz w:val="20"/>
              <w:szCs w:val="20"/>
            </w:rPr>
            <w:br/>
          </m:r>
        </m:oMath>
      </m:oMathPara>
      <w:r w:rsidRPr="00704C7A">
        <w:rPr>
          <w:rFonts w:asciiTheme="majorBidi" w:hAnsiTheme="majorBidi" w:cstheme="majorBidi"/>
          <w:sz w:val="20"/>
          <w:szCs w:val="20"/>
        </w:rPr>
        <w:t>This enabled magnitude and uncertainty evaluation</w:t>
      </w:r>
      <w:r w:rsidR="00222BC7" w:rsidRPr="00704C7A">
        <w:rPr>
          <w:rFonts w:asciiTheme="majorBidi" w:hAnsiTheme="majorBidi" w:cstheme="majorBidi"/>
          <w:sz w:val="20"/>
          <w:szCs w:val="20"/>
        </w:rPr>
        <w:t xml:space="preserve"> of projected pollution changes</w:t>
      </w:r>
      <w:r w:rsidRPr="00704C7A">
        <w:rPr>
          <w:rFonts w:asciiTheme="majorBidi" w:hAnsiTheme="majorBidi" w:cstheme="majorBidi"/>
          <w:sz w:val="20"/>
          <w:szCs w:val="20"/>
        </w:rPr>
        <w:t xml:space="preserve"> [5].</w:t>
      </w:r>
    </w:p>
    <w:p w14:paraId="0D0072EC" w14:textId="77777777" w:rsidR="002B63D8" w:rsidRPr="00620851" w:rsidRDefault="00DA0774">
      <w:pPr>
        <w:pStyle w:val="Heading3"/>
        <w:rPr>
          <w:rFonts w:asciiTheme="majorBidi" w:hAnsiTheme="majorBidi"/>
        </w:rPr>
      </w:pPr>
      <w:r w:rsidRPr="00620851">
        <w:rPr>
          <w:rFonts w:asciiTheme="majorBidi" w:hAnsiTheme="majorBidi"/>
        </w:rPr>
        <w:t>C. Visual Analytics and Interpretation</w:t>
      </w:r>
    </w:p>
    <w:p w14:paraId="16F7901B" w14:textId="00A316F4" w:rsidR="00222BC7" w:rsidRPr="00222BC7" w:rsidRDefault="00DA0774" w:rsidP="00FA7EBE">
      <w:pPr>
        <w:rPr>
          <w:rFonts w:asciiTheme="majorBidi" w:hAnsiTheme="majorBidi" w:cstheme="majorBidi"/>
          <w:sz w:val="20"/>
          <w:szCs w:val="20"/>
        </w:rPr>
      </w:pPr>
      <w:r w:rsidRPr="00704C7A">
        <w:rPr>
          <w:rFonts w:asciiTheme="majorBidi" w:hAnsiTheme="majorBidi" w:cstheme="majorBidi"/>
          <w:sz w:val="20"/>
          <w:szCs w:val="20"/>
        </w:rPr>
        <w:t xml:space="preserve">Visual analytics included time series plots, raster heatmaps, cluster overlays, and spatial standard deviation maps. These visualizations </w:t>
      </w:r>
      <w:r w:rsidR="00FA7EBE" w:rsidRPr="00704C7A">
        <w:rPr>
          <w:rFonts w:asciiTheme="majorBidi" w:hAnsiTheme="majorBidi" w:cstheme="majorBidi"/>
          <w:sz w:val="20"/>
          <w:szCs w:val="20"/>
        </w:rPr>
        <w:t>emphasized</w:t>
      </w:r>
      <w:r w:rsidRPr="00704C7A">
        <w:rPr>
          <w:rFonts w:asciiTheme="majorBidi" w:hAnsiTheme="majorBidi" w:cstheme="majorBidi"/>
          <w:sz w:val="20"/>
          <w:szCs w:val="20"/>
        </w:rPr>
        <w:t xml:space="preserve"> </w:t>
      </w:r>
      <w:r w:rsidR="00FA7EBE" w:rsidRPr="00704C7A">
        <w:rPr>
          <w:rFonts w:asciiTheme="majorBidi" w:hAnsiTheme="majorBidi" w:cstheme="majorBidi"/>
          <w:sz w:val="20"/>
          <w:szCs w:val="20"/>
        </w:rPr>
        <w:t xml:space="preserve">trends and variation among </w:t>
      </w:r>
      <w:r w:rsidRPr="00704C7A">
        <w:rPr>
          <w:rFonts w:asciiTheme="majorBidi" w:hAnsiTheme="majorBidi" w:cstheme="majorBidi"/>
          <w:sz w:val="20"/>
          <w:szCs w:val="20"/>
        </w:rPr>
        <w:t>UAE cities [9].</w:t>
      </w:r>
      <w:r w:rsidR="00222BC7" w:rsidRPr="00704C7A">
        <w:rPr>
          <w:rFonts w:asciiTheme="majorBidi" w:hAnsiTheme="majorBidi" w:cstheme="majorBidi"/>
          <w:sz w:val="20"/>
          <w:szCs w:val="20"/>
        </w:rPr>
        <w:t xml:space="preserve"> </w:t>
      </w:r>
      <w:r w:rsidR="00222BC7" w:rsidRPr="00222BC7">
        <w:rPr>
          <w:rFonts w:asciiTheme="majorBidi" w:hAnsiTheme="majorBidi" w:cstheme="majorBidi"/>
          <w:sz w:val="20"/>
          <w:szCs w:val="20"/>
        </w:rPr>
        <w:t>Visual analytics included:</w:t>
      </w:r>
    </w:p>
    <w:p w14:paraId="40475B3B" w14:textId="3023799A" w:rsidR="008D61AF" w:rsidRPr="00704C7A" w:rsidRDefault="00222BC7" w:rsidP="008D61AF">
      <w:pPr>
        <w:numPr>
          <w:ilvl w:val="0"/>
          <w:numId w:val="10"/>
        </w:numPr>
        <w:rPr>
          <w:rFonts w:asciiTheme="majorBidi" w:hAnsiTheme="majorBidi" w:cstheme="majorBidi"/>
          <w:sz w:val="20"/>
          <w:szCs w:val="20"/>
        </w:rPr>
      </w:pPr>
      <w:r w:rsidRPr="00222BC7">
        <w:rPr>
          <w:rFonts w:asciiTheme="majorBidi" w:hAnsiTheme="majorBidi" w:cstheme="majorBidi"/>
          <w:b/>
          <w:bCs/>
          <w:sz w:val="20"/>
          <w:szCs w:val="20"/>
        </w:rPr>
        <w:t>Time Series Plots</w:t>
      </w:r>
      <w:r w:rsidRPr="00222BC7">
        <w:rPr>
          <w:rFonts w:asciiTheme="majorBidi" w:hAnsiTheme="majorBidi" w:cstheme="majorBidi"/>
          <w:sz w:val="20"/>
          <w:szCs w:val="20"/>
        </w:rPr>
        <w:t>:</w:t>
      </w:r>
      <w:r w:rsidRPr="00222BC7">
        <w:rPr>
          <w:rFonts w:asciiTheme="majorBidi" w:hAnsiTheme="majorBidi" w:cstheme="majorBidi"/>
          <w:sz w:val="20"/>
          <w:szCs w:val="20"/>
        </w:rPr>
        <w:br/>
      </w:r>
      <w:r w:rsidR="008D61AF" w:rsidRPr="00704C7A">
        <w:rPr>
          <w:rFonts w:asciiTheme="majorBidi" w:hAnsiTheme="majorBidi" w:cstheme="majorBidi"/>
          <w:sz w:val="20"/>
          <w:szCs w:val="20"/>
        </w:rPr>
        <w:t xml:space="preserve">Mobility and composite pollution indicators are plotted annually (2020–2025) in comparison, with the observed and </w:t>
      </w:r>
      <w:r w:rsidR="00106C4A" w:rsidRPr="00704C7A">
        <w:rPr>
          <w:rFonts w:asciiTheme="majorBidi" w:hAnsiTheme="majorBidi" w:cstheme="majorBidi"/>
          <w:sz w:val="20"/>
          <w:szCs w:val="20"/>
        </w:rPr>
        <w:t>forecasted</w:t>
      </w:r>
      <w:r w:rsidR="008D61AF" w:rsidRPr="00704C7A">
        <w:rPr>
          <w:rFonts w:asciiTheme="majorBidi" w:hAnsiTheme="majorBidi" w:cstheme="majorBidi"/>
          <w:sz w:val="20"/>
          <w:szCs w:val="20"/>
        </w:rPr>
        <w:t xml:space="preserve"> years separated.</w:t>
      </w:r>
    </w:p>
    <w:p w14:paraId="2E5BE579" w14:textId="0C83CAB1" w:rsidR="00222BC7" w:rsidRPr="00222BC7" w:rsidRDefault="00222BC7" w:rsidP="00590913">
      <w:pPr>
        <w:numPr>
          <w:ilvl w:val="0"/>
          <w:numId w:val="10"/>
        </w:numPr>
        <w:rPr>
          <w:rFonts w:asciiTheme="majorBidi" w:hAnsiTheme="majorBidi" w:cstheme="majorBidi"/>
          <w:sz w:val="20"/>
          <w:szCs w:val="20"/>
        </w:rPr>
      </w:pPr>
      <w:r w:rsidRPr="00222BC7">
        <w:rPr>
          <w:rFonts w:asciiTheme="majorBidi" w:hAnsiTheme="majorBidi" w:cstheme="majorBidi"/>
          <w:b/>
          <w:bCs/>
          <w:sz w:val="20"/>
          <w:szCs w:val="20"/>
        </w:rPr>
        <w:t>Raster Heatmaps</w:t>
      </w:r>
      <w:r w:rsidRPr="00222BC7">
        <w:rPr>
          <w:rFonts w:asciiTheme="majorBidi" w:hAnsiTheme="majorBidi" w:cstheme="majorBidi"/>
          <w:sz w:val="20"/>
          <w:szCs w:val="20"/>
        </w:rPr>
        <w:t>:</w:t>
      </w:r>
      <w:r w:rsidRPr="00222BC7">
        <w:rPr>
          <w:rFonts w:asciiTheme="majorBidi" w:hAnsiTheme="majorBidi" w:cstheme="majorBidi"/>
          <w:sz w:val="20"/>
          <w:szCs w:val="20"/>
        </w:rPr>
        <w:br/>
        <w:t>Visualizations of pixel-level differences between historical and forecasted pollution levels [9].</w:t>
      </w:r>
    </w:p>
    <w:p w14:paraId="167F13D9" w14:textId="77777777" w:rsidR="00222BC7" w:rsidRPr="00222BC7" w:rsidRDefault="00222BC7" w:rsidP="00222BC7">
      <w:pPr>
        <w:numPr>
          <w:ilvl w:val="0"/>
          <w:numId w:val="10"/>
        </w:numPr>
        <w:rPr>
          <w:rFonts w:asciiTheme="majorBidi" w:hAnsiTheme="majorBidi" w:cstheme="majorBidi"/>
          <w:sz w:val="20"/>
          <w:szCs w:val="20"/>
        </w:rPr>
      </w:pPr>
      <w:r w:rsidRPr="00222BC7">
        <w:rPr>
          <w:rFonts w:asciiTheme="majorBidi" w:hAnsiTheme="majorBidi" w:cstheme="majorBidi"/>
          <w:b/>
          <w:bCs/>
          <w:sz w:val="20"/>
          <w:szCs w:val="20"/>
        </w:rPr>
        <w:lastRenderedPageBreak/>
        <w:t>Cluster-Enhanced Maps</w:t>
      </w:r>
      <w:r w:rsidRPr="00222BC7">
        <w:rPr>
          <w:rFonts w:asciiTheme="majorBidi" w:hAnsiTheme="majorBidi" w:cstheme="majorBidi"/>
          <w:sz w:val="20"/>
          <w:szCs w:val="20"/>
        </w:rPr>
        <w:t>:</w:t>
      </w:r>
      <w:r w:rsidRPr="00222BC7">
        <w:rPr>
          <w:rFonts w:asciiTheme="majorBidi" w:hAnsiTheme="majorBidi" w:cstheme="majorBidi"/>
          <w:sz w:val="20"/>
          <w:szCs w:val="20"/>
        </w:rPr>
        <w:br/>
        <w:t>K-Means clusters derived in Phase One were overlaid on forecast maps to assess differential urban risk evolution.</w:t>
      </w:r>
    </w:p>
    <w:p w14:paraId="1EBCF2D9" w14:textId="54E6483B" w:rsidR="00222BC7" w:rsidRPr="00704C7A" w:rsidRDefault="00222BC7" w:rsidP="006F73A9">
      <w:pPr>
        <w:numPr>
          <w:ilvl w:val="0"/>
          <w:numId w:val="10"/>
        </w:numPr>
        <w:rPr>
          <w:rFonts w:asciiTheme="majorBidi" w:hAnsiTheme="majorBidi" w:cstheme="majorBidi"/>
          <w:sz w:val="20"/>
          <w:szCs w:val="20"/>
        </w:rPr>
      </w:pPr>
      <w:r w:rsidRPr="00222BC7">
        <w:rPr>
          <w:rFonts w:asciiTheme="majorBidi" w:hAnsiTheme="majorBidi" w:cstheme="majorBidi"/>
          <w:b/>
          <w:bCs/>
          <w:sz w:val="20"/>
          <w:szCs w:val="20"/>
        </w:rPr>
        <w:t>Standard Deviation Spatial Maps</w:t>
      </w:r>
      <w:r w:rsidRPr="00222BC7">
        <w:rPr>
          <w:rFonts w:asciiTheme="majorBidi" w:hAnsiTheme="majorBidi" w:cstheme="majorBidi"/>
          <w:sz w:val="20"/>
          <w:szCs w:val="20"/>
        </w:rPr>
        <w:t>:</w:t>
      </w:r>
      <w:r w:rsidRPr="00222BC7">
        <w:rPr>
          <w:rFonts w:asciiTheme="majorBidi" w:hAnsiTheme="majorBidi" w:cstheme="majorBidi"/>
          <w:sz w:val="20"/>
          <w:szCs w:val="20"/>
        </w:rPr>
        <w:br/>
        <w:t>Zones with the highest forecast variability were identified as potentially unstable environmental risk zones.</w:t>
      </w:r>
    </w:p>
    <w:p w14:paraId="24C4C609" w14:textId="77777777" w:rsidR="00E31F8D" w:rsidRDefault="00DA0774" w:rsidP="00E31F8D">
      <w:pPr>
        <w:pStyle w:val="Heading3"/>
        <w:rPr>
          <w:rFonts w:asciiTheme="majorBidi" w:hAnsiTheme="majorBidi"/>
        </w:rPr>
      </w:pPr>
      <w:r w:rsidRPr="00620851">
        <w:rPr>
          <w:rFonts w:asciiTheme="majorBidi" w:hAnsiTheme="majorBidi"/>
        </w:rPr>
        <w:t>D. Scenario Risk Evaluation</w:t>
      </w:r>
    </w:p>
    <w:p w14:paraId="36BBEC54" w14:textId="46A3EB22" w:rsidR="006F73A9" w:rsidRPr="00704C7A" w:rsidRDefault="00C469C0" w:rsidP="00704C7A">
      <w:pPr>
        <w:rPr>
          <w:rFonts w:asciiTheme="majorBidi" w:hAnsiTheme="majorBidi" w:cstheme="majorBidi"/>
          <w:sz w:val="20"/>
          <w:szCs w:val="20"/>
        </w:rPr>
      </w:pPr>
      <w:r w:rsidRPr="00704C7A">
        <w:rPr>
          <w:rFonts w:asciiTheme="majorBidi" w:hAnsiTheme="majorBidi" w:cstheme="majorBidi"/>
          <w:sz w:val="20"/>
          <w:szCs w:val="20"/>
        </w:rPr>
        <w:t xml:space="preserve">A methodology for evaluating risk was developed by </w:t>
      </w:r>
      <w:r w:rsidR="00222BC7" w:rsidRPr="00704C7A">
        <w:rPr>
          <w:rFonts w:asciiTheme="majorBidi" w:hAnsiTheme="majorBidi" w:cstheme="majorBidi"/>
          <w:sz w:val="20"/>
          <w:szCs w:val="20"/>
        </w:rPr>
        <w:t>integrating mobility growth rates, forecasted pollution deterioration, and variability measures</w:t>
      </w:r>
      <w:r w:rsidRPr="00704C7A">
        <w:rPr>
          <w:rFonts w:asciiTheme="majorBidi" w:hAnsiTheme="majorBidi" w:cstheme="majorBidi"/>
          <w:sz w:val="20"/>
          <w:szCs w:val="20"/>
        </w:rPr>
        <w:t xml:space="preserve">. </w:t>
      </w:r>
      <w:r w:rsidR="00222BC7" w:rsidRPr="00704C7A">
        <w:rPr>
          <w:rFonts w:asciiTheme="majorBidi" w:hAnsiTheme="majorBidi" w:cstheme="majorBidi"/>
          <w:sz w:val="20"/>
          <w:szCs w:val="20"/>
        </w:rPr>
        <w:t>High-risk geohashes were flagged as priorities for urban mitigation strategies, aligning with recommendations from recent urban pollution scenario studies [2], [5].</w:t>
      </w:r>
    </w:p>
    <w:p w14:paraId="6A75E7E0" w14:textId="2BEE040A" w:rsidR="002B63D8" w:rsidRPr="00620851" w:rsidRDefault="00DA0774" w:rsidP="00E31F8D">
      <w:pPr>
        <w:pStyle w:val="Heading3"/>
        <w:rPr>
          <w:rFonts w:asciiTheme="majorBidi" w:hAnsiTheme="majorBidi"/>
        </w:rPr>
      </w:pPr>
      <w:r w:rsidRPr="00620851">
        <w:rPr>
          <w:rFonts w:asciiTheme="majorBidi" w:hAnsiTheme="majorBidi"/>
        </w:rPr>
        <w:t>REFERENCES</w:t>
      </w:r>
    </w:p>
    <w:p w14:paraId="5DB13354"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[1] A. Al </w:t>
      </w:r>
      <w:proofErr w:type="spellStart"/>
      <w:r w:rsidRPr="00620851">
        <w:rPr>
          <w:rFonts w:asciiTheme="majorBidi" w:hAnsiTheme="majorBidi" w:cstheme="majorBidi"/>
          <w:sz w:val="20"/>
          <w:szCs w:val="20"/>
        </w:rPr>
        <w:t>Jawarneh</w:t>
      </w:r>
      <w:proofErr w:type="spellEnd"/>
      <w:r w:rsidRPr="00620851">
        <w:rPr>
          <w:rFonts w:asciiTheme="majorBidi" w:hAnsiTheme="majorBidi" w:cstheme="majorBidi"/>
          <w:sz w:val="20"/>
          <w:szCs w:val="20"/>
        </w:rPr>
        <w:t xml:space="preserve">, et al., "AI-driven Urban Analytics: Data-Driven Models for Mobility and Pollution," </w:t>
      </w:r>
      <w:r w:rsidRPr="00620851">
        <w:rPr>
          <w:rFonts w:asciiTheme="majorBidi" w:hAnsiTheme="majorBidi" w:cstheme="majorBidi"/>
          <w:i/>
          <w:iCs/>
          <w:sz w:val="20"/>
          <w:szCs w:val="20"/>
        </w:rPr>
        <w:t>Future Internet</w:t>
      </w:r>
      <w:r w:rsidRPr="00620851">
        <w:rPr>
          <w:rFonts w:asciiTheme="majorBidi" w:hAnsiTheme="majorBidi" w:cstheme="majorBidi"/>
          <w:sz w:val="20"/>
          <w:szCs w:val="20"/>
        </w:rPr>
        <w:t>, 2023.</w:t>
      </w:r>
    </w:p>
    <w:p w14:paraId="720AF70D"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[2] O. </w:t>
      </w:r>
      <w:proofErr w:type="spellStart"/>
      <w:r w:rsidRPr="00620851">
        <w:rPr>
          <w:rFonts w:asciiTheme="majorBidi" w:hAnsiTheme="majorBidi" w:cstheme="majorBidi"/>
          <w:sz w:val="20"/>
          <w:szCs w:val="20"/>
        </w:rPr>
        <w:t>Ghaffarpasand</w:t>
      </w:r>
      <w:proofErr w:type="spellEnd"/>
      <w:r w:rsidRPr="00620851">
        <w:rPr>
          <w:rFonts w:asciiTheme="majorBidi" w:hAnsiTheme="majorBidi" w:cstheme="majorBidi"/>
          <w:sz w:val="20"/>
          <w:szCs w:val="20"/>
        </w:rPr>
        <w:t xml:space="preserve">, et al., "The impact of urban mobility on air pollution in Kampala," </w:t>
      </w:r>
      <w:r w:rsidRPr="00620851">
        <w:rPr>
          <w:rFonts w:asciiTheme="majorBidi" w:hAnsiTheme="majorBidi" w:cstheme="majorBidi"/>
          <w:i/>
          <w:iCs/>
          <w:sz w:val="20"/>
          <w:szCs w:val="20"/>
        </w:rPr>
        <w:t>Atmospheric Pollution Research</w:t>
      </w:r>
      <w:r w:rsidRPr="00620851">
        <w:rPr>
          <w:rFonts w:asciiTheme="majorBidi" w:hAnsiTheme="majorBidi" w:cstheme="majorBidi"/>
          <w:sz w:val="20"/>
          <w:szCs w:val="20"/>
        </w:rPr>
        <w:t>, 2024.</w:t>
      </w:r>
    </w:p>
    <w:p w14:paraId="29B4B040"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[3] G. </w:t>
      </w:r>
      <w:proofErr w:type="spellStart"/>
      <w:r w:rsidRPr="00620851">
        <w:rPr>
          <w:rFonts w:asciiTheme="majorBidi" w:hAnsiTheme="majorBidi" w:cstheme="majorBidi"/>
          <w:sz w:val="20"/>
          <w:szCs w:val="20"/>
        </w:rPr>
        <w:t>Gianquintieri</w:t>
      </w:r>
      <w:proofErr w:type="spellEnd"/>
      <w:r w:rsidRPr="00620851">
        <w:rPr>
          <w:rFonts w:asciiTheme="majorBidi" w:hAnsiTheme="majorBidi" w:cstheme="majorBidi"/>
          <w:sz w:val="20"/>
          <w:szCs w:val="20"/>
        </w:rPr>
        <w:t xml:space="preserve">, et al., "Atmospheric satellite validation strategies," </w:t>
      </w:r>
      <w:r w:rsidRPr="00620851">
        <w:rPr>
          <w:rFonts w:asciiTheme="majorBidi" w:hAnsiTheme="majorBidi" w:cstheme="majorBidi"/>
          <w:i/>
          <w:iCs/>
          <w:sz w:val="20"/>
          <w:szCs w:val="20"/>
        </w:rPr>
        <w:t>Atmosphere</w:t>
      </w:r>
      <w:r w:rsidRPr="00620851">
        <w:rPr>
          <w:rFonts w:asciiTheme="majorBidi" w:hAnsiTheme="majorBidi" w:cstheme="majorBidi"/>
          <w:sz w:val="20"/>
          <w:szCs w:val="20"/>
        </w:rPr>
        <w:t>, 2024.</w:t>
      </w:r>
    </w:p>
    <w:p w14:paraId="13DA4AEA"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[4] M. Morley, et al., "Improving spatial exposure models via geocoding," </w:t>
      </w:r>
      <w:r w:rsidRPr="00620851">
        <w:rPr>
          <w:rFonts w:asciiTheme="majorBidi" w:hAnsiTheme="majorBidi" w:cstheme="majorBidi"/>
          <w:i/>
          <w:iCs/>
          <w:sz w:val="20"/>
          <w:szCs w:val="20"/>
        </w:rPr>
        <w:t>Environmental Pollution</w:t>
      </w:r>
      <w:r w:rsidRPr="00620851">
        <w:rPr>
          <w:rFonts w:asciiTheme="majorBidi" w:hAnsiTheme="majorBidi" w:cstheme="majorBidi"/>
          <w:sz w:val="20"/>
          <w:szCs w:val="20"/>
        </w:rPr>
        <w:t>, 2016.</w:t>
      </w:r>
    </w:p>
    <w:p w14:paraId="3878A74F"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[5] S. Oh, et al., "Enhancing air pollution forecasts using data-driven </w:t>
      </w:r>
      <w:proofErr w:type="spellStart"/>
      <w:r w:rsidRPr="00620851">
        <w:rPr>
          <w:rFonts w:asciiTheme="majorBidi" w:hAnsiTheme="majorBidi" w:cstheme="majorBidi"/>
          <w:sz w:val="20"/>
          <w:szCs w:val="20"/>
        </w:rPr>
        <w:t>deweathering</w:t>
      </w:r>
      <w:proofErr w:type="spellEnd"/>
      <w:r w:rsidRPr="00620851">
        <w:rPr>
          <w:rFonts w:asciiTheme="majorBidi" w:hAnsiTheme="majorBidi" w:cstheme="majorBidi"/>
          <w:sz w:val="20"/>
          <w:szCs w:val="20"/>
        </w:rPr>
        <w:t xml:space="preserve">," </w:t>
      </w:r>
      <w:r w:rsidRPr="00620851">
        <w:rPr>
          <w:rFonts w:asciiTheme="majorBidi" w:hAnsiTheme="majorBidi" w:cstheme="majorBidi"/>
          <w:i/>
          <w:iCs/>
          <w:sz w:val="20"/>
          <w:szCs w:val="20"/>
        </w:rPr>
        <w:t>Atmospheric Pollution Research</w:t>
      </w:r>
      <w:r w:rsidRPr="00620851">
        <w:rPr>
          <w:rFonts w:asciiTheme="majorBidi" w:hAnsiTheme="majorBidi" w:cstheme="majorBidi"/>
          <w:sz w:val="20"/>
          <w:szCs w:val="20"/>
        </w:rPr>
        <w:t>, 2024.</w:t>
      </w:r>
    </w:p>
    <w:p w14:paraId="07B7534D"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[6] R. Mulyana, et al., "K-Means Clustering for Source Attribution," </w:t>
      </w:r>
      <w:r w:rsidRPr="00620851">
        <w:rPr>
          <w:rFonts w:asciiTheme="majorBidi" w:hAnsiTheme="majorBidi" w:cstheme="majorBidi"/>
          <w:i/>
          <w:iCs/>
          <w:sz w:val="20"/>
          <w:szCs w:val="20"/>
        </w:rPr>
        <w:t>Environmental Monitoring and Assessment</w:t>
      </w:r>
      <w:r w:rsidRPr="00620851">
        <w:rPr>
          <w:rFonts w:asciiTheme="majorBidi" w:hAnsiTheme="majorBidi" w:cstheme="majorBidi"/>
          <w:sz w:val="20"/>
          <w:szCs w:val="20"/>
        </w:rPr>
        <w:t>, 2025.</w:t>
      </w:r>
    </w:p>
    <w:p w14:paraId="1F035D08"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[7] A. Cummings, et al., "Urban mobility and mobile source emissions," </w:t>
      </w:r>
      <w:r w:rsidRPr="00620851">
        <w:rPr>
          <w:rFonts w:asciiTheme="majorBidi" w:hAnsiTheme="majorBidi" w:cstheme="majorBidi"/>
          <w:i/>
          <w:iCs/>
          <w:sz w:val="20"/>
          <w:szCs w:val="20"/>
        </w:rPr>
        <w:t>Frontiers in Built Environment</w:t>
      </w:r>
      <w:r w:rsidRPr="00620851">
        <w:rPr>
          <w:rFonts w:asciiTheme="majorBidi" w:hAnsiTheme="majorBidi" w:cstheme="majorBidi"/>
          <w:sz w:val="20"/>
          <w:szCs w:val="20"/>
        </w:rPr>
        <w:t>, 2021.</w:t>
      </w:r>
    </w:p>
    <w:p w14:paraId="5F14CE40"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[8] R. Dong, et al., "Air Pollution Risk Simulations Using Demographic Weighting," </w:t>
      </w:r>
      <w:r w:rsidRPr="00620851">
        <w:rPr>
          <w:rFonts w:asciiTheme="majorBidi" w:hAnsiTheme="majorBidi" w:cstheme="majorBidi"/>
          <w:i/>
          <w:iCs/>
          <w:sz w:val="20"/>
          <w:szCs w:val="20"/>
        </w:rPr>
        <w:t>Scientific Reports</w:t>
      </w:r>
      <w:r w:rsidRPr="00620851">
        <w:rPr>
          <w:rFonts w:asciiTheme="majorBidi" w:hAnsiTheme="majorBidi" w:cstheme="majorBidi"/>
          <w:sz w:val="20"/>
          <w:szCs w:val="20"/>
        </w:rPr>
        <w:t>, 2020.</w:t>
      </w:r>
    </w:p>
    <w:p w14:paraId="3C395EFE" w14:textId="77777777" w:rsidR="00620851" w:rsidRPr="00620851" w:rsidRDefault="00620851" w:rsidP="00620851">
      <w:pPr>
        <w:rPr>
          <w:rFonts w:asciiTheme="majorBidi" w:hAnsiTheme="majorBidi" w:cstheme="majorBidi"/>
          <w:sz w:val="20"/>
          <w:szCs w:val="20"/>
        </w:rPr>
      </w:pPr>
      <w:r w:rsidRPr="00620851">
        <w:rPr>
          <w:rFonts w:asciiTheme="majorBidi" w:hAnsiTheme="majorBidi" w:cstheme="majorBidi"/>
          <w:sz w:val="20"/>
          <w:szCs w:val="20"/>
        </w:rPr>
        <w:t xml:space="preserve">[9] O. </w:t>
      </w:r>
      <w:proofErr w:type="spellStart"/>
      <w:r w:rsidRPr="00620851">
        <w:rPr>
          <w:rFonts w:asciiTheme="majorBidi" w:hAnsiTheme="majorBidi" w:cstheme="majorBidi"/>
          <w:sz w:val="20"/>
          <w:szCs w:val="20"/>
        </w:rPr>
        <w:t>Obiefuna</w:t>
      </w:r>
      <w:proofErr w:type="spellEnd"/>
      <w:r w:rsidRPr="00620851">
        <w:rPr>
          <w:rFonts w:asciiTheme="majorBidi" w:hAnsiTheme="majorBidi" w:cstheme="majorBidi"/>
          <w:sz w:val="20"/>
          <w:szCs w:val="20"/>
        </w:rPr>
        <w:t xml:space="preserve">, et al., "GIS-based pollution mapping for urban management," </w:t>
      </w:r>
      <w:r w:rsidRPr="00620851">
        <w:rPr>
          <w:rFonts w:asciiTheme="majorBidi" w:hAnsiTheme="majorBidi" w:cstheme="majorBidi"/>
          <w:i/>
          <w:iCs/>
          <w:sz w:val="20"/>
          <w:szCs w:val="20"/>
        </w:rPr>
        <w:t>Environment and Ecology Research</w:t>
      </w:r>
      <w:r w:rsidRPr="00620851">
        <w:rPr>
          <w:rFonts w:asciiTheme="majorBidi" w:hAnsiTheme="majorBidi" w:cstheme="majorBidi"/>
          <w:sz w:val="20"/>
          <w:szCs w:val="20"/>
        </w:rPr>
        <w:t>, 2021.</w:t>
      </w:r>
    </w:p>
    <w:p w14:paraId="22791CA6" w14:textId="77777777" w:rsidR="007B66EA" w:rsidRPr="007B66EA" w:rsidRDefault="007B66EA" w:rsidP="007B66EA">
      <w:pPr>
        <w:rPr>
          <w:rFonts w:asciiTheme="majorBidi" w:hAnsiTheme="majorBidi" w:cstheme="majorBidi"/>
          <w:sz w:val="20"/>
          <w:szCs w:val="20"/>
        </w:rPr>
      </w:pPr>
      <w:r w:rsidRPr="007B66EA">
        <w:rPr>
          <w:rFonts w:asciiTheme="majorBidi" w:hAnsiTheme="majorBidi" w:cstheme="majorBidi"/>
          <w:sz w:val="20"/>
          <w:szCs w:val="20"/>
        </w:rPr>
        <w:t>[10] Google, "COVID-19 Community Mobility Reports," Google, 2022. [Online]. Available: https://www.google.com/covid19/mobility/. [Accessed: 26-Apr-2025].</w:t>
      </w:r>
    </w:p>
    <w:p w14:paraId="1B4CD1B1" w14:textId="56D94511" w:rsidR="007B66EA" w:rsidRPr="007B66EA" w:rsidRDefault="007B66EA" w:rsidP="007B66EA">
      <w:pPr>
        <w:rPr>
          <w:rFonts w:asciiTheme="majorBidi" w:hAnsiTheme="majorBidi" w:cstheme="majorBidi"/>
          <w:sz w:val="20"/>
          <w:szCs w:val="20"/>
        </w:rPr>
      </w:pPr>
      <w:r w:rsidRPr="007B66EA">
        <w:rPr>
          <w:rFonts w:asciiTheme="majorBidi" w:hAnsiTheme="majorBidi" w:cstheme="majorBidi"/>
          <w:sz w:val="20"/>
          <w:szCs w:val="20"/>
        </w:rPr>
        <w:t xml:space="preserve">[11] </w:t>
      </w:r>
      <w:proofErr w:type="spellStart"/>
      <w:r w:rsidRPr="007B66EA">
        <w:rPr>
          <w:rFonts w:asciiTheme="majorBidi" w:hAnsiTheme="majorBidi" w:cstheme="majorBidi"/>
          <w:sz w:val="20"/>
          <w:szCs w:val="20"/>
        </w:rPr>
        <w:t>OpenAQ</w:t>
      </w:r>
      <w:proofErr w:type="spellEnd"/>
      <w:r w:rsidRPr="007B66EA">
        <w:rPr>
          <w:rFonts w:asciiTheme="majorBidi" w:hAnsiTheme="majorBidi" w:cstheme="majorBidi"/>
          <w:sz w:val="20"/>
          <w:szCs w:val="20"/>
        </w:rPr>
        <w:t xml:space="preserve">, "Open Air Quality Data Platform," </w:t>
      </w:r>
      <w:proofErr w:type="spellStart"/>
      <w:r w:rsidRPr="007B66EA">
        <w:rPr>
          <w:rFonts w:asciiTheme="majorBidi" w:hAnsiTheme="majorBidi" w:cstheme="majorBidi"/>
          <w:sz w:val="20"/>
          <w:szCs w:val="20"/>
        </w:rPr>
        <w:t>OpenAQ</w:t>
      </w:r>
      <w:proofErr w:type="spellEnd"/>
      <w:r w:rsidRPr="007B66EA">
        <w:rPr>
          <w:rFonts w:asciiTheme="majorBidi" w:hAnsiTheme="majorBidi" w:cstheme="majorBidi"/>
          <w:sz w:val="20"/>
          <w:szCs w:val="20"/>
        </w:rPr>
        <w:t xml:space="preserve">, 2022. [Online]. Available: </w:t>
      </w:r>
      <w:hyperlink r:id="rId7" w:history="1">
        <w:r w:rsidR="00D9035C" w:rsidRPr="007B66EA">
          <w:rPr>
            <w:rStyle w:val="Hyperlink"/>
            <w:rFonts w:asciiTheme="majorBidi" w:hAnsiTheme="majorBidi" w:cstheme="majorBidi"/>
            <w:sz w:val="20"/>
            <w:szCs w:val="20"/>
          </w:rPr>
          <w:t>https://openaq.org/</w:t>
        </w:r>
      </w:hyperlink>
      <w:r w:rsidRPr="007B66EA">
        <w:rPr>
          <w:rFonts w:asciiTheme="majorBidi" w:hAnsiTheme="majorBidi" w:cstheme="majorBidi"/>
          <w:sz w:val="20"/>
          <w:szCs w:val="20"/>
        </w:rPr>
        <w:t>. [Accessed: 26-Apr-2025].</w:t>
      </w:r>
    </w:p>
    <w:p w14:paraId="6D152E6B" w14:textId="77777777" w:rsidR="007B66EA" w:rsidRPr="007B66EA" w:rsidRDefault="007B66EA" w:rsidP="007B66EA">
      <w:pPr>
        <w:rPr>
          <w:rFonts w:asciiTheme="majorBidi" w:hAnsiTheme="majorBidi" w:cstheme="majorBidi"/>
          <w:sz w:val="20"/>
          <w:szCs w:val="20"/>
        </w:rPr>
      </w:pPr>
      <w:r w:rsidRPr="007B66EA">
        <w:rPr>
          <w:rFonts w:asciiTheme="majorBidi" w:hAnsiTheme="majorBidi" w:cstheme="majorBidi"/>
          <w:sz w:val="20"/>
          <w:szCs w:val="20"/>
        </w:rPr>
        <w:t>[12] Copernicus Open Access Hub, "Sentinel-5P Satellite Data," European Space Agency, 2022. [Online]. Available: https://scihub.copernicus.eu/. [Accessed: 26-Apr-2025].</w:t>
      </w:r>
    </w:p>
    <w:p w14:paraId="60A2A4C6" w14:textId="77777777" w:rsidR="007B66EA" w:rsidRPr="007B66EA" w:rsidRDefault="007B66EA" w:rsidP="007B66EA">
      <w:pPr>
        <w:rPr>
          <w:rFonts w:asciiTheme="majorBidi" w:hAnsiTheme="majorBidi" w:cstheme="majorBidi"/>
          <w:sz w:val="20"/>
          <w:szCs w:val="20"/>
        </w:rPr>
      </w:pPr>
      <w:r w:rsidRPr="007B66EA">
        <w:rPr>
          <w:rFonts w:asciiTheme="majorBidi" w:hAnsiTheme="majorBidi" w:cstheme="majorBidi"/>
          <w:sz w:val="20"/>
          <w:szCs w:val="20"/>
        </w:rPr>
        <w:t>[13] Ericsson, "Ericsson Mobility Report – Forecasts for Mobile Data Traffic," Ericsson, 2023. [Online]. Available: https://www.ericsson.com/en/reports-and-papers/mobility-report. [Accessed: 26-Apr-2025].</w:t>
      </w:r>
    </w:p>
    <w:p w14:paraId="785F7161" w14:textId="429B5FA6" w:rsidR="002B63D8" w:rsidRPr="00704C7A" w:rsidRDefault="002B63D8" w:rsidP="00620851">
      <w:pPr>
        <w:rPr>
          <w:rFonts w:asciiTheme="majorBidi" w:hAnsiTheme="majorBidi" w:cstheme="majorBidi"/>
          <w:sz w:val="20"/>
          <w:szCs w:val="20"/>
        </w:rPr>
      </w:pPr>
    </w:p>
    <w:sectPr w:rsidR="002B63D8" w:rsidRPr="00704C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65033C5"/>
    <w:multiLevelType w:val="multilevel"/>
    <w:tmpl w:val="9E56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D84C27"/>
    <w:multiLevelType w:val="multilevel"/>
    <w:tmpl w:val="8420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756ECA"/>
    <w:multiLevelType w:val="multilevel"/>
    <w:tmpl w:val="7DC214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7486361">
    <w:abstractNumId w:val="8"/>
  </w:num>
  <w:num w:numId="2" w16cid:durableId="538247292">
    <w:abstractNumId w:val="6"/>
  </w:num>
  <w:num w:numId="3" w16cid:durableId="1984390083">
    <w:abstractNumId w:val="5"/>
  </w:num>
  <w:num w:numId="4" w16cid:durableId="694230826">
    <w:abstractNumId w:val="4"/>
  </w:num>
  <w:num w:numId="5" w16cid:durableId="1641881847">
    <w:abstractNumId w:val="7"/>
  </w:num>
  <w:num w:numId="6" w16cid:durableId="1610039503">
    <w:abstractNumId w:val="3"/>
  </w:num>
  <w:num w:numId="7" w16cid:durableId="1186166799">
    <w:abstractNumId w:val="2"/>
  </w:num>
  <w:num w:numId="8" w16cid:durableId="1297250304">
    <w:abstractNumId w:val="1"/>
  </w:num>
  <w:num w:numId="9" w16cid:durableId="725689848">
    <w:abstractNumId w:val="0"/>
  </w:num>
  <w:num w:numId="10" w16cid:durableId="2022123830">
    <w:abstractNumId w:val="10"/>
  </w:num>
  <w:num w:numId="11" w16cid:durableId="1667592847">
    <w:abstractNumId w:val="11"/>
  </w:num>
  <w:num w:numId="12" w16cid:durableId="20314859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3F9"/>
    <w:rsid w:val="00034616"/>
    <w:rsid w:val="0005607C"/>
    <w:rsid w:val="00060581"/>
    <w:rsid w:val="0006063C"/>
    <w:rsid w:val="000A062C"/>
    <w:rsid w:val="000B4997"/>
    <w:rsid w:val="000B7237"/>
    <w:rsid w:val="000E0ED2"/>
    <w:rsid w:val="000E220B"/>
    <w:rsid w:val="000E2D89"/>
    <w:rsid w:val="00106C4A"/>
    <w:rsid w:val="00135DD5"/>
    <w:rsid w:val="0015074B"/>
    <w:rsid w:val="001523CF"/>
    <w:rsid w:val="00172639"/>
    <w:rsid w:val="00182AF9"/>
    <w:rsid w:val="001971FB"/>
    <w:rsid w:val="001E4FDD"/>
    <w:rsid w:val="00222BC7"/>
    <w:rsid w:val="002405D0"/>
    <w:rsid w:val="00254F66"/>
    <w:rsid w:val="0027106F"/>
    <w:rsid w:val="00273613"/>
    <w:rsid w:val="00284DCC"/>
    <w:rsid w:val="002856EB"/>
    <w:rsid w:val="00285831"/>
    <w:rsid w:val="002862C2"/>
    <w:rsid w:val="002959F5"/>
    <w:rsid w:val="0029639D"/>
    <w:rsid w:val="002B63D8"/>
    <w:rsid w:val="002C0AA8"/>
    <w:rsid w:val="002C5804"/>
    <w:rsid w:val="002E0668"/>
    <w:rsid w:val="002E755D"/>
    <w:rsid w:val="002F2AB3"/>
    <w:rsid w:val="003074C9"/>
    <w:rsid w:val="00310E6F"/>
    <w:rsid w:val="00326F90"/>
    <w:rsid w:val="00346B67"/>
    <w:rsid w:val="0035238E"/>
    <w:rsid w:val="00357958"/>
    <w:rsid w:val="00365847"/>
    <w:rsid w:val="00394B71"/>
    <w:rsid w:val="003A3F70"/>
    <w:rsid w:val="003A6F9E"/>
    <w:rsid w:val="003E363B"/>
    <w:rsid w:val="003F06EF"/>
    <w:rsid w:val="0042481B"/>
    <w:rsid w:val="00447400"/>
    <w:rsid w:val="00460C57"/>
    <w:rsid w:val="004625BC"/>
    <w:rsid w:val="00466DA6"/>
    <w:rsid w:val="004714FF"/>
    <w:rsid w:val="00471565"/>
    <w:rsid w:val="00471595"/>
    <w:rsid w:val="00482715"/>
    <w:rsid w:val="004C224B"/>
    <w:rsid w:val="004C4BFD"/>
    <w:rsid w:val="005451B3"/>
    <w:rsid w:val="005502C8"/>
    <w:rsid w:val="005647C7"/>
    <w:rsid w:val="005A24C6"/>
    <w:rsid w:val="005F4585"/>
    <w:rsid w:val="00620851"/>
    <w:rsid w:val="00652B3D"/>
    <w:rsid w:val="00654652"/>
    <w:rsid w:val="006572AB"/>
    <w:rsid w:val="0066524D"/>
    <w:rsid w:val="0069647A"/>
    <w:rsid w:val="006A674D"/>
    <w:rsid w:val="006B083E"/>
    <w:rsid w:val="006B2336"/>
    <w:rsid w:val="006B2B70"/>
    <w:rsid w:val="006E1010"/>
    <w:rsid w:val="006F73A9"/>
    <w:rsid w:val="00704C7A"/>
    <w:rsid w:val="00705F2D"/>
    <w:rsid w:val="00743F95"/>
    <w:rsid w:val="00744933"/>
    <w:rsid w:val="0074625C"/>
    <w:rsid w:val="0076702C"/>
    <w:rsid w:val="00774689"/>
    <w:rsid w:val="00776E79"/>
    <w:rsid w:val="007B66EA"/>
    <w:rsid w:val="007E0FEA"/>
    <w:rsid w:val="008130CE"/>
    <w:rsid w:val="00824045"/>
    <w:rsid w:val="00826F62"/>
    <w:rsid w:val="00870C2A"/>
    <w:rsid w:val="00881640"/>
    <w:rsid w:val="008A38DB"/>
    <w:rsid w:val="008A7E5E"/>
    <w:rsid w:val="008D61AF"/>
    <w:rsid w:val="008D7C80"/>
    <w:rsid w:val="008E59C9"/>
    <w:rsid w:val="008F4D9C"/>
    <w:rsid w:val="008F4F60"/>
    <w:rsid w:val="00934B36"/>
    <w:rsid w:val="00935C7B"/>
    <w:rsid w:val="00970233"/>
    <w:rsid w:val="009750C5"/>
    <w:rsid w:val="00991DD8"/>
    <w:rsid w:val="009B2DD7"/>
    <w:rsid w:val="009F23AA"/>
    <w:rsid w:val="00A0428C"/>
    <w:rsid w:val="00A15001"/>
    <w:rsid w:val="00A33735"/>
    <w:rsid w:val="00A43377"/>
    <w:rsid w:val="00A91BBC"/>
    <w:rsid w:val="00AA1D8D"/>
    <w:rsid w:val="00AB5B03"/>
    <w:rsid w:val="00AC46D9"/>
    <w:rsid w:val="00AD11B9"/>
    <w:rsid w:val="00AE0CB1"/>
    <w:rsid w:val="00AE355F"/>
    <w:rsid w:val="00AF3C6F"/>
    <w:rsid w:val="00B42294"/>
    <w:rsid w:val="00B47730"/>
    <w:rsid w:val="00B610BC"/>
    <w:rsid w:val="00BD38C2"/>
    <w:rsid w:val="00BD7A3B"/>
    <w:rsid w:val="00BE2C82"/>
    <w:rsid w:val="00BE7ED2"/>
    <w:rsid w:val="00C469C0"/>
    <w:rsid w:val="00C6120B"/>
    <w:rsid w:val="00C8304B"/>
    <w:rsid w:val="00CB0664"/>
    <w:rsid w:val="00CB26E9"/>
    <w:rsid w:val="00CB596A"/>
    <w:rsid w:val="00CC6398"/>
    <w:rsid w:val="00CD1196"/>
    <w:rsid w:val="00CF2A44"/>
    <w:rsid w:val="00D27805"/>
    <w:rsid w:val="00D8121A"/>
    <w:rsid w:val="00D8215C"/>
    <w:rsid w:val="00D9035C"/>
    <w:rsid w:val="00DA0774"/>
    <w:rsid w:val="00DA4643"/>
    <w:rsid w:val="00DC3D1F"/>
    <w:rsid w:val="00DC4BFC"/>
    <w:rsid w:val="00DD4685"/>
    <w:rsid w:val="00DD6AE9"/>
    <w:rsid w:val="00E23652"/>
    <w:rsid w:val="00E31F8D"/>
    <w:rsid w:val="00E35D5E"/>
    <w:rsid w:val="00E51324"/>
    <w:rsid w:val="00E54A14"/>
    <w:rsid w:val="00E84062"/>
    <w:rsid w:val="00E95CE3"/>
    <w:rsid w:val="00ED5ED3"/>
    <w:rsid w:val="00EE65E5"/>
    <w:rsid w:val="00EF32B5"/>
    <w:rsid w:val="00EF756D"/>
    <w:rsid w:val="00F541DC"/>
    <w:rsid w:val="00F71B5B"/>
    <w:rsid w:val="00FA3F43"/>
    <w:rsid w:val="00FA7EBE"/>
    <w:rsid w:val="00FB7383"/>
    <w:rsid w:val="00FC485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898E65"/>
  <w14:defaultImageDpi w14:val="300"/>
  <w15:docId w15:val="{8341512F-7262-4F92-AFEF-23E89BDD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E54A14"/>
    <w:rPr>
      <w:color w:val="666666"/>
    </w:rPr>
  </w:style>
  <w:style w:type="character" w:styleId="Hyperlink">
    <w:name w:val="Hyperlink"/>
    <w:basedOn w:val="DefaultParagraphFont"/>
    <w:uiPriority w:val="99"/>
    <w:unhideWhenUsed/>
    <w:rsid w:val="007E0FEA"/>
    <w:rPr>
      <w:color w:val="0000FF" w:themeColor="hyperlink"/>
      <w:u w:val="single"/>
    </w:rPr>
  </w:style>
  <w:style w:type="character" w:styleId="UnresolvedMention">
    <w:name w:val="Unresolved Mention"/>
    <w:basedOn w:val="DefaultParagraphFont"/>
    <w:uiPriority w:val="99"/>
    <w:semiHidden/>
    <w:unhideWhenUsed/>
    <w:rsid w:val="007E0FEA"/>
    <w:rPr>
      <w:color w:val="605E5C"/>
      <w:shd w:val="clear" w:color="auto" w:fill="E1DFDD"/>
    </w:rPr>
  </w:style>
  <w:style w:type="table" w:styleId="PlainTable2">
    <w:name w:val="Plain Table 2"/>
    <w:basedOn w:val="TableNormal"/>
    <w:uiPriority w:val="99"/>
    <w:rsid w:val="007E0F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001">
      <w:bodyDiv w:val="1"/>
      <w:marLeft w:val="0"/>
      <w:marRight w:val="0"/>
      <w:marTop w:val="0"/>
      <w:marBottom w:val="0"/>
      <w:divBdr>
        <w:top w:val="none" w:sz="0" w:space="0" w:color="auto"/>
        <w:left w:val="none" w:sz="0" w:space="0" w:color="auto"/>
        <w:bottom w:val="none" w:sz="0" w:space="0" w:color="auto"/>
        <w:right w:val="none" w:sz="0" w:space="0" w:color="auto"/>
      </w:divBdr>
    </w:div>
    <w:div w:id="33847722">
      <w:bodyDiv w:val="1"/>
      <w:marLeft w:val="0"/>
      <w:marRight w:val="0"/>
      <w:marTop w:val="0"/>
      <w:marBottom w:val="0"/>
      <w:divBdr>
        <w:top w:val="none" w:sz="0" w:space="0" w:color="auto"/>
        <w:left w:val="none" w:sz="0" w:space="0" w:color="auto"/>
        <w:bottom w:val="none" w:sz="0" w:space="0" w:color="auto"/>
        <w:right w:val="none" w:sz="0" w:space="0" w:color="auto"/>
      </w:divBdr>
    </w:div>
    <w:div w:id="38209890">
      <w:bodyDiv w:val="1"/>
      <w:marLeft w:val="0"/>
      <w:marRight w:val="0"/>
      <w:marTop w:val="0"/>
      <w:marBottom w:val="0"/>
      <w:divBdr>
        <w:top w:val="none" w:sz="0" w:space="0" w:color="auto"/>
        <w:left w:val="none" w:sz="0" w:space="0" w:color="auto"/>
        <w:bottom w:val="none" w:sz="0" w:space="0" w:color="auto"/>
        <w:right w:val="none" w:sz="0" w:space="0" w:color="auto"/>
      </w:divBdr>
    </w:div>
    <w:div w:id="118646179">
      <w:bodyDiv w:val="1"/>
      <w:marLeft w:val="0"/>
      <w:marRight w:val="0"/>
      <w:marTop w:val="0"/>
      <w:marBottom w:val="0"/>
      <w:divBdr>
        <w:top w:val="none" w:sz="0" w:space="0" w:color="auto"/>
        <w:left w:val="none" w:sz="0" w:space="0" w:color="auto"/>
        <w:bottom w:val="none" w:sz="0" w:space="0" w:color="auto"/>
        <w:right w:val="none" w:sz="0" w:space="0" w:color="auto"/>
      </w:divBdr>
    </w:div>
    <w:div w:id="124591856">
      <w:bodyDiv w:val="1"/>
      <w:marLeft w:val="0"/>
      <w:marRight w:val="0"/>
      <w:marTop w:val="0"/>
      <w:marBottom w:val="0"/>
      <w:divBdr>
        <w:top w:val="none" w:sz="0" w:space="0" w:color="auto"/>
        <w:left w:val="none" w:sz="0" w:space="0" w:color="auto"/>
        <w:bottom w:val="none" w:sz="0" w:space="0" w:color="auto"/>
        <w:right w:val="none" w:sz="0" w:space="0" w:color="auto"/>
      </w:divBdr>
    </w:div>
    <w:div w:id="140462206">
      <w:bodyDiv w:val="1"/>
      <w:marLeft w:val="0"/>
      <w:marRight w:val="0"/>
      <w:marTop w:val="0"/>
      <w:marBottom w:val="0"/>
      <w:divBdr>
        <w:top w:val="none" w:sz="0" w:space="0" w:color="auto"/>
        <w:left w:val="none" w:sz="0" w:space="0" w:color="auto"/>
        <w:bottom w:val="none" w:sz="0" w:space="0" w:color="auto"/>
        <w:right w:val="none" w:sz="0" w:space="0" w:color="auto"/>
      </w:divBdr>
    </w:div>
    <w:div w:id="230582569">
      <w:bodyDiv w:val="1"/>
      <w:marLeft w:val="0"/>
      <w:marRight w:val="0"/>
      <w:marTop w:val="0"/>
      <w:marBottom w:val="0"/>
      <w:divBdr>
        <w:top w:val="none" w:sz="0" w:space="0" w:color="auto"/>
        <w:left w:val="none" w:sz="0" w:space="0" w:color="auto"/>
        <w:bottom w:val="none" w:sz="0" w:space="0" w:color="auto"/>
        <w:right w:val="none" w:sz="0" w:space="0" w:color="auto"/>
      </w:divBdr>
    </w:div>
    <w:div w:id="258098595">
      <w:bodyDiv w:val="1"/>
      <w:marLeft w:val="0"/>
      <w:marRight w:val="0"/>
      <w:marTop w:val="0"/>
      <w:marBottom w:val="0"/>
      <w:divBdr>
        <w:top w:val="none" w:sz="0" w:space="0" w:color="auto"/>
        <w:left w:val="none" w:sz="0" w:space="0" w:color="auto"/>
        <w:bottom w:val="none" w:sz="0" w:space="0" w:color="auto"/>
        <w:right w:val="none" w:sz="0" w:space="0" w:color="auto"/>
      </w:divBdr>
    </w:div>
    <w:div w:id="269943335">
      <w:bodyDiv w:val="1"/>
      <w:marLeft w:val="0"/>
      <w:marRight w:val="0"/>
      <w:marTop w:val="0"/>
      <w:marBottom w:val="0"/>
      <w:divBdr>
        <w:top w:val="none" w:sz="0" w:space="0" w:color="auto"/>
        <w:left w:val="none" w:sz="0" w:space="0" w:color="auto"/>
        <w:bottom w:val="none" w:sz="0" w:space="0" w:color="auto"/>
        <w:right w:val="none" w:sz="0" w:space="0" w:color="auto"/>
      </w:divBdr>
    </w:div>
    <w:div w:id="272975781">
      <w:bodyDiv w:val="1"/>
      <w:marLeft w:val="0"/>
      <w:marRight w:val="0"/>
      <w:marTop w:val="0"/>
      <w:marBottom w:val="0"/>
      <w:divBdr>
        <w:top w:val="none" w:sz="0" w:space="0" w:color="auto"/>
        <w:left w:val="none" w:sz="0" w:space="0" w:color="auto"/>
        <w:bottom w:val="none" w:sz="0" w:space="0" w:color="auto"/>
        <w:right w:val="none" w:sz="0" w:space="0" w:color="auto"/>
      </w:divBdr>
    </w:div>
    <w:div w:id="283776135">
      <w:bodyDiv w:val="1"/>
      <w:marLeft w:val="0"/>
      <w:marRight w:val="0"/>
      <w:marTop w:val="0"/>
      <w:marBottom w:val="0"/>
      <w:divBdr>
        <w:top w:val="none" w:sz="0" w:space="0" w:color="auto"/>
        <w:left w:val="none" w:sz="0" w:space="0" w:color="auto"/>
        <w:bottom w:val="none" w:sz="0" w:space="0" w:color="auto"/>
        <w:right w:val="none" w:sz="0" w:space="0" w:color="auto"/>
      </w:divBdr>
    </w:div>
    <w:div w:id="366568762">
      <w:bodyDiv w:val="1"/>
      <w:marLeft w:val="0"/>
      <w:marRight w:val="0"/>
      <w:marTop w:val="0"/>
      <w:marBottom w:val="0"/>
      <w:divBdr>
        <w:top w:val="none" w:sz="0" w:space="0" w:color="auto"/>
        <w:left w:val="none" w:sz="0" w:space="0" w:color="auto"/>
        <w:bottom w:val="none" w:sz="0" w:space="0" w:color="auto"/>
        <w:right w:val="none" w:sz="0" w:space="0" w:color="auto"/>
      </w:divBdr>
    </w:div>
    <w:div w:id="397167006">
      <w:bodyDiv w:val="1"/>
      <w:marLeft w:val="0"/>
      <w:marRight w:val="0"/>
      <w:marTop w:val="0"/>
      <w:marBottom w:val="0"/>
      <w:divBdr>
        <w:top w:val="none" w:sz="0" w:space="0" w:color="auto"/>
        <w:left w:val="none" w:sz="0" w:space="0" w:color="auto"/>
        <w:bottom w:val="none" w:sz="0" w:space="0" w:color="auto"/>
        <w:right w:val="none" w:sz="0" w:space="0" w:color="auto"/>
      </w:divBdr>
    </w:div>
    <w:div w:id="445277172">
      <w:bodyDiv w:val="1"/>
      <w:marLeft w:val="0"/>
      <w:marRight w:val="0"/>
      <w:marTop w:val="0"/>
      <w:marBottom w:val="0"/>
      <w:divBdr>
        <w:top w:val="none" w:sz="0" w:space="0" w:color="auto"/>
        <w:left w:val="none" w:sz="0" w:space="0" w:color="auto"/>
        <w:bottom w:val="none" w:sz="0" w:space="0" w:color="auto"/>
        <w:right w:val="none" w:sz="0" w:space="0" w:color="auto"/>
      </w:divBdr>
    </w:div>
    <w:div w:id="471946201">
      <w:bodyDiv w:val="1"/>
      <w:marLeft w:val="0"/>
      <w:marRight w:val="0"/>
      <w:marTop w:val="0"/>
      <w:marBottom w:val="0"/>
      <w:divBdr>
        <w:top w:val="none" w:sz="0" w:space="0" w:color="auto"/>
        <w:left w:val="none" w:sz="0" w:space="0" w:color="auto"/>
        <w:bottom w:val="none" w:sz="0" w:space="0" w:color="auto"/>
        <w:right w:val="none" w:sz="0" w:space="0" w:color="auto"/>
      </w:divBdr>
    </w:div>
    <w:div w:id="477841516">
      <w:bodyDiv w:val="1"/>
      <w:marLeft w:val="0"/>
      <w:marRight w:val="0"/>
      <w:marTop w:val="0"/>
      <w:marBottom w:val="0"/>
      <w:divBdr>
        <w:top w:val="none" w:sz="0" w:space="0" w:color="auto"/>
        <w:left w:val="none" w:sz="0" w:space="0" w:color="auto"/>
        <w:bottom w:val="none" w:sz="0" w:space="0" w:color="auto"/>
        <w:right w:val="none" w:sz="0" w:space="0" w:color="auto"/>
      </w:divBdr>
    </w:div>
    <w:div w:id="599535194">
      <w:bodyDiv w:val="1"/>
      <w:marLeft w:val="0"/>
      <w:marRight w:val="0"/>
      <w:marTop w:val="0"/>
      <w:marBottom w:val="0"/>
      <w:divBdr>
        <w:top w:val="none" w:sz="0" w:space="0" w:color="auto"/>
        <w:left w:val="none" w:sz="0" w:space="0" w:color="auto"/>
        <w:bottom w:val="none" w:sz="0" w:space="0" w:color="auto"/>
        <w:right w:val="none" w:sz="0" w:space="0" w:color="auto"/>
      </w:divBdr>
    </w:div>
    <w:div w:id="604769431">
      <w:bodyDiv w:val="1"/>
      <w:marLeft w:val="0"/>
      <w:marRight w:val="0"/>
      <w:marTop w:val="0"/>
      <w:marBottom w:val="0"/>
      <w:divBdr>
        <w:top w:val="none" w:sz="0" w:space="0" w:color="auto"/>
        <w:left w:val="none" w:sz="0" w:space="0" w:color="auto"/>
        <w:bottom w:val="none" w:sz="0" w:space="0" w:color="auto"/>
        <w:right w:val="none" w:sz="0" w:space="0" w:color="auto"/>
      </w:divBdr>
    </w:div>
    <w:div w:id="641273395">
      <w:bodyDiv w:val="1"/>
      <w:marLeft w:val="0"/>
      <w:marRight w:val="0"/>
      <w:marTop w:val="0"/>
      <w:marBottom w:val="0"/>
      <w:divBdr>
        <w:top w:val="none" w:sz="0" w:space="0" w:color="auto"/>
        <w:left w:val="none" w:sz="0" w:space="0" w:color="auto"/>
        <w:bottom w:val="none" w:sz="0" w:space="0" w:color="auto"/>
        <w:right w:val="none" w:sz="0" w:space="0" w:color="auto"/>
      </w:divBdr>
    </w:div>
    <w:div w:id="646281507">
      <w:bodyDiv w:val="1"/>
      <w:marLeft w:val="0"/>
      <w:marRight w:val="0"/>
      <w:marTop w:val="0"/>
      <w:marBottom w:val="0"/>
      <w:divBdr>
        <w:top w:val="none" w:sz="0" w:space="0" w:color="auto"/>
        <w:left w:val="none" w:sz="0" w:space="0" w:color="auto"/>
        <w:bottom w:val="none" w:sz="0" w:space="0" w:color="auto"/>
        <w:right w:val="none" w:sz="0" w:space="0" w:color="auto"/>
      </w:divBdr>
      <w:divsChild>
        <w:div w:id="386563275">
          <w:marLeft w:val="0"/>
          <w:marRight w:val="0"/>
          <w:marTop w:val="100"/>
          <w:marBottom w:val="100"/>
          <w:divBdr>
            <w:top w:val="none" w:sz="0" w:space="0" w:color="auto"/>
            <w:left w:val="none" w:sz="0" w:space="0" w:color="auto"/>
            <w:bottom w:val="none" w:sz="0" w:space="0" w:color="auto"/>
            <w:right w:val="none" w:sz="0" w:space="0" w:color="auto"/>
          </w:divBdr>
          <w:divsChild>
            <w:div w:id="248151409">
              <w:marLeft w:val="0"/>
              <w:marRight w:val="0"/>
              <w:marTop w:val="0"/>
              <w:marBottom w:val="0"/>
              <w:divBdr>
                <w:top w:val="none" w:sz="0" w:space="0" w:color="auto"/>
                <w:left w:val="none" w:sz="0" w:space="0" w:color="auto"/>
                <w:bottom w:val="none" w:sz="0" w:space="0" w:color="auto"/>
                <w:right w:val="none" w:sz="0" w:space="0" w:color="auto"/>
              </w:divBdr>
              <w:divsChild>
                <w:div w:id="12659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7363">
          <w:marLeft w:val="0"/>
          <w:marRight w:val="0"/>
          <w:marTop w:val="0"/>
          <w:marBottom w:val="300"/>
          <w:divBdr>
            <w:top w:val="none" w:sz="0" w:space="0" w:color="auto"/>
            <w:left w:val="none" w:sz="0" w:space="0" w:color="auto"/>
            <w:bottom w:val="none" w:sz="0" w:space="0" w:color="auto"/>
            <w:right w:val="none" w:sz="0" w:space="0" w:color="auto"/>
          </w:divBdr>
          <w:divsChild>
            <w:div w:id="8857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7365">
      <w:bodyDiv w:val="1"/>
      <w:marLeft w:val="0"/>
      <w:marRight w:val="0"/>
      <w:marTop w:val="0"/>
      <w:marBottom w:val="0"/>
      <w:divBdr>
        <w:top w:val="none" w:sz="0" w:space="0" w:color="auto"/>
        <w:left w:val="none" w:sz="0" w:space="0" w:color="auto"/>
        <w:bottom w:val="none" w:sz="0" w:space="0" w:color="auto"/>
        <w:right w:val="none" w:sz="0" w:space="0" w:color="auto"/>
      </w:divBdr>
    </w:div>
    <w:div w:id="663359321">
      <w:bodyDiv w:val="1"/>
      <w:marLeft w:val="0"/>
      <w:marRight w:val="0"/>
      <w:marTop w:val="0"/>
      <w:marBottom w:val="0"/>
      <w:divBdr>
        <w:top w:val="none" w:sz="0" w:space="0" w:color="auto"/>
        <w:left w:val="none" w:sz="0" w:space="0" w:color="auto"/>
        <w:bottom w:val="none" w:sz="0" w:space="0" w:color="auto"/>
        <w:right w:val="none" w:sz="0" w:space="0" w:color="auto"/>
      </w:divBdr>
    </w:div>
    <w:div w:id="679241957">
      <w:bodyDiv w:val="1"/>
      <w:marLeft w:val="0"/>
      <w:marRight w:val="0"/>
      <w:marTop w:val="0"/>
      <w:marBottom w:val="0"/>
      <w:divBdr>
        <w:top w:val="none" w:sz="0" w:space="0" w:color="auto"/>
        <w:left w:val="none" w:sz="0" w:space="0" w:color="auto"/>
        <w:bottom w:val="none" w:sz="0" w:space="0" w:color="auto"/>
        <w:right w:val="none" w:sz="0" w:space="0" w:color="auto"/>
      </w:divBdr>
    </w:div>
    <w:div w:id="779420901">
      <w:bodyDiv w:val="1"/>
      <w:marLeft w:val="0"/>
      <w:marRight w:val="0"/>
      <w:marTop w:val="0"/>
      <w:marBottom w:val="0"/>
      <w:divBdr>
        <w:top w:val="none" w:sz="0" w:space="0" w:color="auto"/>
        <w:left w:val="none" w:sz="0" w:space="0" w:color="auto"/>
        <w:bottom w:val="none" w:sz="0" w:space="0" w:color="auto"/>
        <w:right w:val="none" w:sz="0" w:space="0" w:color="auto"/>
      </w:divBdr>
    </w:div>
    <w:div w:id="789714006">
      <w:bodyDiv w:val="1"/>
      <w:marLeft w:val="0"/>
      <w:marRight w:val="0"/>
      <w:marTop w:val="0"/>
      <w:marBottom w:val="0"/>
      <w:divBdr>
        <w:top w:val="none" w:sz="0" w:space="0" w:color="auto"/>
        <w:left w:val="none" w:sz="0" w:space="0" w:color="auto"/>
        <w:bottom w:val="none" w:sz="0" w:space="0" w:color="auto"/>
        <w:right w:val="none" w:sz="0" w:space="0" w:color="auto"/>
      </w:divBdr>
    </w:div>
    <w:div w:id="823401361">
      <w:bodyDiv w:val="1"/>
      <w:marLeft w:val="0"/>
      <w:marRight w:val="0"/>
      <w:marTop w:val="0"/>
      <w:marBottom w:val="0"/>
      <w:divBdr>
        <w:top w:val="none" w:sz="0" w:space="0" w:color="auto"/>
        <w:left w:val="none" w:sz="0" w:space="0" w:color="auto"/>
        <w:bottom w:val="none" w:sz="0" w:space="0" w:color="auto"/>
        <w:right w:val="none" w:sz="0" w:space="0" w:color="auto"/>
      </w:divBdr>
      <w:divsChild>
        <w:div w:id="548492108">
          <w:marLeft w:val="0"/>
          <w:marRight w:val="0"/>
          <w:marTop w:val="100"/>
          <w:marBottom w:val="100"/>
          <w:divBdr>
            <w:top w:val="none" w:sz="0" w:space="0" w:color="auto"/>
            <w:left w:val="none" w:sz="0" w:space="0" w:color="auto"/>
            <w:bottom w:val="none" w:sz="0" w:space="0" w:color="auto"/>
            <w:right w:val="none" w:sz="0" w:space="0" w:color="auto"/>
          </w:divBdr>
          <w:divsChild>
            <w:div w:id="2033875544">
              <w:marLeft w:val="0"/>
              <w:marRight w:val="0"/>
              <w:marTop w:val="0"/>
              <w:marBottom w:val="0"/>
              <w:divBdr>
                <w:top w:val="none" w:sz="0" w:space="0" w:color="auto"/>
                <w:left w:val="none" w:sz="0" w:space="0" w:color="auto"/>
                <w:bottom w:val="none" w:sz="0" w:space="0" w:color="auto"/>
                <w:right w:val="none" w:sz="0" w:space="0" w:color="auto"/>
              </w:divBdr>
              <w:divsChild>
                <w:div w:id="19400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5185">
          <w:marLeft w:val="0"/>
          <w:marRight w:val="0"/>
          <w:marTop w:val="0"/>
          <w:marBottom w:val="300"/>
          <w:divBdr>
            <w:top w:val="none" w:sz="0" w:space="0" w:color="auto"/>
            <w:left w:val="none" w:sz="0" w:space="0" w:color="auto"/>
            <w:bottom w:val="none" w:sz="0" w:space="0" w:color="auto"/>
            <w:right w:val="none" w:sz="0" w:space="0" w:color="auto"/>
          </w:divBdr>
          <w:divsChild>
            <w:div w:id="8699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6822">
      <w:bodyDiv w:val="1"/>
      <w:marLeft w:val="0"/>
      <w:marRight w:val="0"/>
      <w:marTop w:val="0"/>
      <w:marBottom w:val="0"/>
      <w:divBdr>
        <w:top w:val="none" w:sz="0" w:space="0" w:color="auto"/>
        <w:left w:val="none" w:sz="0" w:space="0" w:color="auto"/>
        <w:bottom w:val="none" w:sz="0" w:space="0" w:color="auto"/>
        <w:right w:val="none" w:sz="0" w:space="0" w:color="auto"/>
      </w:divBdr>
    </w:div>
    <w:div w:id="834300335">
      <w:bodyDiv w:val="1"/>
      <w:marLeft w:val="0"/>
      <w:marRight w:val="0"/>
      <w:marTop w:val="0"/>
      <w:marBottom w:val="0"/>
      <w:divBdr>
        <w:top w:val="none" w:sz="0" w:space="0" w:color="auto"/>
        <w:left w:val="none" w:sz="0" w:space="0" w:color="auto"/>
        <w:bottom w:val="none" w:sz="0" w:space="0" w:color="auto"/>
        <w:right w:val="none" w:sz="0" w:space="0" w:color="auto"/>
      </w:divBdr>
    </w:div>
    <w:div w:id="843129233">
      <w:bodyDiv w:val="1"/>
      <w:marLeft w:val="0"/>
      <w:marRight w:val="0"/>
      <w:marTop w:val="0"/>
      <w:marBottom w:val="0"/>
      <w:divBdr>
        <w:top w:val="none" w:sz="0" w:space="0" w:color="auto"/>
        <w:left w:val="none" w:sz="0" w:space="0" w:color="auto"/>
        <w:bottom w:val="none" w:sz="0" w:space="0" w:color="auto"/>
        <w:right w:val="none" w:sz="0" w:space="0" w:color="auto"/>
      </w:divBdr>
    </w:div>
    <w:div w:id="849107122">
      <w:bodyDiv w:val="1"/>
      <w:marLeft w:val="0"/>
      <w:marRight w:val="0"/>
      <w:marTop w:val="0"/>
      <w:marBottom w:val="0"/>
      <w:divBdr>
        <w:top w:val="none" w:sz="0" w:space="0" w:color="auto"/>
        <w:left w:val="none" w:sz="0" w:space="0" w:color="auto"/>
        <w:bottom w:val="none" w:sz="0" w:space="0" w:color="auto"/>
        <w:right w:val="none" w:sz="0" w:space="0" w:color="auto"/>
      </w:divBdr>
    </w:div>
    <w:div w:id="922572678">
      <w:bodyDiv w:val="1"/>
      <w:marLeft w:val="0"/>
      <w:marRight w:val="0"/>
      <w:marTop w:val="0"/>
      <w:marBottom w:val="0"/>
      <w:divBdr>
        <w:top w:val="none" w:sz="0" w:space="0" w:color="auto"/>
        <w:left w:val="none" w:sz="0" w:space="0" w:color="auto"/>
        <w:bottom w:val="none" w:sz="0" w:space="0" w:color="auto"/>
        <w:right w:val="none" w:sz="0" w:space="0" w:color="auto"/>
      </w:divBdr>
    </w:div>
    <w:div w:id="968510598">
      <w:bodyDiv w:val="1"/>
      <w:marLeft w:val="0"/>
      <w:marRight w:val="0"/>
      <w:marTop w:val="0"/>
      <w:marBottom w:val="0"/>
      <w:divBdr>
        <w:top w:val="none" w:sz="0" w:space="0" w:color="auto"/>
        <w:left w:val="none" w:sz="0" w:space="0" w:color="auto"/>
        <w:bottom w:val="none" w:sz="0" w:space="0" w:color="auto"/>
        <w:right w:val="none" w:sz="0" w:space="0" w:color="auto"/>
      </w:divBdr>
    </w:div>
    <w:div w:id="987251250">
      <w:bodyDiv w:val="1"/>
      <w:marLeft w:val="0"/>
      <w:marRight w:val="0"/>
      <w:marTop w:val="0"/>
      <w:marBottom w:val="0"/>
      <w:divBdr>
        <w:top w:val="none" w:sz="0" w:space="0" w:color="auto"/>
        <w:left w:val="none" w:sz="0" w:space="0" w:color="auto"/>
        <w:bottom w:val="none" w:sz="0" w:space="0" w:color="auto"/>
        <w:right w:val="none" w:sz="0" w:space="0" w:color="auto"/>
      </w:divBdr>
    </w:div>
    <w:div w:id="1003359644">
      <w:bodyDiv w:val="1"/>
      <w:marLeft w:val="0"/>
      <w:marRight w:val="0"/>
      <w:marTop w:val="0"/>
      <w:marBottom w:val="0"/>
      <w:divBdr>
        <w:top w:val="none" w:sz="0" w:space="0" w:color="auto"/>
        <w:left w:val="none" w:sz="0" w:space="0" w:color="auto"/>
        <w:bottom w:val="none" w:sz="0" w:space="0" w:color="auto"/>
        <w:right w:val="none" w:sz="0" w:space="0" w:color="auto"/>
      </w:divBdr>
    </w:div>
    <w:div w:id="1008096965">
      <w:bodyDiv w:val="1"/>
      <w:marLeft w:val="0"/>
      <w:marRight w:val="0"/>
      <w:marTop w:val="0"/>
      <w:marBottom w:val="0"/>
      <w:divBdr>
        <w:top w:val="none" w:sz="0" w:space="0" w:color="auto"/>
        <w:left w:val="none" w:sz="0" w:space="0" w:color="auto"/>
        <w:bottom w:val="none" w:sz="0" w:space="0" w:color="auto"/>
        <w:right w:val="none" w:sz="0" w:space="0" w:color="auto"/>
      </w:divBdr>
    </w:div>
    <w:div w:id="1028069832">
      <w:bodyDiv w:val="1"/>
      <w:marLeft w:val="0"/>
      <w:marRight w:val="0"/>
      <w:marTop w:val="0"/>
      <w:marBottom w:val="0"/>
      <w:divBdr>
        <w:top w:val="none" w:sz="0" w:space="0" w:color="auto"/>
        <w:left w:val="none" w:sz="0" w:space="0" w:color="auto"/>
        <w:bottom w:val="none" w:sz="0" w:space="0" w:color="auto"/>
        <w:right w:val="none" w:sz="0" w:space="0" w:color="auto"/>
      </w:divBdr>
    </w:div>
    <w:div w:id="1074353499">
      <w:bodyDiv w:val="1"/>
      <w:marLeft w:val="0"/>
      <w:marRight w:val="0"/>
      <w:marTop w:val="0"/>
      <w:marBottom w:val="0"/>
      <w:divBdr>
        <w:top w:val="none" w:sz="0" w:space="0" w:color="auto"/>
        <w:left w:val="none" w:sz="0" w:space="0" w:color="auto"/>
        <w:bottom w:val="none" w:sz="0" w:space="0" w:color="auto"/>
        <w:right w:val="none" w:sz="0" w:space="0" w:color="auto"/>
      </w:divBdr>
    </w:div>
    <w:div w:id="1083406449">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09816443">
      <w:bodyDiv w:val="1"/>
      <w:marLeft w:val="0"/>
      <w:marRight w:val="0"/>
      <w:marTop w:val="0"/>
      <w:marBottom w:val="0"/>
      <w:divBdr>
        <w:top w:val="none" w:sz="0" w:space="0" w:color="auto"/>
        <w:left w:val="none" w:sz="0" w:space="0" w:color="auto"/>
        <w:bottom w:val="none" w:sz="0" w:space="0" w:color="auto"/>
        <w:right w:val="none" w:sz="0" w:space="0" w:color="auto"/>
      </w:divBdr>
    </w:div>
    <w:div w:id="1169442425">
      <w:bodyDiv w:val="1"/>
      <w:marLeft w:val="0"/>
      <w:marRight w:val="0"/>
      <w:marTop w:val="0"/>
      <w:marBottom w:val="0"/>
      <w:divBdr>
        <w:top w:val="none" w:sz="0" w:space="0" w:color="auto"/>
        <w:left w:val="none" w:sz="0" w:space="0" w:color="auto"/>
        <w:bottom w:val="none" w:sz="0" w:space="0" w:color="auto"/>
        <w:right w:val="none" w:sz="0" w:space="0" w:color="auto"/>
      </w:divBdr>
    </w:div>
    <w:div w:id="1170759005">
      <w:bodyDiv w:val="1"/>
      <w:marLeft w:val="0"/>
      <w:marRight w:val="0"/>
      <w:marTop w:val="0"/>
      <w:marBottom w:val="0"/>
      <w:divBdr>
        <w:top w:val="none" w:sz="0" w:space="0" w:color="auto"/>
        <w:left w:val="none" w:sz="0" w:space="0" w:color="auto"/>
        <w:bottom w:val="none" w:sz="0" w:space="0" w:color="auto"/>
        <w:right w:val="none" w:sz="0" w:space="0" w:color="auto"/>
      </w:divBdr>
    </w:div>
    <w:div w:id="1200125757">
      <w:bodyDiv w:val="1"/>
      <w:marLeft w:val="0"/>
      <w:marRight w:val="0"/>
      <w:marTop w:val="0"/>
      <w:marBottom w:val="0"/>
      <w:divBdr>
        <w:top w:val="none" w:sz="0" w:space="0" w:color="auto"/>
        <w:left w:val="none" w:sz="0" w:space="0" w:color="auto"/>
        <w:bottom w:val="none" w:sz="0" w:space="0" w:color="auto"/>
        <w:right w:val="none" w:sz="0" w:space="0" w:color="auto"/>
      </w:divBdr>
    </w:div>
    <w:div w:id="1217081117">
      <w:bodyDiv w:val="1"/>
      <w:marLeft w:val="0"/>
      <w:marRight w:val="0"/>
      <w:marTop w:val="0"/>
      <w:marBottom w:val="0"/>
      <w:divBdr>
        <w:top w:val="none" w:sz="0" w:space="0" w:color="auto"/>
        <w:left w:val="none" w:sz="0" w:space="0" w:color="auto"/>
        <w:bottom w:val="none" w:sz="0" w:space="0" w:color="auto"/>
        <w:right w:val="none" w:sz="0" w:space="0" w:color="auto"/>
      </w:divBdr>
    </w:div>
    <w:div w:id="1313146291">
      <w:bodyDiv w:val="1"/>
      <w:marLeft w:val="0"/>
      <w:marRight w:val="0"/>
      <w:marTop w:val="0"/>
      <w:marBottom w:val="0"/>
      <w:divBdr>
        <w:top w:val="none" w:sz="0" w:space="0" w:color="auto"/>
        <w:left w:val="none" w:sz="0" w:space="0" w:color="auto"/>
        <w:bottom w:val="none" w:sz="0" w:space="0" w:color="auto"/>
        <w:right w:val="none" w:sz="0" w:space="0" w:color="auto"/>
      </w:divBdr>
    </w:div>
    <w:div w:id="1378967738">
      <w:bodyDiv w:val="1"/>
      <w:marLeft w:val="0"/>
      <w:marRight w:val="0"/>
      <w:marTop w:val="0"/>
      <w:marBottom w:val="0"/>
      <w:divBdr>
        <w:top w:val="none" w:sz="0" w:space="0" w:color="auto"/>
        <w:left w:val="none" w:sz="0" w:space="0" w:color="auto"/>
        <w:bottom w:val="none" w:sz="0" w:space="0" w:color="auto"/>
        <w:right w:val="none" w:sz="0" w:space="0" w:color="auto"/>
      </w:divBdr>
    </w:div>
    <w:div w:id="1401519053">
      <w:bodyDiv w:val="1"/>
      <w:marLeft w:val="0"/>
      <w:marRight w:val="0"/>
      <w:marTop w:val="0"/>
      <w:marBottom w:val="0"/>
      <w:divBdr>
        <w:top w:val="none" w:sz="0" w:space="0" w:color="auto"/>
        <w:left w:val="none" w:sz="0" w:space="0" w:color="auto"/>
        <w:bottom w:val="none" w:sz="0" w:space="0" w:color="auto"/>
        <w:right w:val="none" w:sz="0" w:space="0" w:color="auto"/>
      </w:divBdr>
    </w:div>
    <w:div w:id="1401639656">
      <w:bodyDiv w:val="1"/>
      <w:marLeft w:val="0"/>
      <w:marRight w:val="0"/>
      <w:marTop w:val="0"/>
      <w:marBottom w:val="0"/>
      <w:divBdr>
        <w:top w:val="none" w:sz="0" w:space="0" w:color="auto"/>
        <w:left w:val="none" w:sz="0" w:space="0" w:color="auto"/>
        <w:bottom w:val="none" w:sz="0" w:space="0" w:color="auto"/>
        <w:right w:val="none" w:sz="0" w:space="0" w:color="auto"/>
      </w:divBdr>
    </w:div>
    <w:div w:id="1415471374">
      <w:bodyDiv w:val="1"/>
      <w:marLeft w:val="0"/>
      <w:marRight w:val="0"/>
      <w:marTop w:val="0"/>
      <w:marBottom w:val="0"/>
      <w:divBdr>
        <w:top w:val="none" w:sz="0" w:space="0" w:color="auto"/>
        <w:left w:val="none" w:sz="0" w:space="0" w:color="auto"/>
        <w:bottom w:val="none" w:sz="0" w:space="0" w:color="auto"/>
        <w:right w:val="none" w:sz="0" w:space="0" w:color="auto"/>
      </w:divBdr>
    </w:div>
    <w:div w:id="1474832596">
      <w:bodyDiv w:val="1"/>
      <w:marLeft w:val="0"/>
      <w:marRight w:val="0"/>
      <w:marTop w:val="0"/>
      <w:marBottom w:val="0"/>
      <w:divBdr>
        <w:top w:val="none" w:sz="0" w:space="0" w:color="auto"/>
        <w:left w:val="none" w:sz="0" w:space="0" w:color="auto"/>
        <w:bottom w:val="none" w:sz="0" w:space="0" w:color="auto"/>
        <w:right w:val="none" w:sz="0" w:space="0" w:color="auto"/>
      </w:divBdr>
    </w:div>
    <w:div w:id="1509710657">
      <w:bodyDiv w:val="1"/>
      <w:marLeft w:val="0"/>
      <w:marRight w:val="0"/>
      <w:marTop w:val="0"/>
      <w:marBottom w:val="0"/>
      <w:divBdr>
        <w:top w:val="none" w:sz="0" w:space="0" w:color="auto"/>
        <w:left w:val="none" w:sz="0" w:space="0" w:color="auto"/>
        <w:bottom w:val="none" w:sz="0" w:space="0" w:color="auto"/>
        <w:right w:val="none" w:sz="0" w:space="0" w:color="auto"/>
      </w:divBdr>
    </w:div>
    <w:div w:id="1526943349">
      <w:bodyDiv w:val="1"/>
      <w:marLeft w:val="0"/>
      <w:marRight w:val="0"/>
      <w:marTop w:val="0"/>
      <w:marBottom w:val="0"/>
      <w:divBdr>
        <w:top w:val="none" w:sz="0" w:space="0" w:color="auto"/>
        <w:left w:val="none" w:sz="0" w:space="0" w:color="auto"/>
        <w:bottom w:val="none" w:sz="0" w:space="0" w:color="auto"/>
        <w:right w:val="none" w:sz="0" w:space="0" w:color="auto"/>
      </w:divBdr>
    </w:div>
    <w:div w:id="1554537845">
      <w:bodyDiv w:val="1"/>
      <w:marLeft w:val="0"/>
      <w:marRight w:val="0"/>
      <w:marTop w:val="0"/>
      <w:marBottom w:val="0"/>
      <w:divBdr>
        <w:top w:val="none" w:sz="0" w:space="0" w:color="auto"/>
        <w:left w:val="none" w:sz="0" w:space="0" w:color="auto"/>
        <w:bottom w:val="none" w:sz="0" w:space="0" w:color="auto"/>
        <w:right w:val="none" w:sz="0" w:space="0" w:color="auto"/>
      </w:divBdr>
    </w:div>
    <w:div w:id="1608272883">
      <w:bodyDiv w:val="1"/>
      <w:marLeft w:val="0"/>
      <w:marRight w:val="0"/>
      <w:marTop w:val="0"/>
      <w:marBottom w:val="0"/>
      <w:divBdr>
        <w:top w:val="none" w:sz="0" w:space="0" w:color="auto"/>
        <w:left w:val="none" w:sz="0" w:space="0" w:color="auto"/>
        <w:bottom w:val="none" w:sz="0" w:space="0" w:color="auto"/>
        <w:right w:val="none" w:sz="0" w:space="0" w:color="auto"/>
      </w:divBdr>
    </w:div>
    <w:div w:id="1721049907">
      <w:bodyDiv w:val="1"/>
      <w:marLeft w:val="0"/>
      <w:marRight w:val="0"/>
      <w:marTop w:val="0"/>
      <w:marBottom w:val="0"/>
      <w:divBdr>
        <w:top w:val="none" w:sz="0" w:space="0" w:color="auto"/>
        <w:left w:val="none" w:sz="0" w:space="0" w:color="auto"/>
        <w:bottom w:val="none" w:sz="0" w:space="0" w:color="auto"/>
        <w:right w:val="none" w:sz="0" w:space="0" w:color="auto"/>
      </w:divBdr>
    </w:div>
    <w:div w:id="1811287060">
      <w:bodyDiv w:val="1"/>
      <w:marLeft w:val="0"/>
      <w:marRight w:val="0"/>
      <w:marTop w:val="0"/>
      <w:marBottom w:val="0"/>
      <w:divBdr>
        <w:top w:val="none" w:sz="0" w:space="0" w:color="auto"/>
        <w:left w:val="none" w:sz="0" w:space="0" w:color="auto"/>
        <w:bottom w:val="none" w:sz="0" w:space="0" w:color="auto"/>
        <w:right w:val="none" w:sz="0" w:space="0" w:color="auto"/>
      </w:divBdr>
    </w:div>
    <w:div w:id="1825197546">
      <w:bodyDiv w:val="1"/>
      <w:marLeft w:val="0"/>
      <w:marRight w:val="0"/>
      <w:marTop w:val="0"/>
      <w:marBottom w:val="0"/>
      <w:divBdr>
        <w:top w:val="none" w:sz="0" w:space="0" w:color="auto"/>
        <w:left w:val="none" w:sz="0" w:space="0" w:color="auto"/>
        <w:bottom w:val="none" w:sz="0" w:space="0" w:color="auto"/>
        <w:right w:val="none" w:sz="0" w:space="0" w:color="auto"/>
      </w:divBdr>
    </w:div>
    <w:div w:id="1868331368">
      <w:bodyDiv w:val="1"/>
      <w:marLeft w:val="0"/>
      <w:marRight w:val="0"/>
      <w:marTop w:val="0"/>
      <w:marBottom w:val="0"/>
      <w:divBdr>
        <w:top w:val="none" w:sz="0" w:space="0" w:color="auto"/>
        <w:left w:val="none" w:sz="0" w:space="0" w:color="auto"/>
        <w:bottom w:val="none" w:sz="0" w:space="0" w:color="auto"/>
        <w:right w:val="none" w:sz="0" w:space="0" w:color="auto"/>
      </w:divBdr>
    </w:div>
    <w:div w:id="1879201282">
      <w:bodyDiv w:val="1"/>
      <w:marLeft w:val="0"/>
      <w:marRight w:val="0"/>
      <w:marTop w:val="0"/>
      <w:marBottom w:val="0"/>
      <w:divBdr>
        <w:top w:val="none" w:sz="0" w:space="0" w:color="auto"/>
        <w:left w:val="none" w:sz="0" w:space="0" w:color="auto"/>
        <w:bottom w:val="none" w:sz="0" w:space="0" w:color="auto"/>
        <w:right w:val="none" w:sz="0" w:space="0" w:color="auto"/>
      </w:divBdr>
    </w:div>
    <w:div w:id="1891378621">
      <w:bodyDiv w:val="1"/>
      <w:marLeft w:val="0"/>
      <w:marRight w:val="0"/>
      <w:marTop w:val="0"/>
      <w:marBottom w:val="0"/>
      <w:divBdr>
        <w:top w:val="none" w:sz="0" w:space="0" w:color="auto"/>
        <w:left w:val="none" w:sz="0" w:space="0" w:color="auto"/>
        <w:bottom w:val="none" w:sz="0" w:space="0" w:color="auto"/>
        <w:right w:val="none" w:sz="0" w:space="0" w:color="auto"/>
      </w:divBdr>
    </w:div>
    <w:div w:id="1944143047">
      <w:bodyDiv w:val="1"/>
      <w:marLeft w:val="0"/>
      <w:marRight w:val="0"/>
      <w:marTop w:val="0"/>
      <w:marBottom w:val="0"/>
      <w:divBdr>
        <w:top w:val="none" w:sz="0" w:space="0" w:color="auto"/>
        <w:left w:val="none" w:sz="0" w:space="0" w:color="auto"/>
        <w:bottom w:val="none" w:sz="0" w:space="0" w:color="auto"/>
        <w:right w:val="none" w:sz="0" w:space="0" w:color="auto"/>
      </w:divBdr>
    </w:div>
    <w:div w:id="1968006109">
      <w:bodyDiv w:val="1"/>
      <w:marLeft w:val="0"/>
      <w:marRight w:val="0"/>
      <w:marTop w:val="0"/>
      <w:marBottom w:val="0"/>
      <w:divBdr>
        <w:top w:val="none" w:sz="0" w:space="0" w:color="auto"/>
        <w:left w:val="none" w:sz="0" w:space="0" w:color="auto"/>
        <w:bottom w:val="none" w:sz="0" w:space="0" w:color="auto"/>
        <w:right w:val="none" w:sz="0" w:space="0" w:color="auto"/>
      </w:divBdr>
    </w:div>
    <w:div w:id="2009600928">
      <w:bodyDiv w:val="1"/>
      <w:marLeft w:val="0"/>
      <w:marRight w:val="0"/>
      <w:marTop w:val="0"/>
      <w:marBottom w:val="0"/>
      <w:divBdr>
        <w:top w:val="none" w:sz="0" w:space="0" w:color="auto"/>
        <w:left w:val="none" w:sz="0" w:space="0" w:color="auto"/>
        <w:bottom w:val="none" w:sz="0" w:space="0" w:color="auto"/>
        <w:right w:val="none" w:sz="0" w:space="0" w:color="auto"/>
      </w:divBdr>
    </w:div>
    <w:div w:id="2127235615">
      <w:bodyDiv w:val="1"/>
      <w:marLeft w:val="0"/>
      <w:marRight w:val="0"/>
      <w:marTop w:val="0"/>
      <w:marBottom w:val="0"/>
      <w:divBdr>
        <w:top w:val="none" w:sz="0" w:space="0" w:color="auto"/>
        <w:left w:val="none" w:sz="0" w:space="0" w:color="auto"/>
        <w:bottom w:val="none" w:sz="0" w:space="0" w:color="auto"/>
        <w:right w:val="none" w:sz="0" w:space="0" w:color="auto"/>
      </w:divBdr>
    </w:div>
    <w:div w:id="21292002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openaq.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4</Pages>
  <Words>1338</Words>
  <Characters>8975</Characters>
  <Application>Microsoft Office Word</Application>
  <DocSecurity>0</DocSecurity>
  <Lines>163</Lines>
  <Paragraphs>87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10226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malteneiji60@gmail.com</cp:lastModifiedBy>
  <cp:revision>214</cp:revision>
  <dcterms:created xsi:type="dcterms:W3CDTF">2013-12-23T23:15:00Z</dcterms:created>
  <dcterms:modified xsi:type="dcterms:W3CDTF">2025-04-27T21:46:00Z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a8542003fe9283b6df96d71f80b116acef84705b5233cee72914b3e19bc420af</vt:lpwstr>
  </property>
</Properties>
</file>