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F169A" w14:textId="77777777" w:rsidR="00493781" w:rsidRPr="00376DFA" w:rsidRDefault="00493781" w:rsidP="00994B1B">
      <w:pPr>
        <w:rPr>
          <w:rFonts w:asciiTheme="majorBidi" w:hAnsiTheme="majorBidi" w:cstheme="majorBidi"/>
        </w:rPr>
      </w:pPr>
    </w:p>
    <w:p w14:paraId="0132575D" w14:textId="0777F73C" w:rsidR="006068D4" w:rsidRPr="00791455" w:rsidRDefault="006068D4" w:rsidP="00791455">
      <w:pPr>
        <w:pStyle w:val="Heading1"/>
        <w:numPr>
          <w:ilvl w:val="0"/>
          <w:numId w:val="12"/>
        </w:numPr>
        <w:rPr>
          <w:rFonts w:asciiTheme="majorBidi" w:hAnsiTheme="majorBidi"/>
          <w:b/>
          <w:bCs/>
          <w:color w:val="auto"/>
          <w:sz w:val="32"/>
          <w:szCs w:val="32"/>
        </w:rPr>
      </w:pPr>
      <w:r w:rsidRPr="00791455">
        <w:rPr>
          <w:rFonts w:asciiTheme="majorBidi" w:hAnsiTheme="majorBidi"/>
          <w:b/>
          <w:bCs/>
          <w:color w:val="auto"/>
          <w:sz w:val="32"/>
          <w:szCs w:val="32"/>
        </w:rPr>
        <w:t>Results and Discussion</w:t>
      </w:r>
    </w:p>
    <w:p w14:paraId="7964B710" w14:textId="7B80F5FA" w:rsidR="00376DFA" w:rsidRPr="008D46A3" w:rsidRDefault="00376DFA" w:rsidP="00791455">
      <w:pPr>
        <w:pStyle w:val="Heading2"/>
        <w:numPr>
          <w:ilvl w:val="1"/>
          <w:numId w:val="15"/>
        </w:numPr>
        <w:rPr>
          <w:rFonts w:asciiTheme="majorBidi" w:hAnsiTheme="majorBidi"/>
          <w:b/>
          <w:bCs/>
          <w:color w:val="auto"/>
          <w:sz w:val="28"/>
          <w:szCs w:val="28"/>
        </w:rPr>
      </w:pPr>
      <w:r w:rsidRPr="008D46A3">
        <w:rPr>
          <w:rFonts w:asciiTheme="majorBidi" w:hAnsiTheme="majorBidi"/>
          <w:b/>
          <w:bCs/>
          <w:color w:val="auto"/>
          <w:sz w:val="28"/>
          <w:szCs w:val="28"/>
        </w:rPr>
        <w:t>Historical Phase Results (2020–2022)</w:t>
      </w:r>
    </w:p>
    <w:p w14:paraId="27CFC9DD" w14:textId="303522EC" w:rsidR="00376DFA" w:rsidRPr="00ED0D56" w:rsidRDefault="00376DFA" w:rsidP="00791455">
      <w:pPr>
        <w:pStyle w:val="Heading3"/>
        <w:numPr>
          <w:ilvl w:val="2"/>
          <w:numId w:val="15"/>
        </w:numPr>
        <w:rPr>
          <w:rFonts w:asciiTheme="majorBidi" w:hAnsiTheme="majorBidi"/>
          <w:color w:val="auto"/>
          <w:sz w:val="26"/>
          <w:szCs w:val="26"/>
        </w:rPr>
      </w:pPr>
      <w:r w:rsidRPr="00ED0D56">
        <w:rPr>
          <w:rFonts w:asciiTheme="majorBidi" w:hAnsiTheme="majorBidi"/>
          <w:color w:val="auto"/>
          <w:sz w:val="26"/>
          <w:szCs w:val="26"/>
        </w:rPr>
        <w:t>Urban Air Quality Overview (2020–2022)</w:t>
      </w:r>
    </w:p>
    <w:p w14:paraId="16605D34" w14:textId="70F8FF00" w:rsidR="00AF7A2E" w:rsidRDefault="004817F1" w:rsidP="004817F1">
      <w:pPr>
        <w:spacing w:after="0"/>
        <w:rPr>
          <w:rFonts w:asciiTheme="majorBidi" w:hAnsiTheme="majorBidi" w:cstheme="majorBidi"/>
        </w:rPr>
      </w:pPr>
      <w:r w:rsidRPr="004817F1">
        <w:rPr>
          <w:rFonts w:asciiTheme="majorBidi" w:hAnsiTheme="majorBidi" w:cstheme="majorBidi"/>
        </w:rPr>
        <w:t>An initial analysis of urban air quality and mobility trends in the UAE from 2020 to 2022 was conducted using data aggregated by geohash</w:t>
      </w:r>
      <w:r w:rsidR="002B425B">
        <w:rPr>
          <w:rFonts w:asciiTheme="majorBidi" w:hAnsiTheme="majorBidi" w:cstheme="majorBidi"/>
        </w:rPr>
        <w:t xml:space="preserve"> which is </w:t>
      </w:r>
      <w:r w:rsidRPr="004817F1">
        <w:rPr>
          <w:rFonts w:asciiTheme="majorBidi" w:hAnsiTheme="majorBidi" w:cstheme="majorBidi"/>
        </w:rPr>
        <w:t>a spatial encoding system that divides geographic coordinates into small, grid-like cells. Each geohash in this study represents an area of approximately 3 km², allowing for detailed tracking of local environmental changes.</w:t>
      </w:r>
      <w:r>
        <w:rPr>
          <w:rFonts w:asciiTheme="majorBidi" w:hAnsiTheme="majorBidi" w:cstheme="majorBidi"/>
        </w:rPr>
        <w:t xml:space="preserve"> </w:t>
      </w:r>
      <w:r w:rsidRPr="004817F1">
        <w:rPr>
          <w:rFonts w:asciiTheme="majorBidi" w:hAnsiTheme="majorBidi" w:cstheme="majorBidi"/>
          <w:b/>
          <w:bCs/>
        </w:rPr>
        <w:t xml:space="preserve">Figure </w:t>
      </w:r>
      <w:r w:rsidRPr="004817F1">
        <w:rPr>
          <w:rFonts w:asciiTheme="majorBidi" w:hAnsiTheme="majorBidi" w:cstheme="majorBidi"/>
          <w:b/>
          <w:bCs/>
          <w:color w:val="FF0000"/>
        </w:rPr>
        <w:t>H</w:t>
      </w:r>
      <w:r w:rsidRPr="004817F1">
        <w:rPr>
          <w:rFonts w:asciiTheme="majorBidi" w:hAnsiTheme="majorBidi" w:cstheme="majorBidi"/>
        </w:rPr>
        <w:t xml:space="preserve"> shows changes in retail and recreation mobility across all seven emirates during this period. The sharp decline in early 2020 reflects pandemic lockdowns, with Abu Dhabi and Dubai showing the strongest rebounds in activity levels in the years that followed.</w:t>
      </w:r>
    </w:p>
    <w:p w14:paraId="0AF29F4A" w14:textId="77777777" w:rsidR="004817F1" w:rsidRDefault="004817F1" w:rsidP="004817F1">
      <w:pPr>
        <w:spacing w:after="0"/>
        <w:rPr>
          <w:rFonts w:asciiTheme="majorBidi" w:hAnsiTheme="majorBidi" w:cstheme="majorBidi"/>
        </w:rPr>
      </w:pPr>
    </w:p>
    <w:p w14:paraId="6CC35571" w14:textId="77777777" w:rsidR="004817F1" w:rsidRDefault="004817F1" w:rsidP="004817F1">
      <w:pPr>
        <w:spacing w:after="0"/>
        <w:jc w:val="both"/>
        <w:rPr>
          <w:rFonts w:asciiTheme="majorBidi" w:hAnsiTheme="majorBidi" w:cstheme="majorBidi"/>
        </w:rPr>
      </w:pPr>
    </w:p>
    <w:p w14:paraId="173535EE" w14:textId="38804BF1" w:rsidR="00AF7A2E" w:rsidRDefault="00AF7A2E" w:rsidP="00ED0D56">
      <w:pPr>
        <w:spacing w:after="0"/>
        <w:jc w:val="both"/>
        <w:rPr>
          <w:rFonts w:asciiTheme="majorBidi" w:hAnsiTheme="majorBidi" w:cstheme="majorBidi"/>
        </w:rPr>
      </w:pPr>
      <w:r>
        <w:rPr>
          <w:rFonts w:asciiTheme="majorBidi" w:hAnsiTheme="majorBidi" w:cstheme="majorBidi"/>
          <w:noProof/>
        </w:rPr>
        <w:drawing>
          <wp:inline distT="0" distB="0" distL="0" distR="0" wp14:anchorId="2CEE35CB" wp14:editId="1A9BD0B3">
            <wp:extent cx="5067300" cy="2257436"/>
            <wp:effectExtent l="0" t="0" r="0" b="9525"/>
            <wp:docPr id="19677306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30629" name="Picture 1967730629"/>
                    <pic:cNvPicPr/>
                  </pic:nvPicPr>
                  <pic:blipFill>
                    <a:blip r:embed="rId7">
                      <a:extLst>
                        <a:ext uri="{28A0092B-C50C-407E-A947-70E740481C1C}">
                          <a14:useLocalDpi xmlns:a14="http://schemas.microsoft.com/office/drawing/2010/main" val="0"/>
                        </a:ext>
                      </a:extLst>
                    </a:blip>
                    <a:stretch>
                      <a:fillRect/>
                    </a:stretch>
                  </pic:blipFill>
                  <pic:spPr>
                    <a:xfrm>
                      <a:off x="0" y="0"/>
                      <a:ext cx="5074207" cy="2260513"/>
                    </a:xfrm>
                    <a:prstGeom prst="rect">
                      <a:avLst/>
                    </a:prstGeom>
                  </pic:spPr>
                </pic:pic>
              </a:graphicData>
            </a:graphic>
          </wp:inline>
        </w:drawing>
      </w:r>
    </w:p>
    <w:p w14:paraId="18D72D30" w14:textId="6C418C14" w:rsidR="00AF7A2E" w:rsidRDefault="00AF7A2E" w:rsidP="00AF7A2E">
      <w:pPr>
        <w:spacing w:after="0"/>
        <w:jc w:val="both"/>
        <w:rPr>
          <w:rFonts w:asciiTheme="majorBidi" w:hAnsiTheme="majorBidi" w:cstheme="majorBidi"/>
        </w:rPr>
      </w:pPr>
      <w:r w:rsidRPr="004817F1">
        <w:rPr>
          <w:rFonts w:asciiTheme="majorBidi" w:hAnsiTheme="majorBidi" w:cstheme="majorBidi"/>
          <w:b/>
          <w:bCs/>
          <w:color w:val="FF0000"/>
        </w:rPr>
        <w:t xml:space="preserve">Figure </w:t>
      </w:r>
      <w:r w:rsidR="004817F1" w:rsidRPr="004817F1">
        <w:rPr>
          <w:rFonts w:asciiTheme="majorBidi" w:hAnsiTheme="majorBidi" w:cstheme="majorBidi"/>
          <w:b/>
          <w:bCs/>
          <w:color w:val="FF0000"/>
        </w:rPr>
        <w:t>H</w:t>
      </w:r>
      <w:r w:rsidR="004817F1">
        <w:rPr>
          <w:rFonts w:asciiTheme="majorBidi" w:hAnsiTheme="majorBidi" w:cstheme="majorBidi"/>
          <w:b/>
          <w:bCs/>
        </w:rPr>
        <w:t>:</w:t>
      </w:r>
      <w:r w:rsidRPr="00AF7A2E">
        <w:rPr>
          <w:rFonts w:asciiTheme="majorBidi" w:hAnsiTheme="majorBidi" w:cstheme="majorBidi"/>
        </w:rPr>
        <w:t xml:space="preserve"> Time series of retail and recreation mobility changes from 2020 to 2022 across UAE emirates. Abu Dhabi and Dubai show the largest activity rebounds post-2020 lockdowns.</w:t>
      </w:r>
    </w:p>
    <w:p w14:paraId="461FBC6F" w14:textId="77777777" w:rsidR="00AF7A2E" w:rsidRDefault="00AF7A2E" w:rsidP="00AF7A2E">
      <w:pPr>
        <w:spacing w:after="0"/>
        <w:jc w:val="both"/>
        <w:rPr>
          <w:rFonts w:asciiTheme="majorBidi" w:hAnsiTheme="majorBidi" w:cstheme="majorBidi"/>
        </w:rPr>
      </w:pPr>
    </w:p>
    <w:p w14:paraId="404F30EF" w14:textId="19D53C6F" w:rsidR="004817F1" w:rsidRPr="004817F1" w:rsidRDefault="004817F1" w:rsidP="004817F1">
      <w:pPr>
        <w:spacing w:after="0"/>
        <w:jc w:val="both"/>
        <w:rPr>
          <w:rFonts w:asciiTheme="majorBidi" w:hAnsiTheme="majorBidi" w:cstheme="majorBidi"/>
        </w:rPr>
      </w:pPr>
      <w:r w:rsidRPr="004817F1">
        <w:rPr>
          <w:rFonts w:asciiTheme="majorBidi" w:hAnsiTheme="majorBidi" w:cstheme="majorBidi"/>
        </w:rPr>
        <w:t>To generate mobility scores at the local level:</w:t>
      </w:r>
    </w:p>
    <w:p w14:paraId="391508D5" w14:textId="77777777" w:rsidR="004817F1" w:rsidRPr="004817F1" w:rsidRDefault="004817F1" w:rsidP="004817F1">
      <w:pPr>
        <w:numPr>
          <w:ilvl w:val="0"/>
          <w:numId w:val="48"/>
        </w:numPr>
        <w:spacing w:after="0"/>
        <w:jc w:val="both"/>
        <w:rPr>
          <w:rFonts w:asciiTheme="majorBidi" w:hAnsiTheme="majorBidi" w:cstheme="majorBidi"/>
        </w:rPr>
      </w:pPr>
      <w:r w:rsidRPr="004817F1">
        <w:rPr>
          <w:rFonts w:asciiTheme="majorBidi" w:hAnsiTheme="majorBidi" w:cstheme="majorBidi"/>
        </w:rPr>
        <w:t>Latitude and longitude values were converted to 5-character geohashes using the geohash2.encode() function.</w:t>
      </w:r>
    </w:p>
    <w:p w14:paraId="77009C35" w14:textId="77777777" w:rsidR="004817F1" w:rsidRPr="004817F1" w:rsidRDefault="004817F1" w:rsidP="004817F1">
      <w:pPr>
        <w:numPr>
          <w:ilvl w:val="0"/>
          <w:numId w:val="48"/>
        </w:numPr>
        <w:spacing w:after="0"/>
        <w:jc w:val="both"/>
        <w:rPr>
          <w:rFonts w:asciiTheme="majorBidi" w:hAnsiTheme="majorBidi" w:cstheme="majorBidi"/>
        </w:rPr>
      </w:pPr>
      <w:r w:rsidRPr="004817F1">
        <w:rPr>
          <w:rFonts w:asciiTheme="majorBidi" w:hAnsiTheme="majorBidi" w:cstheme="majorBidi"/>
        </w:rPr>
        <w:t>A composite mobility score was calculated by averaging workplace and transit station changes from Google’s mobility dataset.</w:t>
      </w:r>
    </w:p>
    <w:p w14:paraId="6D758C5F" w14:textId="77777777" w:rsidR="004817F1" w:rsidRPr="004817F1" w:rsidRDefault="004817F1" w:rsidP="004817F1">
      <w:pPr>
        <w:numPr>
          <w:ilvl w:val="0"/>
          <w:numId w:val="48"/>
        </w:numPr>
        <w:spacing w:after="0"/>
        <w:jc w:val="both"/>
        <w:rPr>
          <w:rFonts w:asciiTheme="majorBidi" w:hAnsiTheme="majorBidi" w:cstheme="majorBidi"/>
        </w:rPr>
      </w:pPr>
      <w:r w:rsidRPr="004817F1">
        <w:rPr>
          <w:rFonts w:asciiTheme="majorBidi" w:hAnsiTheme="majorBidi" w:cstheme="majorBidi"/>
        </w:rPr>
        <w:t>Incomplete or missing data entries were removed to ensure accuracy.</w:t>
      </w:r>
    </w:p>
    <w:p w14:paraId="519700BC" w14:textId="77777777" w:rsidR="004817F1" w:rsidRPr="004817F1" w:rsidRDefault="004817F1" w:rsidP="004817F1">
      <w:pPr>
        <w:numPr>
          <w:ilvl w:val="0"/>
          <w:numId w:val="48"/>
        </w:numPr>
        <w:spacing w:after="0"/>
        <w:jc w:val="both"/>
        <w:rPr>
          <w:rFonts w:asciiTheme="majorBidi" w:hAnsiTheme="majorBidi" w:cstheme="majorBidi"/>
        </w:rPr>
      </w:pPr>
      <w:r w:rsidRPr="004817F1">
        <w:rPr>
          <w:rFonts w:asciiTheme="majorBidi" w:hAnsiTheme="majorBidi" w:cstheme="majorBidi"/>
        </w:rPr>
        <w:t>Data was then grouped by geohash, yielding 205 unique zones with mobility data.</w:t>
      </w:r>
    </w:p>
    <w:p w14:paraId="29041F9D" w14:textId="3CF9BBFC" w:rsidR="004817F1" w:rsidRPr="004817F1" w:rsidRDefault="004817F1" w:rsidP="004817F1">
      <w:pPr>
        <w:spacing w:after="0"/>
        <w:jc w:val="both"/>
        <w:rPr>
          <w:rFonts w:asciiTheme="majorBidi" w:hAnsiTheme="majorBidi" w:cstheme="majorBidi"/>
        </w:rPr>
      </w:pPr>
      <w:r w:rsidRPr="004817F1">
        <w:rPr>
          <w:rFonts w:asciiTheme="majorBidi" w:hAnsiTheme="majorBidi" w:cstheme="majorBidi"/>
        </w:rPr>
        <w:t>Pollution data</w:t>
      </w:r>
      <w:r>
        <w:rPr>
          <w:rFonts w:asciiTheme="majorBidi" w:hAnsiTheme="majorBidi" w:cstheme="majorBidi"/>
        </w:rPr>
        <w:t xml:space="preserve"> that was </w:t>
      </w:r>
      <w:r w:rsidRPr="004817F1">
        <w:rPr>
          <w:rFonts w:asciiTheme="majorBidi" w:hAnsiTheme="majorBidi" w:cstheme="majorBidi"/>
        </w:rPr>
        <w:t xml:space="preserve">sourced from </w:t>
      </w:r>
      <w:proofErr w:type="spellStart"/>
      <w:r w:rsidRPr="004817F1">
        <w:rPr>
          <w:rFonts w:asciiTheme="majorBidi" w:hAnsiTheme="majorBidi" w:cstheme="majorBidi"/>
        </w:rPr>
        <w:t>OpenAQ</w:t>
      </w:r>
      <w:proofErr w:type="spellEnd"/>
      <w:r w:rsidRPr="004817F1">
        <w:rPr>
          <w:rFonts w:asciiTheme="majorBidi" w:hAnsiTheme="majorBidi" w:cstheme="majorBidi"/>
        </w:rPr>
        <w:t xml:space="preserve"> and similar platforms</w:t>
      </w:r>
      <w:r>
        <w:rPr>
          <w:rFonts w:asciiTheme="majorBidi" w:hAnsiTheme="majorBidi" w:cstheme="majorBidi"/>
        </w:rPr>
        <w:t xml:space="preserve">, </w:t>
      </w:r>
      <w:r w:rsidRPr="004817F1">
        <w:rPr>
          <w:rFonts w:asciiTheme="majorBidi" w:hAnsiTheme="majorBidi" w:cstheme="majorBidi"/>
        </w:rPr>
        <w:t>was also aggregated by geohash. This provided average concentrations of key pollutants including NO₂, SO₂, and PM₁₀ for each area. Geohash codes were normalized to lowercase across both datasets to allow for clean merging.</w:t>
      </w:r>
    </w:p>
    <w:p w14:paraId="1E3D926B" w14:textId="77777777" w:rsidR="004817F1" w:rsidRPr="004817F1" w:rsidRDefault="004817F1" w:rsidP="004817F1">
      <w:pPr>
        <w:spacing w:after="0"/>
        <w:jc w:val="both"/>
        <w:rPr>
          <w:rFonts w:asciiTheme="majorBidi" w:hAnsiTheme="majorBidi" w:cstheme="majorBidi"/>
        </w:rPr>
      </w:pPr>
      <w:r w:rsidRPr="004817F1">
        <w:rPr>
          <w:rFonts w:asciiTheme="majorBidi" w:hAnsiTheme="majorBidi" w:cstheme="majorBidi"/>
        </w:rPr>
        <w:t xml:space="preserve">After data cleaning, only 7 geohash zones had valid entries in both the pollution and mobility datasets. These overlapping zones were merged into a final </w:t>
      </w:r>
      <w:proofErr w:type="spellStart"/>
      <w:r w:rsidRPr="004817F1">
        <w:rPr>
          <w:rFonts w:asciiTheme="majorBidi" w:hAnsiTheme="majorBidi" w:cstheme="majorBidi"/>
        </w:rPr>
        <w:t>filtered_df</w:t>
      </w:r>
      <w:proofErr w:type="spellEnd"/>
      <w:r w:rsidRPr="004817F1">
        <w:rPr>
          <w:rFonts w:asciiTheme="majorBidi" w:hAnsiTheme="majorBidi" w:cstheme="majorBidi"/>
        </w:rPr>
        <w:t xml:space="preserve">, which served as the basis for the </w:t>
      </w:r>
      <w:proofErr w:type="spellStart"/>
      <w:r w:rsidRPr="004817F1">
        <w:rPr>
          <w:rFonts w:asciiTheme="majorBidi" w:hAnsiTheme="majorBidi" w:cstheme="majorBidi"/>
        </w:rPr>
        <w:t>joined_table</w:t>
      </w:r>
      <w:proofErr w:type="spellEnd"/>
      <w:r w:rsidRPr="004817F1">
        <w:rPr>
          <w:rFonts w:asciiTheme="majorBidi" w:hAnsiTheme="majorBidi" w:cstheme="majorBidi"/>
        </w:rPr>
        <w:t xml:space="preserve"> used in later visualizations and statistical </w:t>
      </w:r>
      <w:proofErr w:type="spellStart"/>
      <w:r w:rsidRPr="004817F1">
        <w:rPr>
          <w:rFonts w:asciiTheme="majorBidi" w:hAnsiTheme="majorBidi" w:cstheme="majorBidi"/>
        </w:rPr>
        <w:t>modeling</w:t>
      </w:r>
      <w:proofErr w:type="spellEnd"/>
      <w:r w:rsidRPr="004817F1">
        <w:rPr>
          <w:rFonts w:asciiTheme="majorBidi" w:hAnsiTheme="majorBidi" w:cstheme="majorBidi"/>
        </w:rPr>
        <w:t>.</w:t>
      </w:r>
    </w:p>
    <w:p w14:paraId="4CC71D80" w14:textId="77777777" w:rsidR="004817F1" w:rsidRDefault="004817F1" w:rsidP="004817F1">
      <w:pPr>
        <w:spacing w:after="0"/>
        <w:jc w:val="both"/>
        <w:rPr>
          <w:rFonts w:asciiTheme="majorBidi" w:hAnsiTheme="majorBidi" w:cstheme="majorBidi"/>
        </w:rPr>
      </w:pPr>
    </w:p>
    <w:p w14:paraId="24F5EDE6" w14:textId="77777777" w:rsidR="004817F1" w:rsidRDefault="004817F1" w:rsidP="004817F1">
      <w:pPr>
        <w:spacing w:after="0"/>
        <w:jc w:val="both"/>
        <w:rPr>
          <w:rFonts w:asciiTheme="majorBidi" w:hAnsiTheme="majorBidi" w:cstheme="majorBidi"/>
        </w:rPr>
      </w:pPr>
    </w:p>
    <w:p w14:paraId="640FF3A9" w14:textId="77777777" w:rsidR="004817F1" w:rsidRDefault="004817F1" w:rsidP="004817F1">
      <w:pPr>
        <w:spacing w:after="0"/>
        <w:jc w:val="both"/>
        <w:rPr>
          <w:rFonts w:asciiTheme="majorBidi" w:hAnsiTheme="majorBidi" w:cstheme="majorBidi"/>
        </w:rPr>
      </w:pPr>
    </w:p>
    <w:p w14:paraId="4BC4B776" w14:textId="77777777" w:rsidR="004817F1" w:rsidRDefault="004817F1" w:rsidP="004817F1">
      <w:pPr>
        <w:spacing w:after="0"/>
        <w:jc w:val="both"/>
        <w:rPr>
          <w:rFonts w:asciiTheme="majorBidi" w:hAnsiTheme="majorBidi" w:cstheme="majorBidi"/>
        </w:rPr>
      </w:pPr>
    </w:p>
    <w:p w14:paraId="3FD2BEDB" w14:textId="77777777" w:rsidR="004817F1" w:rsidRPr="004817F1" w:rsidRDefault="004817F1" w:rsidP="004817F1">
      <w:pPr>
        <w:spacing w:after="0"/>
        <w:jc w:val="both"/>
        <w:rPr>
          <w:rFonts w:asciiTheme="majorBidi" w:hAnsiTheme="majorBidi" w:cstheme="majorBidi"/>
        </w:rPr>
      </w:pPr>
    </w:p>
    <w:p w14:paraId="3F786B43" w14:textId="094D854E" w:rsidR="00E71792" w:rsidRDefault="002B425B" w:rsidP="004817F1">
      <w:pPr>
        <w:spacing w:after="0"/>
        <w:jc w:val="both"/>
        <w:rPr>
          <w:rFonts w:asciiTheme="majorBidi" w:hAnsiTheme="majorBidi" w:cstheme="majorBidi"/>
        </w:rPr>
      </w:pPr>
      <w:r>
        <w:rPr>
          <w:rFonts w:asciiTheme="majorBidi" w:hAnsiTheme="majorBidi" w:cstheme="majorBidi"/>
        </w:rPr>
        <w:lastRenderedPageBreak/>
        <w:t>As shown in Table 1, a</w:t>
      </w:r>
      <w:r w:rsidR="00E71792" w:rsidRPr="00E71792">
        <w:rPr>
          <w:rFonts w:asciiTheme="majorBidi" w:hAnsiTheme="majorBidi" w:cstheme="majorBidi"/>
        </w:rPr>
        <w:t xml:space="preserve"> preview of the combined dataset shows the structure of available variables</w:t>
      </w:r>
    </w:p>
    <w:p w14:paraId="4DF8F3FE" w14:textId="77777777" w:rsidR="002B425B" w:rsidRDefault="002B425B" w:rsidP="004817F1">
      <w:pPr>
        <w:spacing w:after="0"/>
        <w:jc w:val="both"/>
        <w:rPr>
          <w:rFonts w:asciiTheme="majorBidi" w:hAnsiTheme="majorBidi" w:cstheme="majorBidi"/>
        </w:rPr>
      </w:pPr>
    </w:p>
    <w:p w14:paraId="5BE21A70" w14:textId="0DF3D1FB" w:rsidR="002B425B" w:rsidRPr="00E71792" w:rsidRDefault="002B425B" w:rsidP="002B425B">
      <w:pPr>
        <w:spacing w:after="0"/>
        <w:jc w:val="both"/>
        <w:rPr>
          <w:rFonts w:asciiTheme="majorBidi" w:hAnsiTheme="majorBidi" w:cstheme="majorBidi"/>
        </w:rPr>
      </w:pPr>
      <w:r w:rsidRPr="002B425B">
        <w:rPr>
          <w:rFonts w:asciiTheme="majorBidi" w:hAnsiTheme="majorBidi" w:cstheme="majorBidi"/>
          <w:b/>
          <w:bCs/>
        </w:rPr>
        <w:t>Table 1:</w:t>
      </w:r>
      <w:r w:rsidRPr="002B425B">
        <w:rPr>
          <w:rFonts w:asciiTheme="majorBidi" w:hAnsiTheme="majorBidi" w:cstheme="majorBidi"/>
        </w:rPr>
        <w:t xml:space="preserve"> Preview of the combined dataset showing pollution concentrations and mobility scores for selected UAE geohash zones (2020–2022). </w:t>
      </w:r>
    </w:p>
    <w:tbl>
      <w:tblPr>
        <w:tblStyle w:val="PlainTable4"/>
        <w:tblW w:w="8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554"/>
        <w:gridCol w:w="1643"/>
        <w:gridCol w:w="1511"/>
        <w:gridCol w:w="2310"/>
      </w:tblGrid>
      <w:tr w:rsidR="00E71792" w:rsidRPr="00E71792" w14:paraId="05D6E40D" w14:textId="77777777" w:rsidTr="002B425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123B7DE8"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Geohash</w:t>
            </w:r>
          </w:p>
        </w:tc>
        <w:tc>
          <w:tcPr>
            <w:tcW w:w="0" w:type="auto"/>
            <w:hideMark/>
          </w:tcPr>
          <w:p w14:paraId="0F59F0CC" w14:textId="33AD883B" w:rsidR="00E71792" w:rsidRPr="00E71792" w:rsidRDefault="00E71792" w:rsidP="002B425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NO₂</w:t>
            </w:r>
            <w:r w:rsidR="002B425B" w:rsidRPr="002B425B">
              <w:rPr>
                <w:b w:val="0"/>
                <w:bCs w:val="0"/>
              </w:rPr>
              <w:t xml:space="preserve"> </w:t>
            </w:r>
            <w:r w:rsidR="002B425B" w:rsidRPr="002B425B">
              <w:rPr>
                <w:rFonts w:asciiTheme="majorBidi" w:hAnsiTheme="majorBidi" w:cstheme="majorBidi"/>
              </w:rPr>
              <w:t>(µg/m³)</w:t>
            </w:r>
          </w:p>
        </w:tc>
        <w:tc>
          <w:tcPr>
            <w:tcW w:w="0" w:type="auto"/>
            <w:hideMark/>
          </w:tcPr>
          <w:p w14:paraId="0877687A" w14:textId="16C04281" w:rsidR="00E71792" w:rsidRPr="00E71792" w:rsidRDefault="00E71792" w:rsidP="002B425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PM₁₀</w:t>
            </w:r>
            <w:r w:rsidR="002B425B" w:rsidRPr="002B425B">
              <w:rPr>
                <w:b w:val="0"/>
                <w:bCs w:val="0"/>
              </w:rPr>
              <w:t xml:space="preserve"> </w:t>
            </w:r>
            <w:r w:rsidR="002B425B" w:rsidRPr="002B425B">
              <w:rPr>
                <w:rFonts w:asciiTheme="majorBidi" w:hAnsiTheme="majorBidi" w:cstheme="majorBidi"/>
              </w:rPr>
              <w:t>(µg/m³)</w:t>
            </w:r>
          </w:p>
        </w:tc>
        <w:tc>
          <w:tcPr>
            <w:tcW w:w="0" w:type="auto"/>
            <w:hideMark/>
          </w:tcPr>
          <w:p w14:paraId="67EFC3CB" w14:textId="2E647D55" w:rsidR="00E71792" w:rsidRPr="00E71792" w:rsidRDefault="00E71792" w:rsidP="002B425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SO₂</w:t>
            </w:r>
            <w:r w:rsidR="002B425B" w:rsidRPr="002B425B">
              <w:rPr>
                <w:b w:val="0"/>
                <w:bCs w:val="0"/>
              </w:rPr>
              <w:t xml:space="preserve"> </w:t>
            </w:r>
            <w:r w:rsidR="002B425B" w:rsidRPr="002B425B">
              <w:rPr>
                <w:rFonts w:asciiTheme="majorBidi" w:hAnsiTheme="majorBidi" w:cstheme="majorBidi"/>
              </w:rPr>
              <w:t>(µg/m³)</w:t>
            </w:r>
          </w:p>
        </w:tc>
        <w:tc>
          <w:tcPr>
            <w:tcW w:w="0" w:type="auto"/>
            <w:hideMark/>
          </w:tcPr>
          <w:p w14:paraId="74373AC7" w14:textId="5365E664" w:rsidR="00E71792" w:rsidRPr="00E71792" w:rsidRDefault="00E71792" w:rsidP="002B425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Mobility Score</w:t>
            </w:r>
            <w:r w:rsidR="002B425B" w:rsidRPr="002B425B">
              <w:rPr>
                <w:b w:val="0"/>
                <w:bCs w:val="0"/>
              </w:rPr>
              <w:t xml:space="preserve"> </w:t>
            </w:r>
            <w:r w:rsidR="002B425B" w:rsidRPr="002B425B">
              <w:rPr>
                <w:rFonts w:asciiTheme="majorBidi" w:hAnsiTheme="majorBidi" w:cstheme="majorBidi"/>
              </w:rPr>
              <w:t>(%)</w:t>
            </w:r>
          </w:p>
        </w:tc>
      </w:tr>
      <w:tr w:rsidR="00E71792" w:rsidRPr="00E71792" w14:paraId="15A49477" w14:textId="77777777" w:rsidTr="002B425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1FF76EA9"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thqf4</w:t>
            </w:r>
          </w:p>
        </w:tc>
        <w:tc>
          <w:tcPr>
            <w:tcW w:w="0" w:type="auto"/>
            <w:hideMark/>
          </w:tcPr>
          <w:p w14:paraId="725D1C1D"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76.8</w:t>
            </w:r>
          </w:p>
        </w:tc>
        <w:tc>
          <w:tcPr>
            <w:tcW w:w="0" w:type="auto"/>
            <w:hideMark/>
          </w:tcPr>
          <w:p w14:paraId="790C72C0"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94.6</w:t>
            </w:r>
          </w:p>
        </w:tc>
        <w:tc>
          <w:tcPr>
            <w:tcW w:w="0" w:type="auto"/>
            <w:hideMark/>
          </w:tcPr>
          <w:p w14:paraId="6D9B3771"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12.5</w:t>
            </w:r>
          </w:p>
        </w:tc>
        <w:tc>
          <w:tcPr>
            <w:tcW w:w="0" w:type="auto"/>
            <w:hideMark/>
          </w:tcPr>
          <w:p w14:paraId="76AAE874"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12.10</w:t>
            </w:r>
          </w:p>
        </w:tc>
      </w:tr>
      <w:tr w:rsidR="00E71792" w:rsidRPr="00E71792" w14:paraId="0608AA8A" w14:textId="77777777" w:rsidTr="002B425B">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65E0697A" w14:textId="77777777" w:rsidR="00E71792" w:rsidRPr="00E71792" w:rsidRDefault="00E71792" w:rsidP="005D695A">
            <w:pPr>
              <w:spacing w:after="160" w:line="259" w:lineRule="auto"/>
              <w:jc w:val="center"/>
              <w:rPr>
                <w:rFonts w:asciiTheme="majorBidi" w:hAnsiTheme="majorBidi" w:cstheme="majorBidi"/>
              </w:rPr>
            </w:pPr>
            <w:proofErr w:type="spellStart"/>
            <w:r w:rsidRPr="00E71792">
              <w:rPr>
                <w:rFonts w:asciiTheme="majorBidi" w:hAnsiTheme="majorBidi" w:cstheme="majorBidi"/>
              </w:rPr>
              <w:t>thqfb</w:t>
            </w:r>
            <w:proofErr w:type="spellEnd"/>
          </w:p>
        </w:tc>
        <w:tc>
          <w:tcPr>
            <w:tcW w:w="0" w:type="auto"/>
            <w:hideMark/>
          </w:tcPr>
          <w:p w14:paraId="6D3B5BC3"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31.1</w:t>
            </w:r>
          </w:p>
        </w:tc>
        <w:tc>
          <w:tcPr>
            <w:tcW w:w="0" w:type="auto"/>
            <w:hideMark/>
          </w:tcPr>
          <w:p w14:paraId="193C3E01"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87.1</w:t>
            </w:r>
          </w:p>
        </w:tc>
        <w:tc>
          <w:tcPr>
            <w:tcW w:w="0" w:type="auto"/>
            <w:hideMark/>
          </w:tcPr>
          <w:p w14:paraId="37237113"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11.0</w:t>
            </w:r>
          </w:p>
        </w:tc>
        <w:tc>
          <w:tcPr>
            <w:tcW w:w="0" w:type="auto"/>
            <w:hideMark/>
          </w:tcPr>
          <w:p w14:paraId="65B5AF08"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-11.81</w:t>
            </w:r>
          </w:p>
        </w:tc>
      </w:tr>
      <w:tr w:rsidR="00E71792" w:rsidRPr="00E71792" w14:paraId="325CE84A" w14:textId="77777777" w:rsidTr="002B425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15832170"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thr97</w:t>
            </w:r>
          </w:p>
        </w:tc>
        <w:tc>
          <w:tcPr>
            <w:tcW w:w="0" w:type="auto"/>
            <w:hideMark/>
          </w:tcPr>
          <w:p w14:paraId="62A68D18"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19.2</w:t>
            </w:r>
          </w:p>
        </w:tc>
        <w:tc>
          <w:tcPr>
            <w:tcW w:w="0" w:type="auto"/>
            <w:hideMark/>
          </w:tcPr>
          <w:p w14:paraId="2A7FAF88"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67.2</w:t>
            </w:r>
          </w:p>
        </w:tc>
        <w:tc>
          <w:tcPr>
            <w:tcW w:w="0" w:type="auto"/>
            <w:hideMark/>
          </w:tcPr>
          <w:p w14:paraId="7F7DB7C3"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10.4</w:t>
            </w:r>
          </w:p>
        </w:tc>
        <w:tc>
          <w:tcPr>
            <w:tcW w:w="0" w:type="auto"/>
            <w:hideMark/>
          </w:tcPr>
          <w:p w14:paraId="14FFBF5C"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-13.07</w:t>
            </w:r>
          </w:p>
        </w:tc>
      </w:tr>
    </w:tbl>
    <w:p w14:paraId="55E1B734" w14:textId="77777777" w:rsidR="00C14340" w:rsidRPr="00376DFA" w:rsidRDefault="00C14340" w:rsidP="00791455">
      <w:pPr>
        <w:jc w:val="both"/>
        <w:rPr>
          <w:rFonts w:asciiTheme="majorBidi" w:hAnsiTheme="majorBidi" w:cstheme="majorBidi"/>
        </w:rPr>
      </w:pPr>
    </w:p>
    <w:p w14:paraId="6C301C8A" w14:textId="76CAC480" w:rsidR="00376DFA" w:rsidRPr="00376DFA" w:rsidRDefault="00376DFA" w:rsidP="00791455">
      <w:pPr>
        <w:pStyle w:val="Heading3"/>
        <w:numPr>
          <w:ilvl w:val="2"/>
          <w:numId w:val="15"/>
        </w:numPr>
        <w:rPr>
          <w:rFonts w:asciiTheme="majorBidi" w:hAnsiTheme="majorBidi"/>
          <w:color w:val="auto"/>
          <w:sz w:val="26"/>
          <w:szCs w:val="26"/>
        </w:rPr>
      </w:pPr>
      <w:r w:rsidRPr="00376DFA">
        <w:rPr>
          <w:rFonts w:asciiTheme="majorBidi" w:hAnsiTheme="majorBidi"/>
          <w:color w:val="auto"/>
          <w:sz w:val="26"/>
          <w:szCs w:val="26"/>
        </w:rPr>
        <w:t>Geospatial Distribution of Pollutants</w:t>
      </w:r>
    </w:p>
    <w:p w14:paraId="0B512CEE" w14:textId="3FCB80BA" w:rsidR="00736522" w:rsidRDefault="00736522" w:rsidP="00736522">
      <w:pPr>
        <w:rPr>
          <w:rFonts w:asciiTheme="majorBidi" w:hAnsiTheme="majorBidi" w:cstheme="majorBidi"/>
        </w:rPr>
      </w:pPr>
      <w:r w:rsidRPr="00736522">
        <w:rPr>
          <w:rFonts w:asciiTheme="majorBidi" w:hAnsiTheme="majorBidi" w:cstheme="majorBidi"/>
        </w:rPr>
        <w:t xml:space="preserve">To study how air pollution varied across the UAE, georeferenced raster data for NO₂, SO₂, and the aerosol index (AAI) from 2020 to 2022 were visualized. A composite heatmap was created in Figure </w:t>
      </w:r>
      <w:r w:rsidRPr="00736522">
        <w:rPr>
          <w:rFonts w:asciiTheme="majorBidi" w:hAnsiTheme="majorBidi" w:cstheme="majorBidi"/>
          <w:color w:val="FF0000"/>
        </w:rPr>
        <w:t>A</w:t>
      </w:r>
      <w:r w:rsidRPr="00736522">
        <w:rPr>
          <w:rFonts w:asciiTheme="majorBidi" w:hAnsiTheme="majorBidi" w:cstheme="majorBidi"/>
        </w:rPr>
        <w:t xml:space="preserve">, where brighter colours show higher pollution levels. These maps were produced using </w:t>
      </w:r>
      <w:proofErr w:type="spellStart"/>
      <w:r w:rsidRPr="00736522">
        <w:rPr>
          <w:rFonts w:asciiTheme="majorBidi" w:hAnsiTheme="majorBidi" w:cstheme="majorBidi"/>
        </w:rPr>
        <w:t>Rasterio</w:t>
      </w:r>
      <w:proofErr w:type="spellEnd"/>
      <w:r w:rsidRPr="00736522">
        <w:rPr>
          <w:rFonts w:asciiTheme="majorBidi" w:hAnsiTheme="majorBidi" w:cstheme="majorBidi"/>
        </w:rPr>
        <w:t xml:space="preserve"> and</w:t>
      </w:r>
      <w:r>
        <w:rPr>
          <w:rFonts w:asciiTheme="majorBidi" w:hAnsiTheme="majorBidi" w:cstheme="majorBidi"/>
        </w:rPr>
        <w:t xml:space="preserve"> </w:t>
      </w:r>
      <w:r w:rsidRPr="00736522">
        <w:rPr>
          <w:rFonts w:asciiTheme="majorBidi" w:hAnsiTheme="majorBidi" w:cstheme="majorBidi"/>
        </w:rPr>
        <w:t>Matplotlib, and they highlight areas with more serious air quality risks.</w:t>
      </w:r>
    </w:p>
    <w:p w14:paraId="6EF536DF" w14:textId="65731749" w:rsidR="005D695A" w:rsidRDefault="00ED0D56" w:rsidP="00C14340">
      <w:pPr>
        <w:jc w:val="center"/>
        <w:rPr>
          <w:rFonts w:asciiTheme="majorBidi" w:hAnsiTheme="majorBidi" w:cstheme="majorBidi"/>
        </w:rPr>
      </w:pPr>
      <w:r>
        <w:rPr>
          <w:rFonts w:asciiTheme="majorBidi" w:hAnsiTheme="majorBidi" w:cstheme="majorBidi"/>
          <w:noProof/>
        </w:rPr>
        <w:drawing>
          <wp:inline distT="0" distB="0" distL="0" distR="0" wp14:anchorId="7949FBB4" wp14:editId="61A50BA0">
            <wp:extent cx="4521157" cy="3129413"/>
            <wp:effectExtent l="0" t="0" r="0" b="0"/>
            <wp:docPr id="731095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95167" name="Picture 731095167"/>
                    <pic:cNvPicPr/>
                  </pic:nvPicPr>
                  <pic:blipFill>
                    <a:blip r:embed="rId8">
                      <a:extLst>
                        <a:ext uri="{28A0092B-C50C-407E-A947-70E740481C1C}">
                          <a14:useLocalDpi xmlns:a14="http://schemas.microsoft.com/office/drawing/2010/main" val="0"/>
                        </a:ext>
                      </a:extLst>
                    </a:blip>
                    <a:stretch>
                      <a:fillRect/>
                    </a:stretch>
                  </pic:blipFill>
                  <pic:spPr>
                    <a:xfrm>
                      <a:off x="0" y="0"/>
                      <a:ext cx="4532805" cy="3137475"/>
                    </a:xfrm>
                    <a:prstGeom prst="rect">
                      <a:avLst/>
                    </a:prstGeom>
                  </pic:spPr>
                </pic:pic>
              </a:graphicData>
            </a:graphic>
          </wp:inline>
        </w:drawing>
      </w:r>
    </w:p>
    <w:p w14:paraId="0E14B596" w14:textId="7D2130E7" w:rsidR="00ED0D56" w:rsidRDefault="00ED0D56" w:rsidP="00ED0D56">
      <w:pPr>
        <w:rPr>
          <w:rFonts w:asciiTheme="majorBidi" w:hAnsiTheme="majorBidi" w:cstheme="majorBidi"/>
        </w:rPr>
      </w:pPr>
      <w:r w:rsidRPr="00ED0D56">
        <w:rPr>
          <w:rFonts w:asciiTheme="majorBidi" w:hAnsiTheme="majorBidi" w:cstheme="majorBidi"/>
          <w:color w:val="FF0000"/>
        </w:rPr>
        <w:t>Figure A</w:t>
      </w:r>
      <w:r>
        <w:rPr>
          <w:rFonts w:asciiTheme="majorBidi" w:hAnsiTheme="majorBidi" w:cstheme="majorBidi"/>
        </w:rPr>
        <w:t xml:space="preserve">: </w:t>
      </w:r>
      <w:r w:rsidRPr="00ED0D56">
        <w:rPr>
          <w:rFonts w:asciiTheme="majorBidi" w:hAnsiTheme="majorBidi" w:cstheme="majorBidi"/>
        </w:rPr>
        <w:t xml:space="preserve">Geospatial distribution of NO₂, SO₂, and Aerosol concentrations in the UAE (2020–2022). Brighter </w:t>
      </w:r>
      <w:proofErr w:type="spellStart"/>
      <w:r w:rsidRPr="00ED0D56">
        <w:rPr>
          <w:rFonts w:asciiTheme="majorBidi" w:hAnsiTheme="majorBidi" w:cstheme="majorBidi"/>
        </w:rPr>
        <w:t>colors</w:t>
      </w:r>
      <w:proofErr w:type="spellEnd"/>
      <w:r w:rsidRPr="00ED0D56">
        <w:rPr>
          <w:rFonts w:asciiTheme="majorBidi" w:hAnsiTheme="majorBidi" w:cstheme="majorBidi"/>
        </w:rPr>
        <w:t xml:space="preserve"> indicate higher pollutant levels.</w:t>
      </w:r>
    </w:p>
    <w:p w14:paraId="2F3AEAA1" w14:textId="77777777" w:rsidR="009F0DCD" w:rsidRDefault="009F0DCD" w:rsidP="00ED0D56">
      <w:pPr>
        <w:rPr>
          <w:rFonts w:asciiTheme="majorBidi" w:hAnsiTheme="majorBidi" w:cstheme="majorBidi"/>
        </w:rPr>
      </w:pPr>
    </w:p>
    <w:p w14:paraId="64C53B45" w14:textId="04DDE8FC" w:rsidR="00E71792" w:rsidRPr="009F0DCD" w:rsidRDefault="009F0DCD" w:rsidP="009F0DCD">
      <w:pPr>
        <w:jc w:val="both"/>
        <w:rPr>
          <w:rFonts w:asciiTheme="majorBidi" w:hAnsiTheme="majorBidi" w:cstheme="majorBidi"/>
        </w:rPr>
      </w:pPr>
      <w:r w:rsidRPr="009F0DCD">
        <w:rPr>
          <w:rFonts w:asciiTheme="majorBidi" w:hAnsiTheme="majorBidi" w:cstheme="majorBidi"/>
        </w:rPr>
        <w:t xml:space="preserve">The highest pollution levels, especially for NO₂ and PM₁₀, were observed in Abu Dhabi and Dubai. These areas align with heavy traffic and industrial zones. However, SO₂ hotspots were found to be more scattered and did not closely follow urban mobility trends, suggesting they come from fixed sources like oil, gas, or power facilities. Also, </w:t>
      </w:r>
      <w:r>
        <w:rPr>
          <w:rFonts w:asciiTheme="majorBidi" w:hAnsiTheme="majorBidi" w:cstheme="majorBidi"/>
        </w:rPr>
        <w:t>r</w:t>
      </w:r>
      <w:r w:rsidRPr="009F0DCD">
        <w:rPr>
          <w:rFonts w:asciiTheme="majorBidi" w:hAnsiTheme="majorBidi" w:cstheme="majorBidi"/>
        </w:rPr>
        <w:t>emote and desert areas showed consistently low pollution, serving as a clear baseline for comparison. These spatial patterns were used as the basis for the zone-based clustering and forecasting discussed in later sections.</w:t>
      </w:r>
    </w:p>
    <w:p w14:paraId="4D884A6C" w14:textId="1572E084" w:rsidR="00376DFA" w:rsidRPr="00376DFA" w:rsidRDefault="00376DFA" w:rsidP="00791455">
      <w:pPr>
        <w:pStyle w:val="Heading3"/>
        <w:numPr>
          <w:ilvl w:val="2"/>
          <w:numId w:val="15"/>
        </w:numPr>
        <w:rPr>
          <w:rFonts w:asciiTheme="majorBidi" w:hAnsiTheme="majorBidi"/>
          <w:b/>
          <w:bCs/>
          <w:color w:val="auto"/>
          <w:sz w:val="26"/>
          <w:szCs w:val="26"/>
        </w:rPr>
      </w:pPr>
      <w:r w:rsidRPr="00376DFA">
        <w:rPr>
          <w:rFonts w:asciiTheme="majorBidi" w:hAnsiTheme="majorBidi"/>
          <w:b/>
          <w:bCs/>
          <w:color w:val="auto"/>
          <w:sz w:val="26"/>
          <w:szCs w:val="26"/>
        </w:rPr>
        <w:lastRenderedPageBreak/>
        <w:t>Correlation Between Mobility Scores and Pollutant Concentrations</w:t>
      </w:r>
    </w:p>
    <w:p w14:paraId="08660C41" w14:textId="23157603" w:rsidR="00E71792" w:rsidRDefault="00E71792" w:rsidP="00127A94">
      <w:p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E71792">
        <w:rPr>
          <w:rFonts w:ascii="Times New Roman" w:eastAsia="Times New Roman" w:hAnsi="Times New Roman" w:cs="Times New Roman"/>
          <w:kern w:val="0"/>
          <w:sz w:val="24"/>
          <w:szCs w:val="24"/>
          <w:lang w:eastAsia="en-AE"/>
          <w14:ligatures w14:val="none"/>
        </w:rPr>
        <w:t xml:space="preserve">To explore the relationship between urban activity and air quality, </w:t>
      </w:r>
      <w:r w:rsidR="00D64512" w:rsidRPr="00D64512">
        <w:rPr>
          <w:rFonts w:ascii="Times New Roman" w:eastAsia="Times New Roman" w:hAnsi="Times New Roman" w:cs="Times New Roman"/>
          <w:kern w:val="0"/>
          <w:sz w:val="24"/>
          <w:szCs w:val="24"/>
          <w:lang w:eastAsia="en-AE"/>
          <w14:ligatures w14:val="none"/>
        </w:rPr>
        <w:t>the correlation between mobility scores and NO₂ levels was analysed across geohash-based zones. It was expected that lower mobility</w:t>
      </w:r>
      <w:r w:rsidR="00D64512">
        <w:rPr>
          <w:rFonts w:ascii="Times New Roman" w:eastAsia="Times New Roman" w:hAnsi="Times New Roman" w:cs="Times New Roman"/>
          <w:kern w:val="0"/>
          <w:sz w:val="24"/>
          <w:szCs w:val="24"/>
          <w:lang w:eastAsia="en-AE"/>
          <w14:ligatures w14:val="none"/>
        </w:rPr>
        <w:t xml:space="preserve"> </w:t>
      </w:r>
      <w:r w:rsidR="00D64512" w:rsidRPr="00D64512">
        <w:rPr>
          <w:rFonts w:ascii="Times New Roman" w:eastAsia="Times New Roman" w:hAnsi="Times New Roman" w:cs="Times New Roman"/>
          <w:kern w:val="0"/>
          <w:sz w:val="24"/>
          <w:szCs w:val="24"/>
          <w:lang w:eastAsia="en-AE"/>
          <w14:ligatures w14:val="none"/>
        </w:rPr>
        <w:t>such as during lockdowns</w:t>
      </w:r>
      <w:r w:rsidR="00D64512">
        <w:rPr>
          <w:rFonts w:ascii="Times New Roman" w:eastAsia="Times New Roman" w:hAnsi="Times New Roman" w:cs="Times New Roman"/>
          <w:kern w:val="0"/>
          <w:sz w:val="24"/>
          <w:szCs w:val="24"/>
          <w:lang w:eastAsia="en-AE"/>
          <w14:ligatures w14:val="none"/>
        </w:rPr>
        <w:t xml:space="preserve"> </w:t>
      </w:r>
      <w:r w:rsidR="00D64512" w:rsidRPr="00D64512">
        <w:rPr>
          <w:rFonts w:ascii="Times New Roman" w:eastAsia="Times New Roman" w:hAnsi="Times New Roman" w:cs="Times New Roman"/>
          <w:kern w:val="0"/>
          <w:sz w:val="24"/>
          <w:szCs w:val="24"/>
          <w:lang w:eastAsia="en-AE"/>
          <w14:ligatures w14:val="none"/>
        </w:rPr>
        <w:t>would be linked to lower NO₂ pollution caused by traffic.</w:t>
      </w:r>
      <w:r w:rsidR="00D64512">
        <w:rPr>
          <w:rFonts w:ascii="Times New Roman" w:eastAsia="Times New Roman" w:hAnsi="Times New Roman" w:cs="Times New Roman"/>
          <w:kern w:val="0"/>
          <w:sz w:val="24"/>
          <w:szCs w:val="24"/>
          <w:lang w:eastAsia="en-AE"/>
          <w14:ligatures w14:val="none"/>
        </w:rPr>
        <w:t xml:space="preserve"> </w:t>
      </w:r>
      <w:r w:rsidR="00D64512" w:rsidRPr="00D64512">
        <w:rPr>
          <w:rFonts w:ascii="Times New Roman" w:eastAsia="Times New Roman" w:hAnsi="Times New Roman" w:cs="Times New Roman"/>
          <w:kern w:val="0"/>
          <w:sz w:val="24"/>
          <w:szCs w:val="24"/>
          <w:lang w:eastAsia="en-AE"/>
          <w14:ligatures w14:val="none"/>
        </w:rPr>
        <w:t>A summary of the data showed that NO₂ levels ranged from 7.3 µg/m³ to 76.8 µg/m³, while mobility scores ranged from –27.5% to +12.1%. According to the WHO, the safe limit for NO₂ is 40 µg/m³. Only three zones</w:t>
      </w:r>
      <w:r w:rsidR="00D64512">
        <w:rPr>
          <w:rFonts w:ascii="Times New Roman" w:eastAsia="Times New Roman" w:hAnsi="Times New Roman" w:cs="Times New Roman"/>
          <w:kern w:val="0"/>
          <w:sz w:val="24"/>
          <w:szCs w:val="24"/>
          <w:lang w:eastAsia="en-AE"/>
          <w14:ligatures w14:val="none"/>
        </w:rPr>
        <w:t xml:space="preserve"> which are ‘</w:t>
      </w:r>
      <w:proofErr w:type="spellStart"/>
      <w:r w:rsidR="00D64512" w:rsidRPr="00D64512">
        <w:rPr>
          <w:rFonts w:ascii="Times New Roman" w:eastAsia="Times New Roman" w:hAnsi="Times New Roman" w:cs="Times New Roman"/>
          <w:kern w:val="0"/>
          <w:sz w:val="24"/>
          <w:szCs w:val="24"/>
          <w:lang w:eastAsia="en-AE"/>
          <w14:ligatures w14:val="none"/>
        </w:rPr>
        <w:t>thqem</w:t>
      </w:r>
      <w:proofErr w:type="spellEnd"/>
      <w:r w:rsidR="00D64512">
        <w:rPr>
          <w:rFonts w:ascii="Times New Roman" w:eastAsia="Times New Roman" w:hAnsi="Times New Roman" w:cs="Times New Roman"/>
          <w:kern w:val="0"/>
          <w:sz w:val="24"/>
          <w:szCs w:val="24"/>
          <w:lang w:eastAsia="en-AE"/>
          <w14:ligatures w14:val="none"/>
        </w:rPr>
        <w:t>’</w:t>
      </w:r>
      <w:r w:rsidR="00D64512" w:rsidRPr="00D64512">
        <w:rPr>
          <w:rFonts w:ascii="Times New Roman" w:eastAsia="Times New Roman" w:hAnsi="Times New Roman" w:cs="Times New Roman"/>
          <w:kern w:val="0"/>
          <w:sz w:val="24"/>
          <w:szCs w:val="24"/>
          <w:lang w:eastAsia="en-AE"/>
          <w14:ligatures w14:val="none"/>
        </w:rPr>
        <w:t xml:space="preserve">, </w:t>
      </w:r>
      <w:r w:rsidR="00D64512">
        <w:rPr>
          <w:rFonts w:ascii="Times New Roman" w:eastAsia="Times New Roman" w:hAnsi="Times New Roman" w:cs="Times New Roman"/>
          <w:kern w:val="0"/>
          <w:sz w:val="24"/>
          <w:szCs w:val="24"/>
          <w:lang w:eastAsia="en-AE"/>
          <w14:ligatures w14:val="none"/>
        </w:rPr>
        <w:t>‘</w:t>
      </w:r>
      <w:r w:rsidR="00D64512" w:rsidRPr="00D64512">
        <w:rPr>
          <w:rFonts w:ascii="Times New Roman" w:eastAsia="Times New Roman" w:hAnsi="Times New Roman" w:cs="Times New Roman"/>
          <w:kern w:val="0"/>
          <w:sz w:val="24"/>
          <w:szCs w:val="24"/>
          <w:lang w:eastAsia="en-AE"/>
          <w14:ligatures w14:val="none"/>
        </w:rPr>
        <w:t>thqf4</w:t>
      </w:r>
      <w:r w:rsidR="00D64512">
        <w:rPr>
          <w:rFonts w:ascii="Times New Roman" w:eastAsia="Times New Roman" w:hAnsi="Times New Roman" w:cs="Times New Roman"/>
          <w:kern w:val="0"/>
          <w:sz w:val="24"/>
          <w:szCs w:val="24"/>
          <w:lang w:eastAsia="en-AE"/>
          <w14:ligatures w14:val="none"/>
        </w:rPr>
        <w:t>’</w:t>
      </w:r>
      <w:r w:rsidR="00D64512" w:rsidRPr="00D64512">
        <w:rPr>
          <w:rFonts w:ascii="Times New Roman" w:eastAsia="Times New Roman" w:hAnsi="Times New Roman" w:cs="Times New Roman"/>
          <w:kern w:val="0"/>
          <w:sz w:val="24"/>
          <w:szCs w:val="24"/>
          <w:lang w:eastAsia="en-AE"/>
          <w14:ligatures w14:val="none"/>
        </w:rPr>
        <w:t xml:space="preserve">, and </w:t>
      </w:r>
      <w:r w:rsidR="00D64512">
        <w:rPr>
          <w:rFonts w:ascii="Times New Roman" w:eastAsia="Times New Roman" w:hAnsi="Times New Roman" w:cs="Times New Roman"/>
          <w:kern w:val="0"/>
          <w:sz w:val="24"/>
          <w:szCs w:val="24"/>
          <w:lang w:eastAsia="en-AE"/>
          <w14:ligatures w14:val="none"/>
        </w:rPr>
        <w:t>‘</w:t>
      </w:r>
      <w:r w:rsidR="00D64512" w:rsidRPr="00D64512">
        <w:rPr>
          <w:rFonts w:ascii="Times New Roman" w:eastAsia="Times New Roman" w:hAnsi="Times New Roman" w:cs="Times New Roman"/>
          <w:kern w:val="0"/>
          <w:sz w:val="24"/>
          <w:szCs w:val="24"/>
          <w:lang w:eastAsia="en-AE"/>
          <w14:ligatures w14:val="none"/>
        </w:rPr>
        <w:t>thqf8</w:t>
      </w:r>
      <w:r w:rsidR="00D64512">
        <w:rPr>
          <w:rFonts w:ascii="Times New Roman" w:eastAsia="Times New Roman" w:hAnsi="Times New Roman" w:cs="Times New Roman"/>
          <w:kern w:val="0"/>
          <w:sz w:val="24"/>
          <w:szCs w:val="24"/>
          <w:lang w:eastAsia="en-AE"/>
          <w14:ligatures w14:val="none"/>
        </w:rPr>
        <w:t xml:space="preserve">’ </w:t>
      </w:r>
      <w:r w:rsidR="00D64512" w:rsidRPr="00D64512">
        <w:rPr>
          <w:rFonts w:ascii="Times New Roman" w:eastAsia="Times New Roman" w:hAnsi="Times New Roman" w:cs="Times New Roman"/>
          <w:kern w:val="0"/>
          <w:sz w:val="24"/>
          <w:szCs w:val="24"/>
          <w:lang w:eastAsia="en-AE"/>
          <w14:ligatures w14:val="none"/>
        </w:rPr>
        <w:t>went above this level.</w:t>
      </w:r>
      <w:r w:rsidR="00127A94">
        <w:rPr>
          <w:rFonts w:ascii="Times New Roman" w:eastAsia="Times New Roman" w:hAnsi="Times New Roman" w:cs="Times New Roman"/>
          <w:kern w:val="0"/>
          <w:sz w:val="24"/>
          <w:szCs w:val="24"/>
          <w:lang w:eastAsia="en-AE"/>
          <w14:ligatures w14:val="none"/>
        </w:rPr>
        <w:t xml:space="preserve"> </w:t>
      </w:r>
      <w:r w:rsidR="00D64512" w:rsidRPr="00D64512">
        <w:rPr>
          <w:rFonts w:ascii="Times New Roman" w:eastAsia="Times New Roman" w:hAnsi="Times New Roman" w:cs="Times New Roman"/>
          <w:kern w:val="0"/>
          <w:sz w:val="24"/>
          <w:szCs w:val="24"/>
          <w:lang w:eastAsia="en-AE"/>
          <w14:ligatures w14:val="none"/>
        </w:rPr>
        <w:t xml:space="preserve">The relationship is shown in Figure </w:t>
      </w:r>
      <w:r w:rsidR="00D64512" w:rsidRPr="00127A94">
        <w:rPr>
          <w:rFonts w:ascii="Times New Roman" w:eastAsia="Times New Roman" w:hAnsi="Times New Roman" w:cs="Times New Roman"/>
          <w:color w:val="FF0000"/>
          <w:kern w:val="0"/>
          <w:sz w:val="24"/>
          <w:szCs w:val="24"/>
          <w:lang w:eastAsia="en-AE"/>
          <w14:ligatures w14:val="none"/>
        </w:rPr>
        <w:t>X</w:t>
      </w:r>
      <w:r w:rsidR="00D64512" w:rsidRPr="00D64512">
        <w:rPr>
          <w:rFonts w:ascii="Times New Roman" w:eastAsia="Times New Roman" w:hAnsi="Times New Roman" w:cs="Times New Roman"/>
          <w:kern w:val="0"/>
          <w:sz w:val="24"/>
          <w:szCs w:val="24"/>
          <w:lang w:eastAsia="en-AE"/>
          <w14:ligatures w14:val="none"/>
        </w:rPr>
        <w:t>, where an overall inverse pattern can be seen: zones with lower mobility often had lower NO₂. This suggests that traffic emissions are a major source of NO₂ pollution in urban areas of the UAE.</w:t>
      </w:r>
    </w:p>
    <w:p w14:paraId="369131F4" w14:textId="77777777" w:rsidR="00C14340" w:rsidRDefault="005D695A" w:rsidP="00127A94">
      <w:pPr>
        <w:spacing w:after="0" w:line="240" w:lineRule="auto"/>
        <w:rPr>
          <w:rFonts w:ascii="Times New Roman" w:eastAsia="Times New Roman" w:hAnsi="Times New Roman" w:cs="Times New Roman"/>
          <w:color w:val="FF0000"/>
          <w:kern w:val="0"/>
          <w:sz w:val="24"/>
          <w:szCs w:val="24"/>
          <w:lang w:eastAsia="en-AE"/>
          <w14:ligatures w14:val="none"/>
        </w:rPr>
      </w:pPr>
      <w:r>
        <w:rPr>
          <w:rFonts w:ascii="Times New Roman" w:eastAsia="Times New Roman" w:hAnsi="Times New Roman" w:cs="Times New Roman"/>
          <w:noProof/>
          <w:kern w:val="0"/>
          <w:sz w:val="24"/>
          <w:szCs w:val="24"/>
          <w:lang w:eastAsia="en-AE"/>
        </w:rPr>
        <w:drawing>
          <wp:inline distT="0" distB="0" distL="0" distR="0" wp14:anchorId="70E709F2" wp14:editId="40D8BEEF">
            <wp:extent cx="4770120" cy="3168883"/>
            <wp:effectExtent l="0" t="0" r="0" b="0"/>
            <wp:docPr id="3333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075" name="Picture 333390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6035" cy="3172812"/>
                    </a:xfrm>
                    <a:prstGeom prst="rect">
                      <a:avLst/>
                    </a:prstGeom>
                  </pic:spPr>
                </pic:pic>
              </a:graphicData>
            </a:graphic>
          </wp:inline>
        </w:drawing>
      </w:r>
    </w:p>
    <w:p w14:paraId="514B576C" w14:textId="14FC8B6E" w:rsidR="00127A94" w:rsidRPr="00127A94" w:rsidRDefault="00E71792" w:rsidP="00127A94">
      <w:pPr>
        <w:spacing w:after="0" w:line="240" w:lineRule="auto"/>
        <w:rPr>
          <w:rFonts w:ascii="Times New Roman" w:eastAsia="Times New Roman" w:hAnsi="Times New Roman" w:cs="Times New Roman"/>
          <w:kern w:val="0"/>
          <w:lang w:eastAsia="en-AE"/>
          <w14:ligatures w14:val="none"/>
        </w:rPr>
      </w:pPr>
      <w:r w:rsidRPr="00127A94">
        <w:rPr>
          <w:rFonts w:ascii="Times New Roman" w:eastAsia="Times New Roman" w:hAnsi="Times New Roman" w:cs="Times New Roman"/>
          <w:color w:val="FF0000"/>
          <w:kern w:val="0"/>
          <w:lang w:eastAsia="en-AE"/>
          <w14:ligatures w14:val="none"/>
        </w:rPr>
        <w:t>Figure X</w:t>
      </w:r>
      <w:r w:rsidRPr="00127A94">
        <w:rPr>
          <w:rFonts w:ascii="Times New Roman" w:eastAsia="Times New Roman" w:hAnsi="Times New Roman" w:cs="Times New Roman"/>
          <w:kern w:val="0"/>
          <w:lang w:eastAsia="en-AE"/>
          <w14:ligatures w14:val="none"/>
        </w:rPr>
        <w:t>:</w:t>
      </w:r>
      <w:r w:rsidRPr="00127A94">
        <w:rPr>
          <w:rFonts w:ascii="Times New Roman" w:eastAsia="Times New Roman" w:hAnsi="Times New Roman" w:cs="Times New Roman"/>
          <w:b/>
          <w:bCs/>
          <w:kern w:val="0"/>
          <w:lang w:eastAsia="en-AE"/>
          <w14:ligatures w14:val="none"/>
        </w:rPr>
        <w:t xml:space="preserve"> </w:t>
      </w:r>
      <w:r w:rsidRPr="00127A94">
        <w:rPr>
          <w:rFonts w:ascii="Times New Roman" w:eastAsia="Times New Roman" w:hAnsi="Times New Roman" w:cs="Times New Roman"/>
          <w:kern w:val="0"/>
          <w:lang w:eastAsia="en-AE"/>
          <w14:ligatures w14:val="none"/>
        </w:rPr>
        <w:t>NO₂ concentrations plotted against mobility score across UAE urban zones. The red dashed line indicates the WHO recommended limit (40 µg/m³). Zone thqf4 appears as a significant outlier with high NO₂ despite positive mobility.</w:t>
      </w:r>
    </w:p>
    <w:p w14:paraId="414FB1C6" w14:textId="529A2B97" w:rsidR="00AF7A2E" w:rsidRDefault="00127A94" w:rsidP="00127A94">
      <w:pPr>
        <w:spacing w:before="100" w:beforeAutospacing="1" w:after="100" w:afterAutospacing="1" w:line="240" w:lineRule="auto"/>
        <w:jc w:val="both"/>
        <w:rPr>
          <w:rFonts w:asciiTheme="majorBidi" w:eastAsia="Times New Roman" w:hAnsiTheme="majorBidi" w:cstheme="majorBidi"/>
          <w:kern w:val="0"/>
          <w:sz w:val="24"/>
          <w:szCs w:val="24"/>
          <w:lang w:eastAsia="en-AE"/>
          <w14:ligatures w14:val="none"/>
        </w:rPr>
      </w:pPr>
      <w:r w:rsidRPr="00127A94">
        <w:rPr>
          <w:rFonts w:asciiTheme="majorBidi" w:eastAsia="Times New Roman" w:hAnsiTheme="majorBidi" w:cstheme="majorBidi"/>
          <w:kern w:val="0"/>
          <w:sz w:val="24"/>
          <w:szCs w:val="24"/>
          <w:lang w:eastAsia="en-AE"/>
          <w14:ligatures w14:val="none"/>
        </w:rPr>
        <w:t xml:space="preserve">However, an exception was observed in zone </w:t>
      </w:r>
      <w:r>
        <w:rPr>
          <w:rFonts w:asciiTheme="majorBidi" w:eastAsia="Times New Roman" w:hAnsiTheme="majorBidi" w:cstheme="majorBidi"/>
          <w:kern w:val="0"/>
          <w:sz w:val="24"/>
          <w:szCs w:val="24"/>
          <w:lang w:eastAsia="en-AE"/>
          <w14:ligatures w14:val="none"/>
        </w:rPr>
        <w:t>‘</w:t>
      </w:r>
      <w:r w:rsidRPr="00127A94">
        <w:rPr>
          <w:rFonts w:asciiTheme="majorBidi" w:eastAsia="Times New Roman" w:hAnsiTheme="majorBidi" w:cstheme="majorBidi"/>
          <w:kern w:val="0"/>
          <w:sz w:val="24"/>
          <w:szCs w:val="24"/>
          <w:lang w:eastAsia="en-AE"/>
          <w14:ligatures w14:val="none"/>
        </w:rPr>
        <w:t>thqf4</w:t>
      </w:r>
      <w:r>
        <w:rPr>
          <w:rFonts w:asciiTheme="majorBidi" w:eastAsia="Times New Roman" w:hAnsiTheme="majorBidi" w:cstheme="majorBidi"/>
          <w:kern w:val="0"/>
          <w:sz w:val="24"/>
          <w:szCs w:val="24"/>
          <w:lang w:eastAsia="en-AE"/>
          <w14:ligatures w14:val="none"/>
        </w:rPr>
        <w:t>’</w:t>
      </w:r>
      <w:r w:rsidRPr="00127A94">
        <w:rPr>
          <w:rFonts w:asciiTheme="majorBidi" w:eastAsia="Times New Roman" w:hAnsiTheme="majorBidi" w:cstheme="majorBidi"/>
          <w:kern w:val="0"/>
          <w:sz w:val="24"/>
          <w:szCs w:val="24"/>
          <w:lang w:eastAsia="en-AE"/>
          <w14:ligatures w14:val="none"/>
        </w:rPr>
        <w:t>, which recorded the highest NO₂ level (76.8 µg/m³) even though its mobility score was +12.1%. This unusual case suggests that non-traffic sources</w:t>
      </w:r>
      <w:r>
        <w:rPr>
          <w:rFonts w:asciiTheme="majorBidi" w:eastAsia="Times New Roman" w:hAnsiTheme="majorBidi" w:cstheme="majorBidi"/>
          <w:kern w:val="0"/>
          <w:sz w:val="24"/>
          <w:szCs w:val="24"/>
          <w:lang w:eastAsia="en-AE"/>
          <w14:ligatures w14:val="none"/>
        </w:rPr>
        <w:t xml:space="preserve"> </w:t>
      </w:r>
      <w:r w:rsidRPr="00127A94">
        <w:rPr>
          <w:rFonts w:asciiTheme="majorBidi" w:eastAsia="Times New Roman" w:hAnsiTheme="majorBidi" w:cstheme="majorBidi"/>
          <w:kern w:val="0"/>
          <w:sz w:val="24"/>
          <w:szCs w:val="24"/>
          <w:lang w:eastAsia="en-AE"/>
          <w14:ligatures w14:val="none"/>
        </w:rPr>
        <w:t>such as industrial activities or construction</w:t>
      </w:r>
      <w:r>
        <w:rPr>
          <w:rFonts w:asciiTheme="majorBidi" w:eastAsia="Times New Roman" w:hAnsiTheme="majorBidi" w:cstheme="majorBidi"/>
          <w:kern w:val="0"/>
          <w:sz w:val="24"/>
          <w:szCs w:val="24"/>
          <w:lang w:eastAsia="en-AE"/>
          <w14:ligatures w14:val="none"/>
        </w:rPr>
        <w:t xml:space="preserve"> </w:t>
      </w:r>
      <w:r w:rsidRPr="00127A94">
        <w:rPr>
          <w:rFonts w:asciiTheme="majorBidi" w:eastAsia="Times New Roman" w:hAnsiTheme="majorBidi" w:cstheme="majorBidi"/>
          <w:kern w:val="0"/>
          <w:sz w:val="24"/>
          <w:szCs w:val="24"/>
          <w:lang w:eastAsia="en-AE"/>
          <w14:ligatures w14:val="none"/>
        </w:rPr>
        <w:t>may be affecting air quality in that area. Identifying such outliers is important for designing targeted and effective environmental policies.</w:t>
      </w:r>
    </w:p>
    <w:p w14:paraId="44C6779C" w14:textId="3049AE34" w:rsidR="00127A94" w:rsidRPr="00127A94" w:rsidRDefault="00127A94" w:rsidP="00127A94">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127A94">
        <w:rPr>
          <w:rFonts w:ascii="Times New Roman" w:eastAsia="Times New Roman" w:hAnsi="Times New Roman" w:cs="Times New Roman"/>
          <w:kern w:val="0"/>
          <w:sz w:val="24"/>
          <w:szCs w:val="24"/>
          <w:lang w:eastAsia="en-AE"/>
          <w14:ligatures w14:val="none"/>
        </w:rPr>
        <w:t xml:space="preserve">In addition to pairwise scatterplots, a correlation heatmap was generated to summarize the statistical relationships among pollutant levels and mobility scores across the filtered geohash zones (Figure </w:t>
      </w:r>
      <w:r w:rsidRPr="00127A94">
        <w:rPr>
          <w:rFonts w:ascii="Times New Roman" w:eastAsia="Times New Roman" w:hAnsi="Times New Roman" w:cs="Times New Roman"/>
          <w:color w:val="FF0000"/>
          <w:kern w:val="0"/>
          <w:sz w:val="24"/>
          <w:szCs w:val="24"/>
          <w:lang w:eastAsia="en-AE"/>
          <w14:ligatures w14:val="none"/>
        </w:rPr>
        <w:t>G</w:t>
      </w:r>
      <w:r w:rsidRPr="00127A94">
        <w:rPr>
          <w:rFonts w:ascii="Times New Roman" w:eastAsia="Times New Roman" w:hAnsi="Times New Roman" w:cs="Times New Roman"/>
          <w:kern w:val="0"/>
          <w:sz w:val="24"/>
          <w:szCs w:val="24"/>
          <w:lang w:eastAsia="en-AE"/>
          <w14:ligatures w14:val="none"/>
        </w:rPr>
        <w:t>). The heatmap reveals several key patterns</w:t>
      </w:r>
      <w:r>
        <w:rPr>
          <w:rFonts w:ascii="Times New Roman" w:eastAsia="Times New Roman" w:hAnsi="Times New Roman" w:cs="Times New Roman"/>
          <w:kern w:val="0"/>
          <w:sz w:val="24"/>
          <w:szCs w:val="24"/>
          <w:lang w:eastAsia="en-AE"/>
          <w14:ligatures w14:val="none"/>
        </w:rPr>
        <w:t xml:space="preserve"> such as:</w:t>
      </w:r>
    </w:p>
    <w:p w14:paraId="0CE7681A" w14:textId="77777777" w:rsidR="00127A94" w:rsidRPr="003B3180" w:rsidRDefault="00127A94" w:rsidP="00127A94">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B3180">
        <w:rPr>
          <w:rFonts w:ascii="Times New Roman" w:eastAsia="Times New Roman" w:hAnsi="Times New Roman" w:cs="Times New Roman"/>
          <w:kern w:val="0"/>
          <w:sz w:val="24"/>
          <w:szCs w:val="24"/>
          <w:lang w:eastAsia="en-AE"/>
          <w14:ligatures w14:val="none"/>
        </w:rPr>
        <w:t>A moderate positive correlation (r = 0.52) is seen between NO₂ and PM₁₀, indicating that these pollutants may often co-occur in high-traffic or industrial zones.</w:t>
      </w:r>
    </w:p>
    <w:p w14:paraId="24916B6A" w14:textId="77777777" w:rsidR="00127A94" w:rsidRPr="003B3180" w:rsidRDefault="00127A94" w:rsidP="00127A94">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B3180">
        <w:rPr>
          <w:rFonts w:ascii="Times New Roman" w:eastAsia="Times New Roman" w:hAnsi="Times New Roman" w:cs="Times New Roman"/>
          <w:kern w:val="0"/>
          <w:sz w:val="24"/>
          <w:szCs w:val="24"/>
          <w:lang w:eastAsia="en-AE"/>
          <w14:ligatures w14:val="none"/>
        </w:rPr>
        <w:t>SO₂ shows a strong correlation (r = 0.84) with mobility scores, suggesting possible confounding factors such as industrial zones with both workforce mobility and stationary emissions.</w:t>
      </w:r>
    </w:p>
    <w:p w14:paraId="79D27D4C" w14:textId="77777777" w:rsidR="00127A94" w:rsidRPr="003B3180" w:rsidRDefault="00127A94" w:rsidP="00127A94">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B3180">
        <w:rPr>
          <w:rFonts w:ascii="Times New Roman" w:eastAsia="Times New Roman" w:hAnsi="Times New Roman" w:cs="Times New Roman"/>
          <w:kern w:val="0"/>
          <w:sz w:val="24"/>
          <w:szCs w:val="24"/>
          <w:lang w:eastAsia="en-AE"/>
          <w14:ligatures w14:val="none"/>
        </w:rPr>
        <w:lastRenderedPageBreak/>
        <w:t>PM₁₀, however, displays a weak or negative correlation with both SO₂ (r = –0.30) and mobility (r = –0.16), implying it may arise from different sources like dust or construction.</w:t>
      </w:r>
    </w:p>
    <w:p w14:paraId="191AAFC9" w14:textId="7C35AD1E" w:rsidR="00127A94" w:rsidRPr="003B3180" w:rsidRDefault="00127A94" w:rsidP="00127A94">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B3180">
        <w:rPr>
          <w:rFonts w:ascii="Times New Roman" w:eastAsia="Times New Roman" w:hAnsi="Times New Roman" w:cs="Times New Roman"/>
          <w:kern w:val="0"/>
          <w:sz w:val="24"/>
          <w:szCs w:val="24"/>
          <w:lang w:eastAsia="en-AE"/>
          <w14:ligatures w14:val="none"/>
        </w:rPr>
        <w:t xml:space="preserve">These correlation patterns help distinguish between pollutants driven by mobile sources like NO₂, and those linked to fixed-point emissions like SO₂, guiding future </w:t>
      </w:r>
      <w:proofErr w:type="spellStart"/>
      <w:r w:rsidRPr="003B3180">
        <w:rPr>
          <w:rFonts w:ascii="Times New Roman" w:eastAsia="Times New Roman" w:hAnsi="Times New Roman" w:cs="Times New Roman"/>
          <w:kern w:val="0"/>
          <w:sz w:val="24"/>
          <w:szCs w:val="24"/>
          <w:lang w:eastAsia="en-AE"/>
          <w14:ligatures w14:val="none"/>
        </w:rPr>
        <w:t>modeling</w:t>
      </w:r>
      <w:proofErr w:type="spellEnd"/>
      <w:r w:rsidRPr="003B3180">
        <w:rPr>
          <w:rFonts w:ascii="Times New Roman" w:eastAsia="Times New Roman" w:hAnsi="Times New Roman" w:cs="Times New Roman"/>
          <w:kern w:val="0"/>
          <w:sz w:val="24"/>
          <w:szCs w:val="24"/>
          <w:lang w:eastAsia="en-AE"/>
          <w14:ligatures w14:val="none"/>
        </w:rPr>
        <w:t xml:space="preserve"> and policy decisions.</w:t>
      </w:r>
    </w:p>
    <w:p w14:paraId="6B85EC5A" w14:textId="1D5223E6" w:rsidR="00AF7A2E" w:rsidRPr="00127A94" w:rsidRDefault="00AF7A2E" w:rsidP="00127A94">
      <w:pPr>
        <w:spacing w:before="100" w:beforeAutospacing="1" w:after="0" w:line="240" w:lineRule="auto"/>
        <w:jc w:val="center"/>
        <w:rPr>
          <w:rFonts w:ascii="Times New Roman" w:eastAsia="Times New Roman" w:hAnsi="Times New Roman" w:cs="Times New Roman"/>
          <w:kern w:val="0"/>
          <w:sz w:val="24"/>
          <w:szCs w:val="24"/>
          <w:lang w:eastAsia="en-AE"/>
          <w14:ligatures w14:val="none"/>
        </w:rPr>
      </w:pPr>
      <w:r w:rsidRPr="00127A94">
        <w:rPr>
          <w:rFonts w:ascii="Times New Roman" w:eastAsia="Times New Roman" w:hAnsi="Times New Roman" w:cs="Times New Roman"/>
          <w:noProof/>
          <w:kern w:val="0"/>
          <w:sz w:val="24"/>
          <w:szCs w:val="24"/>
          <w:lang w:eastAsia="en-AE"/>
        </w:rPr>
        <w:drawing>
          <wp:inline distT="0" distB="0" distL="0" distR="0" wp14:anchorId="7337E1A7" wp14:editId="5BF9A0AC">
            <wp:extent cx="4133194" cy="3522785"/>
            <wp:effectExtent l="0" t="0" r="1270" b="1905"/>
            <wp:docPr id="10945800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80097" name="Picture 1094580097"/>
                    <pic:cNvPicPr/>
                  </pic:nvPicPr>
                  <pic:blipFill>
                    <a:blip r:embed="rId10">
                      <a:extLst>
                        <a:ext uri="{28A0092B-C50C-407E-A947-70E740481C1C}">
                          <a14:useLocalDpi xmlns:a14="http://schemas.microsoft.com/office/drawing/2010/main" val="0"/>
                        </a:ext>
                      </a:extLst>
                    </a:blip>
                    <a:stretch>
                      <a:fillRect/>
                    </a:stretch>
                  </pic:blipFill>
                  <pic:spPr>
                    <a:xfrm>
                      <a:off x="0" y="0"/>
                      <a:ext cx="4145078" cy="3532914"/>
                    </a:xfrm>
                    <a:prstGeom prst="rect">
                      <a:avLst/>
                    </a:prstGeom>
                  </pic:spPr>
                </pic:pic>
              </a:graphicData>
            </a:graphic>
          </wp:inline>
        </w:drawing>
      </w:r>
    </w:p>
    <w:p w14:paraId="00D5CC03" w14:textId="289168AD" w:rsidR="00E71792" w:rsidRPr="00127A94" w:rsidRDefault="00127A94" w:rsidP="00127A94">
      <w:pPr>
        <w:spacing w:after="0"/>
        <w:rPr>
          <w:rFonts w:asciiTheme="majorBidi" w:hAnsiTheme="majorBidi" w:cstheme="majorBidi"/>
          <w:sz w:val="20"/>
          <w:szCs w:val="20"/>
        </w:rPr>
      </w:pPr>
      <w:r w:rsidRPr="00127A94">
        <w:rPr>
          <w:rFonts w:ascii="Times New Roman" w:eastAsia="Times New Roman" w:hAnsi="Times New Roman" w:cs="Times New Roman"/>
          <w:kern w:val="0"/>
          <w:lang w:eastAsia="en-AE"/>
          <w14:ligatures w14:val="none"/>
        </w:rPr>
        <w:t xml:space="preserve">Figure </w:t>
      </w:r>
      <w:r w:rsidRPr="00127A94">
        <w:rPr>
          <w:rFonts w:ascii="Times New Roman" w:eastAsia="Times New Roman" w:hAnsi="Times New Roman" w:cs="Times New Roman"/>
          <w:color w:val="FF0000"/>
          <w:kern w:val="0"/>
          <w:lang w:eastAsia="en-AE"/>
          <w14:ligatures w14:val="none"/>
        </w:rPr>
        <w:t>G</w:t>
      </w:r>
      <w:r w:rsidRPr="00127A94">
        <w:rPr>
          <w:rFonts w:ascii="Times New Roman" w:eastAsia="Times New Roman" w:hAnsi="Times New Roman" w:cs="Times New Roman"/>
          <w:kern w:val="0"/>
          <w:lang w:eastAsia="en-AE"/>
          <w14:ligatures w14:val="none"/>
        </w:rPr>
        <w:t>: Correlation heatmap showing relationships among NO₂, PM₁₀, SO₂ concentrations and mobility scores in overlapping geohash zones. Stronger correlations are shown in darker red or blue depending on direction.</w:t>
      </w:r>
    </w:p>
    <w:p w14:paraId="7C5C1A0F" w14:textId="77777777" w:rsidR="00127A94" w:rsidRDefault="00127A94" w:rsidP="00376DFA">
      <w:pPr>
        <w:rPr>
          <w:rFonts w:asciiTheme="majorBidi" w:hAnsiTheme="majorBidi" w:cstheme="majorBidi"/>
        </w:rPr>
      </w:pPr>
    </w:p>
    <w:p w14:paraId="3A1F415A" w14:textId="77777777" w:rsidR="00127A94" w:rsidRDefault="00127A94" w:rsidP="00376DFA">
      <w:pPr>
        <w:rPr>
          <w:rFonts w:asciiTheme="majorBidi" w:hAnsiTheme="majorBidi" w:cstheme="majorBidi"/>
        </w:rPr>
      </w:pPr>
    </w:p>
    <w:p w14:paraId="0D65C9D4" w14:textId="77777777" w:rsidR="00127A94" w:rsidRPr="00376DFA" w:rsidRDefault="00127A94" w:rsidP="00376DFA">
      <w:pPr>
        <w:rPr>
          <w:rFonts w:asciiTheme="majorBidi" w:hAnsiTheme="majorBidi" w:cstheme="majorBidi"/>
        </w:rPr>
      </w:pPr>
    </w:p>
    <w:p w14:paraId="7C0E419C" w14:textId="0E5209B9" w:rsidR="00376DFA" w:rsidRPr="00376DFA" w:rsidRDefault="00376DFA" w:rsidP="00791455">
      <w:pPr>
        <w:pStyle w:val="Heading3"/>
        <w:numPr>
          <w:ilvl w:val="2"/>
          <w:numId w:val="15"/>
        </w:numPr>
        <w:rPr>
          <w:rFonts w:asciiTheme="majorBidi" w:hAnsiTheme="majorBidi"/>
          <w:color w:val="auto"/>
          <w:sz w:val="26"/>
          <w:szCs w:val="26"/>
        </w:rPr>
      </w:pPr>
      <w:r w:rsidRPr="00376DFA">
        <w:rPr>
          <w:rFonts w:asciiTheme="majorBidi" w:hAnsiTheme="majorBidi"/>
          <w:color w:val="auto"/>
          <w:sz w:val="26"/>
          <w:szCs w:val="26"/>
        </w:rPr>
        <w:t>Critical Zones with Persistent Pollution</w:t>
      </w:r>
    </w:p>
    <w:p w14:paraId="6640E64A" w14:textId="6F4CDA38" w:rsidR="00C14340" w:rsidRDefault="00C8273C" w:rsidP="00C14340">
      <w:pPr>
        <w:jc w:val="both"/>
        <w:rPr>
          <w:rFonts w:asciiTheme="majorBidi" w:hAnsiTheme="majorBidi" w:cstheme="majorBidi"/>
        </w:rPr>
      </w:pPr>
      <w:r w:rsidRPr="00C8273C">
        <w:rPr>
          <w:rFonts w:asciiTheme="majorBidi" w:hAnsiTheme="majorBidi" w:cstheme="majorBidi"/>
        </w:rPr>
        <w:t>While a general inverse relationship between mobility and NO₂ concentrations was observed across urban zones in the UAE, several zones did not follow this trend, suggesting the presence of additional pollution sources unrelated to human movement. Most zones aligned with the expected pattern</w:t>
      </w:r>
      <w:r>
        <w:rPr>
          <w:rFonts w:asciiTheme="majorBidi" w:hAnsiTheme="majorBidi" w:cstheme="majorBidi"/>
        </w:rPr>
        <w:t xml:space="preserve"> meaning </w:t>
      </w:r>
      <w:r w:rsidRPr="00C8273C">
        <w:rPr>
          <w:rFonts w:asciiTheme="majorBidi" w:hAnsiTheme="majorBidi" w:cstheme="majorBidi"/>
        </w:rPr>
        <w:t xml:space="preserve">lower mobility was associated with reduced NO₂ levels. However, three geohash zones exceeded the WHO safety threshold for NO₂ (40 µg/m³), as listed in </w:t>
      </w:r>
      <w:r w:rsidRPr="00C8273C">
        <w:rPr>
          <w:rFonts w:asciiTheme="majorBidi" w:hAnsiTheme="majorBidi" w:cstheme="majorBidi"/>
          <w:b/>
          <w:bCs/>
          <w:color w:val="FF0000"/>
        </w:rPr>
        <w:t>Table B</w:t>
      </w:r>
      <w:r w:rsidRPr="00C8273C">
        <w:rPr>
          <w:rFonts w:asciiTheme="majorBidi" w:hAnsiTheme="majorBidi" w:cstheme="majorBidi"/>
        </w:rPr>
        <w:t xml:space="preserve">. Notably, zone </w:t>
      </w:r>
      <w:r>
        <w:rPr>
          <w:rFonts w:asciiTheme="majorBidi" w:hAnsiTheme="majorBidi" w:cstheme="majorBidi"/>
        </w:rPr>
        <w:t>‘</w:t>
      </w:r>
      <w:r w:rsidRPr="00C8273C">
        <w:rPr>
          <w:rFonts w:asciiTheme="majorBidi" w:hAnsiTheme="majorBidi" w:cstheme="majorBidi"/>
        </w:rPr>
        <w:t>thqf4</w:t>
      </w:r>
      <w:r>
        <w:rPr>
          <w:rFonts w:asciiTheme="majorBidi" w:hAnsiTheme="majorBidi" w:cstheme="majorBidi"/>
        </w:rPr>
        <w:t>'</w:t>
      </w:r>
      <w:r w:rsidRPr="00C8273C">
        <w:rPr>
          <w:rFonts w:asciiTheme="majorBidi" w:hAnsiTheme="majorBidi" w:cstheme="majorBidi"/>
        </w:rPr>
        <w:t xml:space="preserve"> recorded the highest NO₂ concentration (76.8 µg/m³) despite a positive mobility score (+12.1%), identifying it as a key environmental outlier.</w:t>
      </w:r>
    </w:p>
    <w:p w14:paraId="5103256D" w14:textId="77777777" w:rsidR="00C14340" w:rsidRDefault="00C14340" w:rsidP="00C14340">
      <w:pPr>
        <w:jc w:val="both"/>
        <w:rPr>
          <w:rFonts w:asciiTheme="majorBidi" w:hAnsiTheme="majorBidi" w:cstheme="majorBidi"/>
        </w:rPr>
      </w:pPr>
    </w:p>
    <w:p w14:paraId="17018185" w14:textId="77777777" w:rsidR="00514217" w:rsidRDefault="00514217" w:rsidP="00C14340">
      <w:pPr>
        <w:jc w:val="both"/>
        <w:rPr>
          <w:rFonts w:asciiTheme="majorBidi" w:hAnsiTheme="majorBidi" w:cstheme="majorBidi"/>
        </w:rPr>
      </w:pPr>
    </w:p>
    <w:p w14:paraId="3AE69171" w14:textId="77777777" w:rsidR="00514217" w:rsidRDefault="00514217" w:rsidP="00C14340">
      <w:pPr>
        <w:jc w:val="both"/>
        <w:rPr>
          <w:rFonts w:asciiTheme="majorBidi" w:hAnsiTheme="majorBidi" w:cstheme="majorBidi"/>
        </w:rPr>
      </w:pPr>
    </w:p>
    <w:p w14:paraId="0818D9C1" w14:textId="77777777" w:rsidR="00514217" w:rsidRPr="00466B57" w:rsidRDefault="00514217" w:rsidP="00C14340">
      <w:pPr>
        <w:jc w:val="both"/>
        <w:rPr>
          <w:rFonts w:asciiTheme="majorBidi" w:hAnsiTheme="majorBidi" w:cstheme="majorBidi"/>
        </w:rPr>
      </w:pPr>
    </w:p>
    <w:p w14:paraId="5B8FAAE4" w14:textId="1018AE35" w:rsidR="00220F49" w:rsidRDefault="00220F49" w:rsidP="00220F49">
      <w:pPr>
        <w:rPr>
          <w:rFonts w:asciiTheme="majorBidi" w:hAnsiTheme="majorBidi" w:cstheme="majorBidi"/>
        </w:rPr>
      </w:pPr>
      <w:r w:rsidRPr="00466B57">
        <w:rPr>
          <w:rFonts w:asciiTheme="majorBidi" w:hAnsiTheme="majorBidi" w:cstheme="majorBidi"/>
          <w:b/>
          <w:bCs/>
          <w:color w:val="FF0000"/>
        </w:rPr>
        <w:lastRenderedPageBreak/>
        <w:t xml:space="preserve">Table </w:t>
      </w:r>
      <w:r w:rsidR="00466B57" w:rsidRPr="00466B57">
        <w:rPr>
          <w:rFonts w:asciiTheme="majorBidi" w:hAnsiTheme="majorBidi" w:cstheme="majorBidi"/>
          <w:b/>
          <w:bCs/>
          <w:color w:val="FF0000"/>
        </w:rPr>
        <w:t>B</w:t>
      </w:r>
      <w:r w:rsidRPr="00466B57">
        <w:rPr>
          <w:rFonts w:asciiTheme="majorBidi" w:hAnsiTheme="majorBidi" w:cstheme="majorBidi"/>
          <w:b/>
          <w:bCs/>
          <w:color w:val="FF0000"/>
        </w:rPr>
        <w:t>.</w:t>
      </w:r>
      <w:r w:rsidRPr="00466B57">
        <w:rPr>
          <w:rFonts w:asciiTheme="majorBidi" w:hAnsiTheme="majorBidi" w:cstheme="majorBidi"/>
          <w:color w:val="FF0000"/>
        </w:rPr>
        <w:t xml:space="preserve"> </w:t>
      </w:r>
      <w:r w:rsidRPr="00220F49">
        <w:rPr>
          <w:rFonts w:asciiTheme="majorBidi" w:hAnsiTheme="majorBidi" w:cstheme="majorBidi"/>
        </w:rPr>
        <w:t>Urban zones exceeding the WHO NO₂ limit (40 µg/m³) with corresponding mobility scores.</w:t>
      </w:r>
    </w:p>
    <w:tbl>
      <w:tblPr>
        <w:tblStyle w:val="PlainTable1"/>
        <w:tblW w:w="8584" w:type="dxa"/>
        <w:tblLook w:val="04A0" w:firstRow="1" w:lastRow="0" w:firstColumn="1" w:lastColumn="0" w:noHBand="0" w:noVBand="1"/>
      </w:tblPr>
      <w:tblGrid>
        <w:gridCol w:w="1733"/>
        <w:gridCol w:w="2276"/>
        <w:gridCol w:w="4575"/>
      </w:tblGrid>
      <w:tr w:rsidR="00220F49" w:rsidRPr="00220F49" w14:paraId="783ADBB0" w14:textId="77777777" w:rsidTr="00220F4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1DBF7FB1"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t>Geohash</w:t>
            </w:r>
          </w:p>
        </w:tc>
        <w:tc>
          <w:tcPr>
            <w:tcW w:w="0" w:type="auto"/>
            <w:hideMark/>
          </w:tcPr>
          <w:p w14:paraId="56927042" w14:textId="77777777" w:rsidR="00220F49" w:rsidRPr="00220F49" w:rsidRDefault="00220F49" w:rsidP="00220F4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NO₂ (µg/m³)</w:t>
            </w:r>
          </w:p>
        </w:tc>
        <w:tc>
          <w:tcPr>
            <w:tcW w:w="0" w:type="auto"/>
            <w:hideMark/>
          </w:tcPr>
          <w:p w14:paraId="4AE96E57" w14:textId="77777777" w:rsidR="00220F49" w:rsidRPr="00220F49" w:rsidRDefault="00220F49" w:rsidP="00220F4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Mobility Score (% change)</w:t>
            </w:r>
          </w:p>
        </w:tc>
      </w:tr>
      <w:tr w:rsidR="00220F49" w:rsidRPr="00220F49" w14:paraId="53F5EFD6" w14:textId="77777777" w:rsidTr="00220F4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050AF836" w14:textId="77777777" w:rsidR="00220F49" w:rsidRPr="00220F49" w:rsidRDefault="00220F49" w:rsidP="00220F49">
            <w:pPr>
              <w:spacing w:after="160" w:line="259" w:lineRule="auto"/>
              <w:jc w:val="center"/>
              <w:rPr>
                <w:rFonts w:asciiTheme="majorBidi" w:hAnsiTheme="majorBidi" w:cstheme="majorBidi"/>
              </w:rPr>
            </w:pPr>
            <w:proofErr w:type="spellStart"/>
            <w:r w:rsidRPr="00220F49">
              <w:rPr>
                <w:rFonts w:asciiTheme="majorBidi" w:hAnsiTheme="majorBidi" w:cstheme="majorBidi"/>
              </w:rPr>
              <w:t>thqem</w:t>
            </w:r>
            <w:proofErr w:type="spellEnd"/>
          </w:p>
        </w:tc>
        <w:tc>
          <w:tcPr>
            <w:tcW w:w="0" w:type="auto"/>
            <w:hideMark/>
          </w:tcPr>
          <w:p w14:paraId="10E0DA1B"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40.40</w:t>
            </w:r>
          </w:p>
        </w:tc>
        <w:tc>
          <w:tcPr>
            <w:tcW w:w="0" w:type="auto"/>
            <w:hideMark/>
          </w:tcPr>
          <w:p w14:paraId="1D1BF0EA"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–18.93</w:t>
            </w:r>
          </w:p>
        </w:tc>
      </w:tr>
      <w:tr w:rsidR="00220F49" w:rsidRPr="00220F49" w14:paraId="740AA334" w14:textId="77777777" w:rsidTr="00220F49">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1CFED2BD"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t>thqf4</w:t>
            </w:r>
          </w:p>
        </w:tc>
        <w:tc>
          <w:tcPr>
            <w:tcW w:w="0" w:type="auto"/>
            <w:hideMark/>
          </w:tcPr>
          <w:p w14:paraId="76E76902" w14:textId="77777777" w:rsidR="00220F49" w:rsidRPr="00220F49" w:rsidRDefault="00220F49" w:rsidP="00220F4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76.80</w:t>
            </w:r>
          </w:p>
        </w:tc>
        <w:tc>
          <w:tcPr>
            <w:tcW w:w="0" w:type="auto"/>
            <w:hideMark/>
          </w:tcPr>
          <w:p w14:paraId="26B47574" w14:textId="77777777" w:rsidR="00220F49" w:rsidRPr="00220F49" w:rsidRDefault="00220F49" w:rsidP="00220F4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+12.10</w:t>
            </w:r>
          </w:p>
        </w:tc>
      </w:tr>
      <w:tr w:rsidR="00220F49" w:rsidRPr="00220F49" w14:paraId="486D0176" w14:textId="77777777" w:rsidTr="00220F4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5723E758"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t>thqf8</w:t>
            </w:r>
          </w:p>
        </w:tc>
        <w:tc>
          <w:tcPr>
            <w:tcW w:w="0" w:type="auto"/>
            <w:hideMark/>
          </w:tcPr>
          <w:p w14:paraId="176EF2B6"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45.15</w:t>
            </w:r>
          </w:p>
        </w:tc>
        <w:tc>
          <w:tcPr>
            <w:tcW w:w="0" w:type="auto"/>
            <w:hideMark/>
          </w:tcPr>
          <w:p w14:paraId="1661FE7F"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–27.53</w:t>
            </w:r>
          </w:p>
        </w:tc>
      </w:tr>
    </w:tbl>
    <w:p w14:paraId="123DDB4E" w14:textId="77777777" w:rsidR="00220F49" w:rsidRDefault="00220F49" w:rsidP="00220F49">
      <w:pPr>
        <w:rPr>
          <w:rFonts w:asciiTheme="majorBidi" w:hAnsiTheme="majorBidi" w:cstheme="majorBidi"/>
        </w:rPr>
      </w:pPr>
    </w:p>
    <w:p w14:paraId="7FF2EE77" w14:textId="0A7DCF9C" w:rsidR="00C8273C" w:rsidRPr="00C8273C" w:rsidRDefault="00C8273C" w:rsidP="00C8273C">
      <w:pPr>
        <w:jc w:val="both"/>
        <w:rPr>
          <w:rFonts w:asciiTheme="majorBidi" w:hAnsiTheme="majorBidi" w:cstheme="majorBidi"/>
          <w:sz w:val="24"/>
          <w:szCs w:val="24"/>
        </w:rPr>
      </w:pPr>
      <w:r w:rsidRPr="00C8273C">
        <w:rPr>
          <w:rFonts w:asciiTheme="majorBidi" w:hAnsiTheme="majorBidi" w:cstheme="majorBidi"/>
          <w:sz w:val="24"/>
          <w:szCs w:val="24"/>
        </w:rPr>
        <w:t>This anomaly was visualized in the NO₂ vs. mobility scatterplot (Figure</w:t>
      </w:r>
      <w:r w:rsidRPr="00C8273C">
        <w:rPr>
          <w:rFonts w:asciiTheme="majorBidi" w:hAnsiTheme="majorBidi" w:cstheme="majorBidi"/>
          <w:color w:val="FF0000"/>
          <w:sz w:val="24"/>
          <w:szCs w:val="24"/>
        </w:rPr>
        <w:t xml:space="preserve"> X </w:t>
      </w:r>
      <w:r w:rsidRPr="00C8273C">
        <w:rPr>
          <w:rFonts w:asciiTheme="majorBidi" w:hAnsiTheme="majorBidi" w:cstheme="majorBidi"/>
          <w:sz w:val="24"/>
          <w:szCs w:val="24"/>
        </w:rPr>
        <w:t>in Section 4.1.3), where zone ‘thqf4’ appears as a clear outlier positioned above the WHO-recommended threshold line. While most zones demonstrated a decrease in NO₂ levels alongside reduced mobility, ‘thqf4’ deviated from this pattern. This suggests that its elevated pollution levels are likely driven by stationary emission sources such as industrial facilities, large-scale construction sites, and power generation infrastructure.</w:t>
      </w:r>
    </w:p>
    <w:p w14:paraId="6A1CB62C" w14:textId="665B407D" w:rsidR="00C8273C" w:rsidRPr="00C8273C" w:rsidRDefault="00C8273C" w:rsidP="00C8273C">
      <w:pPr>
        <w:jc w:val="both"/>
        <w:rPr>
          <w:rFonts w:asciiTheme="majorBidi" w:hAnsiTheme="majorBidi" w:cstheme="majorBidi"/>
          <w:sz w:val="24"/>
          <w:szCs w:val="24"/>
        </w:rPr>
      </w:pPr>
      <w:r w:rsidRPr="00C8273C">
        <w:rPr>
          <w:rFonts w:asciiTheme="majorBidi" w:hAnsiTheme="majorBidi" w:cstheme="majorBidi"/>
          <w:sz w:val="24"/>
          <w:szCs w:val="24"/>
        </w:rPr>
        <w:t>These findings highlight the importance of considering land use and infrastructure zoning when interpreting mobility, pollution correlations and designing environmental intervention strategies. To pinpoint the most affected areas:</w:t>
      </w:r>
    </w:p>
    <w:p w14:paraId="6A85AC85" w14:textId="77777777" w:rsidR="00C8273C" w:rsidRPr="00C8273C" w:rsidRDefault="00C8273C" w:rsidP="00C8273C">
      <w:pPr>
        <w:numPr>
          <w:ilvl w:val="0"/>
          <w:numId w:val="43"/>
        </w:numPr>
        <w:jc w:val="both"/>
        <w:rPr>
          <w:rFonts w:asciiTheme="majorBidi" w:hAnsiTheme="majorBidi" w:cstheme="majorBidi"/>
          <w:sz w:val="24"/>
          <w:szCs w:val="24"/>
        </w:rPr>
      </w:pPr>
      <w:r w:rsidRPr="00C8273C">
        <w:rPr>
          <w:rFonts w:asciiTheme="majorBidi" w:hAnsiTheme="majorBidi" w:cstheme="majorBidi"/>
          <w:sz w:val="24"/>
          <w:szCs w:val="24"/>
        </w:rPr>
        <w:t>Zones with NO₂ levels above 40 µg/m³ were extracted using:</w:t>
      </w:r>
      <w:r w:rsidRPr="00C8273C">
        <w:rPr>
          <w:rFonts w:asciiTheme="majorBidi" w:hAnsiTheme="majorBidi" w:cstheme="majorBidi"/>
          <w:sz w:val="24"/>
          <w:szCs w:val="24"/>
        </w:rPr>
        <w:br/>
        <w:t xml:space="preserve">high_no2 = </w:t>
      </w:r>
      <w:proofErr w:type="spellStart"/>
      <w:r w:rsidRPr="00C8273C">
        <w:rPr>
          <w:rFonts w:asciiTheme="majorBidi" w:hAnsiTheme="majorBidi" w:cstheme="majorBidi"/>
          <w:sz w:val="24"/>
          <w:szCs w:val="24"/>
        </w:rPr>
        <w:t>joined_table.where</w:t>
      </w:r>
      <w:proofErr w:type="spellEnd"/>
      <w:r w:rsidRPr="00C8273C">
        <w:rPr>
          <w:rFonts w:asciiTheme="majorBidi" w:hAnsiTheme="majorBidi" w:cstheme="majorBidi"/>
          <w:sz w:val="24"/>
          <w:szCs w:val="24"/>
        </w:rPr>
        <w:t xml:space="preserve">('no2', </w:t>
      </w:r>
      <w:proofErr w:type="spellStart"/>
      <w:r w:rsidRPr="00C8273C">
        <w:rPr>
          <w:rFonts w:asciiTheme="majorBidi" w:hAnsiTheme="majorBidi" w:cstheme="majorBidi"/>
          <w:sz w:val="24"/>
          <w:szCs w:val="24"/>
        </w:rPr>
        <w:t>are.above</w:t>
      </w:r>
      <w:proofErr w:type="spellEnd"/>
      <w:r w:rsidRPr="00C8273C">
        <w:rPr>
          <w:rFonts w:asciiTheme="majorBidi" w:hAnsiTheme="majorBidi" w:cstheme="majorBidi"/>
          <w:sz w:val="24"/>
          <w:szCs w:val="24"/>
        </w:rPr>
        <w:t>(40))</w:t>
      </w:r>
    </w:p>
    <w:p w14:paraId="253851CB" w14:textId="77777777" w:rsidR="00C8273C" w:rsidRPr="00C8273C" w:rsidRDefault="00C8273C" w:rsidP="00C8273C">
      <w:pPr>
        <w:numPr>
          <w:ilvl w:val="0"/>
          <w:numId w:val="43"/>
        </w:numPr>
        <w:jc w:val="both"/>
        <w:rPr>
          <w:rFonts w:asciiTheme="majorBidi" w:hAnsiTheme="majorBidi" w:cstheme="majorBidi"/>
          <w:sz w:val="24"/>
          <w:szCs w:val="24"/>
        </w:rPr>
      </w:pPr>
      <w:r w:rsidRPr="00C8273C">
        <w:rPr>
          <w:rFonts w:asciiTheme="majorBidi" w:hAnsiTheme="majorBidi" w:cstheme="majorBidi"/>
          <w:sz w:val="24"/>
          <w:szCs w:val="24"/>
        </w:rPr>
        <w:t xml:space="preserve">Among the seven merged geohash zones, three (thqf4, </w:t>
      </w:r>
      <w:proofErr w:type="spellStart"/>
      <w:r w:rsidRPr="00C8273C">
        <w:rPr>
          <w:rFonts w:asciiTheme="majorBidi" w:hAnsiTheme="majorBidi" w:cstheme="majorBidi"/>
          <w:sz w:val="24"/>
          <w:szCs w:val="24"/>
        </w:rPr>
        <w:t>thqem</w:t>
      </w:r>
      <w:proofErr w:type="spellEnd"/>
      <w:r w:rsidRPr="00C8273C">
        <w:rPr>
          <w:rFonts w:asciiTheme="majorBidi" w:hAnsiTheme="majorBidi" w:cstheme="majorBidi"/>
          <w:sz w:val="24"/>
          <w:szCs w:val="24"/>
        </w:rPr>
        <w:t>, and thqf8) exceeded the WHO threshold.</w:t>
      </w:r>
    </w:p>
    <w:p w14:paraId="7CA6ACAA" w14:textId="77777777" w:rsidR="00C8273C" w:rsidRPr="00C8273C" w:rsidRDefault="00C8273C" w:rsidP="00C8273C">
      <w:pPr>
        <w:numPr>
          <w:ilvl w:val="0"/>
          <w:numId w:val="43"/>
        </w:numPr>
        <w:jc w:val="both"/>
        <w:rPr>
          <w:rFonts w:asciiTheme="majorBidi" w:hAnsiTheme="majorBidi" w:cstheme="majorBidi"/>
          <w:sz w:val="24"/>
          <w:szCs w:val="24"/>
        </w:rPr>
      </w:pPr>
      <w:r w:rsidRPr="00C8273C">
        <w:rPr>
          <w:rFonts w:asciiTheme="majorBidi" w:hAnsiTheme="majorBidi" w:cstheme="majorBidi"/>
          <w:sz w:val="24"/>
          <w:szCs w:val="24"/>
        </w:rPr>
        <w:t>Of these, only thqf4 had both elevated mobility and extreme NO₂ levels, marking it as the most critical environmental hotspot in the historical dataset.</w:t>
      </w:r>
    </w:p>
    <w:p w14:paraId="49F7F602" w14:textId="7C86E48E" w:rsidR="00376DFA" w:rsidRPr="00376DFA" w:rsidRDefault="00376DFA" w:rsidP="00010520">
      <w:pPr>
        <w:jc w:val="both"/>
        <w:rPr>
          <w:rFonts w:asciiTheme="majorBidi" w:hAnsiTheme="majorBidi" w:cstheme="majorBidi"/>
        </w:rPr>
      </w:pPr>
    </w:p>
    <w:p w14:paraId="48A5852A" w14:textId="0AA4344D" w:rsidR="00376DFA" w:rsidRPr="00376DFA" w:rsidRDefault="00376DFA" w:rsidP="00010520">
      <w:pPr>
        <w:pStyle w:val="Heading3"/>
        <w:numPr>
          <w:ilvl w:val="2"/>
          <w:numId w:val="15"/>
        </w:numPr>
        <w:jc w:val="both"/>
        <w:rPr>
          <w:rFonts w:asciiTheme="majorBidi" w:hAnsiTheme="majorBidi"/>
          <w:color w:val="auto"/>
          <w:sz w:val="26"/>
          <w:szCs w:val="26"/>
        </w:rPr>
      </w:pPr>
      <w:r w:rsidRPr="00376DFA">
        <w:rPr>
          <w:rFonts w:asciiTheme="majorBidi" w:hAnsiTheme="majorBidi"/>
          <w:color w:val="auto"/>
          <w:sz w:val="26"/>
          <w:szCs w:val="26"/>
        </w:rPr>
        <w:t>Discussion on Non-Mobility-Related Pollution Sources</w:t>
      </w:r>
    </w:p>
    <w:p w14:paraId="7F938381" w14:textId="5D4EF54F" w:rsidR="00C8273C" w:rsidRPr="00C8273C" w:rsidRDefault="00C8273C" w:rsidP="00C8273C">
      <w:pPr>
        <w:jc w:val="both"/>
        <w:rPr>
          <w:rFonts w:asciiTheme="majorBidi" w:hAnsiTheme="majorBidi" w:cstheme="majorBidi"/>
        </w:rPr>
      </w:pPr>
      <w:r w:rsidRPr="00C8273C">
        <w:rPr>
          <w:rFonts w:asciiTheme="majorBidi" w:hAnsiTheme="majorBidi" w:cstheme="majorBidi"/>
        </w:rPr>
        <w:t>While NO₂ levels showed a moderate inverse correlation with mobility scores</w:t>
      </w:r>
      <w:r>
        <w:rPr>
          <w:rFonts w:asciiTheme="majorBidi" w:hAnsiTheme="majorBidi" w:cstheme="majorBidi"/>
        </w:rPr>
        <w:t xml:space="preserve"> which is </w:t>
      </w:r>
      <w:r w:rsidRPr="00C8273C">
        <w:rPr>
          <w:rFonts w:asciiTheme="majorBidi" w:hAnsiTheme="majorBidi" w:cstheme="majorBidi"/>
        </w:rPr>
        <w:t>indicating a link to traffic-related emissions</w:t>
      </w:r>
      <w:r>
        <w:rPr>
          <w:rFonts w:asciiTheme="majorBidi" w:hAnsiTheme="majorBidi" w:cstheme="majorBidi"/>
        </w:rPr>
        <w:t xml:space="preserve">, </w:t>
      </w:r>
      <w:r w:rsidRPr="00C8273C">
        <w:rPr>
          <w:rFonts w:asciiTheme="majorBidi" w:hAnsiTheme="majorBidi" w:cstheme="majorBidi"/>
        </w:rPr>
        <w:t>SO₂ displayed no significant correlation, either spatially or statistically. This lack of association suggests that SO₂ pollution is driven by sources unrelated to human movement. Likely contributors include</w:t>
      </w:r>
      <w:r>
        <w:rPr>
          <w:rFonts w:asciiTheme="majorBidi" w:hAnsiTheme="majorBidi" w:cstheme="majorBidi"/>
        </w:rPr>
        <w:t xml:space="preserve"> o</w:t>
      </w:r>
      <w:r w:rsidRPr="00C8273C">
        <w:rPr>
          <w:rFonts w:asciiTheme="majorBidi" w:hAnsiTheme="majorBidi" w:cstheme="majorBidi"/>
        </w:rPr>
        <w:t>il refineries and natural gas facilities</w:t>
      </w:r>
      <w:r>
        <w:rPr>
          <w:rFonts w:asciiTheme="majorBidi" w:hAnsiTheme="majorBidi" w:cstheme="majorBidi"/>
        </w:rPr>
        <w:t>, i</w:t>
      </w:r>
      <w:r w:rsidRPr="00C8273C">
        <w:rPr>
          <w:rFonts w:asciiTheme="majorBidi" w:hAnsiTheme="majorBidi" w:cstheme="majorBidi"/>
        </w:rPr>
        <w:t>ndustrial manufacturing zones</w:t>
      </w:r>
      <w:r>
        <w:rPr>
          <w:rFonts w:asciiTheme="majorBidi" w:hAnsiTheme="majorBidi" w:cstheme="majorBidi"/>
        </w:rPr>
        <w:t>, s</w:t>
      </w:r>
      <w:r w:rsidRPr="00C8273C">
        <w:rPr>
          <w:rFonts w:asciiTheme="majorBidi" w:hAnsiTheme="majorBidi" w:cstheme="majorBidi"/>
        </w:rPr>
        <w:t>hipping ports and logistics hubs</w:t>
      </w:r>
      <w:r>
        <w:rPr>
          <w:rFonts w:asciiTheme="majorBidi" w:hAnsiTheme="majorBidi" w:cstheme="majorBidi"/>
        </w:rPr>
        <w:t>, and c</w:t>
      </w:r>
      <w:r w:rsidRPr="00C8273C">
        <w:rPr>
          <w:rFonts w:asciiTheme="majorBidi" w:hAnsiTheme="majorBidi" w:cstheme="majorBidi"/>
        </w:rPr>
        <w:t>ement production and large-scale construction sites</w:t>
      </w:r>
      <w:r>
        <w:rPr>
          <w:rFonts w:asciiTheme="majorBidi" w:hAnsiTheme="majorBidi" w:cstheme="majorBidi"/>
        </w:rPr>
        <w:t>.</w:t>
      </w:r>
    </w:p>
    <w:p w14:paraId="5928E6BF" w14:textId="54E02E25" w:rsidR="00C8273C" w:rsidRPr="00C8273C" w:rsidRDefault="00C8273C" w:rsidP="00C8273C">
      <w:pPr>
        <w:jc w:val="both"/>
        <w:rPr>
          <w:rFonts w:asciiTheme="majorBidi" w:hAnsiTheme="majorBidi" w:cstheme="majorBidi"/>
        </w:rPr>
      </w:pPr>
      <w:r w:rsidRPr="00C8273C">
        <w:rPr>
          <w:rFonts w:asciiTheme="majorBidi" w:hAnsiTheme="majorBidi" w:cstheme="majorBidi"/>
        </w:rPr>
        <w:t xml:space="preserve">This observation was visually supported by the SO₂ raster heatmap shown in Figure </w:t>
      </w:r>
      <w:r w:rsidRPr="00C8273C">
        <w:rPr>
          <w:rFonts w:asciiTheme="majorBidi" w:hAnsiTheme="majorBidi" w:cstheme="majorBidi"/>
          <w:color w:val="FF0000"/>
        </w:rPr>
        <w:t>A</w:t>
      </w:r>
      <w:r w:rsidRPr="00C8273C">
        <w:rPr>
          <w:rFonts w:asciiTheme="majorBidi" w:hAnsiTheme="majorBidi" w:cstheme="majorBidi"/>
        </w:rPr>
        <w:t>, where SO₂ hotspots appeared in areas that did not coincide with densely populated or high-mobility urban zones. Notably, elevated SO₂ levels were recorded in regions such as Abu Dhabi, Ruwais, and Sharjah’s industrial belt, even though minimal changes in mobility were observed in these areas.</w:t>
      </w:r>
    </w:p>
    <w:p w14:paraId="11290308" w14:textId="2A20117D" w:rsidR="00C8273C" w:rsidRPr="00C8273C" w:rsidRDefault="00C8273C" w:rsidP="00C8273C">
      <w:pPr>
        <w:jc w:val="both"/>
        <w:rPr>
          <w:rFonts w:asciiTheme="majorBidi" w:hAnsiTheme="majorBidi" w:cstheme="majorBidi"/>
        </w:rPr>
      </w:pPr>
      <w:r w:rsidRPr="00C8273C">
        <w:rPr>
          <w:rFonts w:asciiTheme="majorBidi" w:hAnsiTheme="majorBidi" w:cstheme="majorBidi"/>
        </w:rPr>
        <w:t>Such a spatial disconnect between mobility and SO₂ concentrations aligns with global air quality research, which consistently identifies fossil-fuel combustion at fixed industrial locations</w:t>
      </w:r>
      <w:r>
        <w:rPr>
          <w:rFonts w:asciiTheme="majorBidi" w:hAnsiTheme="majorBidi" w:cstheme="majorBidi"/>
        </w:rPr>
        <w:t xml:space="preserve">, </w:t>
      </w:r>
      <w:r w:rsidRPr="00C8273C">
        <w:rPr>
          <w:rFonts w:asciiTheme="majorBidi" w:hAnsiTheme="majorBidi" w:cstheme="majorBidi"/>
        </w:rPr>
        <w:t>particularly in power generation and heavy industry</w:t>
      </w:r>
      <w:r>
        <w:rPr>
          <w:rFonts w:asciiTheme="majorBidi" w:hAnsiTheme="majorBidi" w:cstheme="majorBidi"/>
        </w:rPr>
        <w:t xml:space="preserve">, </w:t>
      </w:r>
      <w:r w:rsidRPr="00C8273C">
        <w:rPr>
          <w:rFonts w:asciiTheme="majorBidi" w:hAnsiTheme="majorBidi" w:cstheme="majorBidi"/>
        </w:rPr>
        <w:t>as the dominant source of SO₂ emissions [</w:t>
      </w:r>
      <w:r w:rsidRPr="00C8273C">
        <w:rPr>
          <w:rFonts w:asciiTheme="majorBidi" w:hAnsiTheme="majorBidi" w:cstheme="majorBidi"/>
          <w:color w:val="FF0000"/>
        </w:rPr>
        <w:t>1</w:t>
      </w:r>
      <w:r w:rsidRPr="00061790">
        <w:rPr>
          <w:rFonts w:asciiTheme="majorBidi" w:hAnsiTheme="majorBidi" w:cstheme="majorBidi"/>
          <w:color w:val="FF0000"/>
        </w:rPr>
        <w:t>4</w:t>
      </w:r>
      <w:r w:rsidRPr="00C8273C">
        <w:rPr>
          <w:rFonts w:asciiTheme="majorBidi" w:hAnsiTheme="majorBidi" w:cstheme="majorBidi"/>
        </w:rPr>
        <w:t>].</w:t>
      </w:r>
    </w:p>
    <w:p w14:paraId="13629FE8" w14:textId="77777777" w:rsidR="00220F49" w:rsidRPr="00220F49" w:rsidRDefault="00220F49" w:rsidP="00010520">
      <w:pPr>
        <w:jc w:val="both"/>
        <w:rPr>
          <w:rFonts w:asciiTheme="majorBidi" w:hAnsiTheme="majorBidi" w:cstheme="majorBidi"/>
        </w:rPr>
      </w:pPr>
      <w:r w:rsidRPr="00220F49">
        <w:rPr>
          <w:rFonts w:asciiTheme="majorBidi" w:hAnsiTheme="majorBidi" w:cstheme="majorBidi"/>
        </w:rPr>
        <w:t>To address this challenge, urban air quality strategies should be broadened beyond mobility-</w:t>
      </w:r>
      <w:proofErr w:type="spellStart"/>
      <w:r w:rsidRPr="00220F49">
        <w:rPr>
          <w:rFonts w:asciiTheme="majorBidi" w:hAnsiTheme="majorBidi" w:cstheme="majorBidi"/>
        </w:rPr>
        <w:t>centered</w:t>
      </w:r>
      <w:proofErr w:type="spellEnd"/>
      <w:r w:rsidRPr="00220F49">
        <w:rPr>
          <w:rFonts w:asciiTheme="majorBidi" w:hAnsiTheme="majorBidi" w:cstheme="majorBidi"/>
        </w:rPr>
        <w:t xml:space="preserve"> interventions. A comprehensive mitigation framework should include:</w:t>
      </w:r>
    </w:p>
    <w:p w14:paraId="499D342A"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Stricter emissions regulations and caps for SO₂-producing industries;</w:t>
      </w:r>
    </w:p>
    <w:p w14:paraId="2EE70188"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Real-time satellite + ground monitoring integration (e.g., TROPOMI, Sentinel-5P);</w:t>
      </w:r>
    </w:p>
    <w:p w14:paraId="6F3282D0"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lastRenderedPageBreak/>
        <w:t>Zoning policies to create industrial buffers between high-output facilities and residential areas;</w:t>
      </w:r>
    </w:p>
    <w:p w14:paraId="7FD15F8B"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Mandatory pollution disclosure and audits from large-scale industrial operators.</w:t>
      </w:r>
    </w:p>
    <w:p w14:paraId="51DF8158" w14:textId="75D8460B" w:rsidR="00C14340" w:rsidRPr="00376DFA" w:rsidRDefault="00220F49" w:rsidP="00C14340">
      <w:pPr>
        <w:jc w:val="both"/>
        <w:rPr>
          <w:rFonts w:asciiTheme="majorBidi" w:hAnsiTheme="majorBidi" w:cstheme="majorBidi"/>
        </w:rPr>
      </w:pPr>
      <w:r w:rsidRPr="00220F49">
        <w:rPr>
          <w:rFonts w:asciiTheme="majorBidi" w:hAnsiTheme="majorBidi" w:cstheme="majorBidi"/>
        </w:rPr>
        <w:t xml:space="preserve">Without addressing these non-mobile sources, efforts focused solely on transportation reform </w:t>
      </w:r>
      <w:r w:rsidR="009529E5">
        <w:rPr>
          <w:rFonts w:asciiTheme="majorBidi" w:hAnsiTheme="majorBidi" w:cstheme="majorBidi"/>
        </w:rPr>
        <w:t>for example,</w:t>
      </w:r>
      <w:r w:rsidRPr="00220F49">
        <w:rPr>
          <w:rFonts w:asciiTheme="majorBidi" w:hAnsiTheme="majorBidi" w:cstheme="majorBidi"/>
        </w:rPr>
        <w:t xml:space="preserve"> electrification, modal shifts</w:t>
      </w:r>
      <w:r w:rsidR="009529E5">
        <w:rPr>
          <w:rFonts w:asciiTheme="majorBidi" w:hAnsiTheme="majorBidi" w:cstheme="majorBidi"/>
        </w:rPr>
        <w:t>,</w:t>
      </w:r>
      <w:r w:rsidRPr="00220F49">
        <w:rPr>
          <w:rFonts w:asciiTheme="majorBidi" w:hAnsiTheme="majorBidi" w:cstheme="majorBidi"/>
        </w:rPr>
        <w:t xml:space="preserve"> will fall short of delivering long-term public health and environmental benefits.</w:t>
      </w:r>
    </w:p>
    <w:p w14:paraId="3ADF9C0E" w14:textId="40FAE3F6" w:rsidR="00376DFA" w:rsidRPr="00376DFA" w:rsidRDefault="00376DFA" w:rsidP="00010520">
      <w:pPr>
        <w:pStyle w:val="Heading2"/>
        <w:numPr>
          <w:ilvl w:val="1"/>
          <w:numId w:val="15"/>
        </w:numPr>
        <w:jc w:val="both"/>
        <w:rPr>
          <w:rFonts w:asciiTheme="majorBidi" w:hAnsiTheme="majorBidi"/>
          <w:b/>
          <w:bCs/>
          <w:color w:val="auto"/>
        </w:rPr>
      </w:pPr>
      <w:r w:rsidRPr="00376DFA">
        <w:rPr>
          <w:rFonts w:asciiTheme="majorBidi" w:hAnsiTheme="majorBidi"/>
          <w:b/>
          <w:bCs/>
          <w:color w:val="auto"/>
        </w:rPr>
        <w:t>Zone-Based Clustering</w:t>
      </w:r>
    </w:p>
    <w:p w14:paraId="2F729B08" w14:textId="41631C3B"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K-Means Clustering of Zones Based on Joint Pollution and Mobility</w:t>
      </w:r>
      <w:r w:rsidR="00010520">
        <w:rPr>
          <w:rFonts w:asciiTheme="majorBidi" w:hAnsiTheme="majorBidi"/>
          <w:color w:val="auto"/>
        </w:rPr>
        <w:t>:</w:t>
      </w:r>
    </w:p>
    <w:p w14:paraId="3339BE3F" w14:textId="15318B48" w:rsidR="00061790" w:rsidRPr="00061790" w:rsidRDefault="00061790" w:rsidP="0006179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061790">
        <w:rPr>
          <w:rFonts w:ascii="Times New Roman" w:eastAsia="Times New Roman" w:hAnsi="Times New Roman" w:cs="Times New Roman"/>
          <w:kern w:val="0"/>
          <w:sz w:val="24"/>
          <w:szCs w:val="24"/>
          <w:lang w:eastAsia="en-AE"/>
          <w14:ligatures w14:val="none"/>
        </w:rPr>
        <w:t xml:space="preserve">To better understand urban zone behaviour, K-Means clustering was applied using mobility score data from 2020 to 2022. This approach grouped zones with similar historical movement patterns. Before determining the number of clusters, the Elbow Method was applied to measure model inertia for </w:t>
      </w:r>
      <w:r w:rsidRPr="00061790">
        <w:rPr>
          <w:rFonts w:ascii="Times New Roman" w:eastAsia="Times New Roman" w:hAnsi="Times New Roman" w:cs="Times New Roman"/>
          <w:i/>
          <w:iCs/>
          <w:kern w:val="0"/>
          <w:sz w:val="24"/>
          <w:szCs w:val="24"/>
          <w:lang w:eastAsia="en-AE"/>
          <w14:ligatures w14:val="none"/>
        </w:rPr>
        <w:t>k</w:t>
      </w:r>
      <w:r w:rsidRPr="00061790">
        <w:rPr>
          <w:rFonts w:ascii="Times New Roman" w:eastAsia="Times New Roman" w:hAnsi="Times New Roman" w:cs="Times New Roman"/>
          <w:kern w:val="0"/>
          <w:sz w:val="24"/>
          <w:szCs w:val="24"/>
          <w:lang w:eastAsia="en-AE"/>
          <w14:ligatures w14:val="none"/>
        </w:rPr>
        <w:t xml:space="preserve"> values ranging from 1 to 9. The initial elbow plot (</w:t>
      </w:r>
      <w:r w:rsidRPr="00D81A52">
        <w:rPr>
          <w:rFonts w:ascii="Times New Roman" w:eastAsia="Times New Roman" w:hAnsi="Times New Roman" w:cs="Times New Roman"/>
          <w:b/>
          <w:bCs/>
          <w:color w:val="FF0000"/>
          <w:kern w:val="0"/>
          <w:sz w:val="24"/>
          <w:szCs w:val="24"/>
          <w:lang w:eastAsia="en-AE"/>
          <w14:ligatures w14:val="none"/>
        </w:rPr>
        <w:t>Figure C</w:t>
      </w:r>
      <w:r w:rsidRPr="00061790">
        <w:rPr>
          <w:rFonts w:ascii="Times New Roman" w:eastAsia="Times New Roman" w:hAnsi="Times New Roman" w:cs="Times New Roman"/>
          <w:kern w:val="0"/>
          <w:sz w:val="24"/>
          <w:szCs w:val="24"/>
          <w:lang w:eastAsia="en-AE"/>
          <w14:ligatures w14:val="none"/>
        </w:rPr>
        <w:t>) focused on mobility scores alone and showed a distinct inflection at k = 3, indicating three optimal clusters.</w:t>
      </w:r>
    </w:p>
    <w:p w14:paraId="76E67CF9" w14:textId="49444EC7" w:rsidR="00305CCE" w:rsidRDefault="00305CCE" w:rsidP="00061790">
      <w:pPr>
        <w:spacing w:after="0" w:line="240" w:lineRule="auto"/>
        <w:jc w:val="both"/>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noProof/>
          <w:kern w:val="0"/>
          <w:sz w:val="24"/>
          <w:szCs w:val="24"/>
          <w:lang w:eastAsia="en-AE"/>
        </w:rPr>
        <w:drawing>
          <wp:inline distT="0" distB="0" distL="0" distR="0" wp14:anchorId="64CD6486" wp14:editId="0C018D6B">
            <wp:extent cx="4521200" cy="2980405"/>
            <wp:effectExtent l="0" t="0" r="0" b="0"/>
            <wp:docPr id="1125156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56368" name="Picture 1125156368"/>
                    <pic:cNvPicPr/>
                  </pic:nvPicPr>
                  <pic:blipFill>
                    <a:blip r:embed="rId11">
                      <a:extLst>
                        <a:ext uri="{28A0092B-C50C-407E-A947-70E740481C1C}">
                          <a14:useLocalDpi xmlns:a14="http://schemas.microsoft.com/office/drawing/2010/main" val="0"/>
                        </a:ext>
                      </a:extLst>
                    </a:blip>
                    <a:stretch>
                      <a:fillRect/>
                    </a:stretch>
                  </pic:blipFill>
                  <pic:spPr>
                    <a:xfrm>
                      <a:off x="0" y="0"/>
                      <a:ext cx="4525447" cy="2983204"/>
                    </a:xfrm>
                    <a:prstGeom prst="rect">
                      <a:avLst/>
                    </a:prstGeom>
                  </pic:spPr>
                </pic:pic>
              </a:graphicData>
            </a:graphic>
          </wp:inline>
        </w:drawing>
      </w:r>
    </w:p>
    <w:p w14:paraId="67747BA7" w14:textId="1EAC296D" w:rsidR="00305CCE" w:rsidRDefault="00305CCE" w:rsidP="00061790">
      <w:pPr>
        <w:spacing w:after="0" w:line="240" w:lineRule="auto"/>
        <w:jc w:val="both"/>
        <w:rPr>
          <w:rFonts w:ascii="Times New Roman" w:eastAsia="Times New Roman" w:hAnsi="Times New Roman" w:cs="Times New Roman"/>
          <w:kern w:val="0"/>
          <w:sz w:val="24"/>
          <w:szCs w:val="24"/>
          <w:lang w:eastAsia="en-AE"/>
          <w14:ligatures w14:val="none"/>
        </w:rPr>
      </w:pPr>
      <w:r w:rsidRPr="00305CCE">
        <w:rPr>
          <w:rFonts w:ascii="Times New Roman" w:eastAsia="Times New Roman" w:hAnsi="Times New Roman" w:cs="Times New Roman"/>
          <w:b/>
          <w:bCs/>
          <w:kern w:val="0"/>
          <w:sz w:val="24"/>
          <w:szCs w:val="24"/>
          <w:lang w:eastAsia="en-AE"/>
          <w14:ligatures w14:val="none"/>
        </w:rPr>
        <w:t xml:space="preserve">Figure </w:t>
      </w:r>
      <w:r>
        <w:rPr>
          <w:rFonts w:ascii="Times New Roman" w:eastAsia="Times New Roman" w:hAnsi="Times New Roman" w:cs="Times New Roman"/>
          <w:b/>
          <w:bCs/>
          <w:kern w:val="0"/>
          <w:sz w:val="24"/>
          <w:szCs w:val="24"/>
          <w:lang w:eastAsia="en-AE"/>
          <w14:ligatures w14:val="none"/>
        </w:rPr>
        <w:t>C:</w:t>
      </w:r>
      <w:r w:rsidRPr="00305CCE">
        <w:rPr>
          <w:rFonts w:ascii="Times New Roman" w:eastAsia="Times New Roman" w:hAnsi="Times New Roman" w:cs="Times New Roman"/>
          <w:kern w:val="0"/>
          <w:sz w:val="24"/>
          <w:szCs w:val="24"/>
          <w:lang w:eastAsia="en-AE"/>
          <w14:ligatures w14:val="none"/>
        </w:rPr>
        <w:t xml:space="preserve"> </w:t>
      </w:r>
      <w:r w:rsidR="00061790" w:rsidRPr="00061790">
        <w:rPr>
          <w:rFonts w:ascii="Times New Roman" w:eastAsia="Times New Roman" w:hAnsi="Times New Roman" w:cs="Times New Roman"/>
          <w:kern w:val="0"/>
          <w:sz w:val="24"/>
          <w:szCs w:val="24"/>
          <w:lang w:eastAsia="en-AE"/>
          <w14:ligatures w14:val="none"/>
        </w:rPr>
        <w:t xml:space="preserve">Elbow Method for Optimal </w:t>
      </w:r>
      <w:r w:rsidR="00061790" w:rsidRPr="00061790">
        <w:rPr>
          <w:rFonts w:ascii="Times New Roman" w:eastAsia="Times New Roman" w:hAnsi="Times New Roman" w:cs="Times New Roman"/>
          <w:i/>
          <w:iCs/>
          <w:kern w:val="0"/>
          <w:sz w:val="24"/>
          <w:szCs w:val="24"/>
          <w:lang w:eastAsia="en-AE"/>
          <w14:ligatures w14:val="none"/>
        </w:rPr>
        <w:t>k</w:t>
      </w:r>
      <w:r w:rsidR="00061790" w:rsidRPr="00061790">
        <w:rPr>
          <w:rFonts w:ascii="Times New Roman" w:eastAsia="Times New Roman" w:hAnsi="Times New Roman" w:cs="Times New Roman"/>
          <w:kern w:val="0"/>
          <w:sz w:val="24"/>
          <w:szCs w:val="24"/>
          <w:lang w:eastAsia="en-AE"/>
          <w14:ligatures w14:val="none"/>
        </w:rPr>
        <w:t xml:space="preserve"> using mobility scores. The elbow at </w:t>
      </w:r>
      <w:r w:rsidR="00061790" w:rsidRPr="00061790">
        <w:rPr>
          <w:rFonts w:ascii="Times New Roman" w:eastAsia="Times New Roman" w:hAnsi="Times New Roman" w:cs="Times New Roman"/>
          <w:i/>
          <w:iCs/>
          <w:kern w:val="0"/>
          <w:sz w:val="24"/>
          <w:szCs w:val="24"/>
          <w:lang w:eastAsia="en-AE"/>
          <w14:ligatures w14:val="none"/>
        </w:rPr>
        <w:t>k</w:t>
      </w:r>
      <w:r w:rsidR="00061790" w:rsidRPr="00061790">
        <w:rPr>
          <w:rFonts w:ascii="Times New Roman" w:eastAsia="Times New Roman" w:hAnsi="Times New Roman" w:cs="Times New Roman"/>
          <w:kern w:val="0"/>
          <w:sz w:val="24"/>
          <w:szCs w:val="24"/>
          <w:lang w:eastAsia="en-AE"/>
          <w14:ligatures w14:val="none"/>
        </w:rPr>
        <w:t xml:space="preserve"> = 3 suggests a meaningful separation of urban zones based on movement patterns.</w:t>
      </w:r>
    </w:p>
    <w:p w14:paraId="35A84BBF" w14:textId="77777777" w:rsidR="00061790" w:rsidRDefault="00061790" w:rsidP="00061790">
      <w:pPr>
        <w:spacing w:after="0" w:line="240" w:lineRule="auto"/>
        <w:jc w:val="both"/>
        <w:rPr>
          <w:rFonts w:ascii="Times New Roman" w:eastAsia="Times New Roman" w:hAnsi="Times New Roman" w:cs="Times New Roman"/>
          <w:kern w:val="0"/>
          <w:sz w:val="24"/>
          <w:szCs w:val="24"/>
          <w:lang w:eastAsia="en-AE"/>
          <w14:ligatures w14:val="none"/>
        </w:rPr>
      </w:pPr>
    </w:p>
    <w:p w14:paraId="728529F1" w14:textId="77777777" w:rsidR="00061790" w:rsidRPr="00305CCE" w:rsidRDefault="00061790" w:rsidP="00061790">
      <w:pPr>
        <w:spacing w:after="0" w:line="240" w:lineRule="auto"/>
        <w:jc w:val="both"/>
        <w:rPr>
          <w:rFonts w:ascii="Times New Roman" w:eastAsia="Times New Roman" w:hAnsi="Times New Roman" w:cs="Times New Roman"/>
          <w:kern w:val="0"/>
          <w:sz w:val="24"/>
          <w:szCs w:val="24"/>
          <w:lang w:eastAsia="en-AE"/>
          <w14:ligatures w14:val="none"/>
        </w:rPr>
      </w:pPr>
    </w:p>
    <w:p w14:paraId="658B2836" w14:textId="5F042C4D" w:rsidR="00493781" w:rsidRPr="003B3180" w:rsidRDefault="00A809A8" w:rsidP="00A809A8">
      <w:pPr>
        <w:jc w:val="both"/>
        <w:rPr>
          <w:rFonts w:asciiTheme="majorBidi" w:hAnsiTheme="majorBidi" w:cstheme="majorBidi"/>
        </w:rPr>
      </w:pPr>
      <w:r w:rsidRPr="003B3180">
        <w:rPr>
          <w:rFonts w:asciiTheme="majorBidi" w:hAnsiTheme="majorBidi" w:cstheme="majorBidi"/>
        </w:rPr>
        <w:t xml:space="preserve">To validate this result under combined analysis, the Elbow Method was repeated using both mobility and pollution variables (NO₂, SO₂, PM₁₀). The updated plot (Figure W) also pointed to k = 3, confirming that three clusters balance complexity and interpretability when accounting for both </w:t>
      </w:r>
      <w:proofErr w:type="spellStart"/>
      <w:r w:rsidRPr="003B3180">
        <w:rPr>
          <w:rFonts w:asciiTheme="majorBidi" w:hAnsiTheme="majorBidi" w:cstheme="majorBidi"/>
        </w:rPr>
        <w:t>behavioral</w:t>
      </w:r>
      <w:proofErr w:type="spellEnd"/>
      <w:r w:rsidRPr="003B3180">
        <w:rPr>
          <w:rFonts w:asciiTheme="majorBidi" w:hAnsiTheme="majorBidi" w:cstheme="majorBidi"/>
        </w:rPr>
        <w:t xml:space="preserve"> and environmental data.</w:t>
      </w:r>
    </w:p>
    <w:p w14:paraId="14122506" w14:textId="632B7353" w:rsidR="00A809A8" w:rsidRDefault="00A809A8" w:rsidP="00A809A8">
      <w:pPr>
        <w:spacing w:after="0"/>
        <w:jc w:val="both"/>
        <w:rPr>
          <w:rFonts w:asciiTheme="majorBidi" w:hAnsiTheme="majorBidi" w:cstheme="majorBidi"/>
        </w:rPr>
      </w:pPr>
      <w:r>
        <w:rPr>
          <w:rFonts w:asciiTheme="majorBidi" w:hAnsiTheme="majorBidi" w:cstheme="majorBidi"/>
          <w:noProof/>
        </w:rPr>
        <w:lastRenderedPageBreak/>
        <w:drawing>
          <wp:inline distT="0" distB="0" distL="0" distR="0" wp14:anchorId="14F40FF2" wp14:editId="721473C1">
            <wp:extent cx="4343400" cy="2937305"/>
            <wp:effectExtent l="0" t="0" r="0" b="0"/>
            <wp:docPr id="1398655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55593" name="Picture 1398655593"/>
                    <pic:cNvPicPr/>
                  </pic:nvPicPr>
                  <pic:blipFill>
                    <a:blip r:embed="rId12">
                      <a:extLst>
                        <a:ext uri="{28A0092B-C50C-407E-A947-70E740481C1C}">
                          <a14:useLocalDpi xmlns:a14="http://schemas.microsoft.com/office/drawing/2010/main" val="0"/>
                        </a:ext>
                      </a:extLst>
                    </a:blip>
                    <a:stretch>
                      <a:fillRect/>
                    </a:stretch>
                  </pic:blipFill>
                  <pic:spPr>
                    <a:xfrm>
                      <a:off x="0" y="0"/>
                      <a:ext cx="4353294" cy="2943996"/>
                    </a:xfrm>
                    <a:prstGeom prst="rect">
                      <a:avLst/>
                    </a:prstGeom>
                  </pic:spPr>
                </pic:pic>
              </a:graphicData>
            </a:graphic>
          </wp:inline>
        </w:drawing>
      </w:r>
    </w:p>
    <w:p w14:paraId="3D35F7C1" w14:textId="77777777" w:rsidR="00A809A8" w:rsidRDefault="00A809A8" w:rsidP="00A809A8">
      <w:pPr>
        <w:spacing w:after="0"/>
        <w:jc w:val="both"/>
        <w:rPr>
          <w:rFonts w:asciiTheme="majorBidi" w:hAnsiTheme="majorBidi" w:cstheme="majorBidi"/>
        </w:rPr>
      </w:pPr>
      <w:r w:rsidRPr="00A809A8">
        <w:rPr>
          <w:rFonts w:asciiTheme="majorBidi" w:hAnsiTheme="majorBidi" w:cstheme="majorBidi"/>
          <w:b/>
          <w:bCs/>
        </w:rPr>
        <w:t>Figure W:</w:t>
      </w:r>
      <w:r w:rsidRPr="00A809A8">
        <w:rPr>
          <w:rFonts w:asciiTheme="majorBidi" w:hAnsiTheme="majorBidi" w:cstheme="majorBidi"/>
        </w:rPr>
        <w:t xml:space="preserve"> Elbow Method for Joint Mobility + Pollution Clustering. The inflection at </w:t>
      </w:r>
      <w:r w:rsidRPr="00A809A8">
        <w:rPr>
          <w:rFonts w:asciiTheme="majorBidi" w:hAnsiTheme="majorBidi" w:cstheme="majorBidi"/>
          <w:i/>
          <w:iCs/>
        </w:rPr>
        <w:t>k</w:t>
      </w:r>
      <w:r w:rsidRPr="00A809A8">
        <w:rPr>
          <w:rFonts w:asciiTheme="majorBidi" w:hAnsiTheme="majorBidi" w:cstheme="majorBidi"/>
        </w:rPr>
        <w:t xml:space="preserve"> = 3 reinforces the choice of three clusters for integrated analysis.</w:t>
      </w:r>
    </w:p>
    <w:p w14:paraId="423AE7FA" w14:textId="77777777" w:rsidR="00A809A8" w:rsidRPr="00A809A8" w:rsidRDefault="00A809A8" w:rsidP="00A809A8">
      <w:pPr>
        <w:spacing w:after="0"/>
        <w:jc w:val="both"/>
        <w:rPr>
          <w:rFonts w:asciiTheme="majorBidi" w:hAnsiTheme="majorBidi" w:cstheme="majorBidi"/>
        </w:rPr>
      </w:pPr>
    </w:p>
    <w:p w14:paraId="5A6E7856" w14:textId="77777777" w:rsidR="00A809A8" w:rsidRPr="00A809A8" w:rsidRDefault="00A809A8" w:rsidP="00A809A8">
      <w:pPr>
        <w:spacing w:after="0"/>
        <w:jc w:val="both"/>
        <w:rPr>
          <w:rFonts w:asciiTheme="majorBidi" w:hAnsiTheme="majorBidi" w:cstheme="majorBidi"/>
        </w:rPr>
      </w:pPr>
      <w:r w:rsidRPr="00A809A8">
        <w:rPr>
          <w:rFonts w:asciiTheme="majorBidi" w:hAnsiTheme="majorBidi" w:cstheme="majorBidi"/>
        </w:rPr>
        <w:t xml:space="preserve">Once </w:t>
      </w:r>
      <w:r w:rsidRPr="00A809A8">
        <w:rPr>
          <w:rFonts w:asciiTheme="majorBidi" w:hAnsiTheme="majorBidi" w:cstheme="majorBidi"/>
          <w:i/>
          <w:iCs/>
        </w:rPr>
        <w:t>k = 3</w:t>
      </w:r>
      <w:r w:rsidRPr="00A809A8">
        <w:rPr>
          <w:rFonts w:asciiTheme="majorBidi" w:hAnsiTheme="majorBidi" w:cstheme="majorBidi"/>
        </w:rPr>
        <w:t xml:space="preserve"> was selected, each geohash zone was assigned a cluster label. To improve interpretability, the clusters were described as:</w:t>
      </w:r>
    </w:p>
    <w:p w14:paraId="5B0B512F" w14:textId="77777777" w:rsidR="00A809A8" w:rsidRPr="00A809A8" w:rsidRDefault="00A809A8" w:rsidP="00A809A8">
      <w:pPr>
        <w:numPr>
          <w:ilvl w:val="0"/>
          <w:numId w:val="45"/>
        </w:numPr>
        <w:spacing w:after="0"/>
        <w:jc w:val="both"/>
        <w:rPr>
          <w:rFonts w:asciiTheme="majorBidi" w:hAnsiTheme="majorBidi" w:cstheme="majorBidi"/>
        </w:rPr>
      </w:pPr>
      <w:r w:rsidRPr="00A809A8">
        <w:rPr>
          <w:rFonts w:asciiTheme="majorBidi" w:hAnsiTheme="majorBidi" w:cstheme="majorBidi"/>
        </w:rPr>
        <w:t>Cluster 0: Mild mobility drop (~–10%)</w:t>
      </w:r>
    </w:p>
    <w:p w14:paraId="5C365F06" w14:textId="77777777" w:rsidR="00A809A8" w:rsidRPr="00A809A8" w:rsidRDefault="00A809A8" w:rsidP="00A809A8">
      <w:pPr>
        <w:numPr>
          <w:ilvl w:val="0"/>
          <w:numId w:val="45"/>
        </w:numPr>
        <w:spacing w:after="0"/>
        <w:jc w:val="both"/>
        <w:rPr>
          <w:rFonts w:asciiTheme="majorBidi" w:hAnsiTheme="majorBidi" w:cstheme="majorBidi"/>
        </w:rPr>
      </w:pPr>
      <w:r w:rsidRPr="00A809A8">
        <w:rPr>
          <w:rFonts w:asciiTheme="majorBidi" w:hAnsiTheme="majorBidi" w:cstheme="majorBidi"/>
        </w:rPr>
        <w:t>Cluster 1: Largest mobility drop (~–32%)</w:t>
      </w:r>
    </w:p>
    <w:p w14:paraId="2CE8590D" w14:textId="77777777" w:rsidR="00A809A8" w:rsidRPr="00A809A8" w:rsidRDefault="00A809A8" w:rsidP="00A809A8">
      <w:pPr>
        <w:numPr>
          <w:ilvl w:val="0"/>
          <w:numId w:val="45"/>
        </w:numPr>
        <w:spacing w:after="0"/>
        <w:jc w:val="both"/>
        <w:rPr>
          <w:rFonts w:asciiTheme="majorBidi" w:hAnsiTheme="majorBidi" w:cstheme="majorBidi"/>
        </w:rPr>
      </w:pPr>
      <w:r w:rsidRPr="00A809A8">
        <w:rPr>
          <w:rFonts w:asciiTheme="majorBidi" w:hAnsiTheme="majorBidi" w:cstheme="majorBidi"/>
        </w:rPr>
        <w:t>Cluster 2: Moderate mobility drop (~–26%)</w:t>
      </w:r>
    </w:p>
    <w:p w14:paraId="68AD0277" w14:textId="77777777" w:rsidR="00A809A8" w:rsidRDefault="00A809A8" w:rsidP="00A809A8">
      <w:pPr>
        <w:spacing w:after="0"/>
        <w:jc w:val="both"/>
        <w:rPr>
          <w:rFonts w:asciiTheme="majorBidi" w:hAnsiTheme="majorBidi" w:cstheme="majorBidi"/>
        </w:rPr>
      </w:pPr>
      <w:r w:rsidRPr="00A809A8">
        <w:rPr>
          <w:rFonts w:asciiTheme="majorBidi" w:hAnsiTheme="majorBidi" w:cstheme="majorBidi"/>
        </w:rPr>
        <w:t xml:space="preserve">Each geohash zone was then spatially mapped using decoded polygons from geohash2.decode_exactly() and visualized using a </w:t>
      </w:r>
      <w:proofErr w:type="spellStart"/>
      <w:r w:rsidRPr="00A809A8">
        <w:rPr>
          <w:rFonts w:asciiTheme="majorBidi" w:hAnsiTheme="majorBidi" w:cstheme="majorBidi"/>
        </w:rPr>
        <w:t>GeoDataFrame</w:t>
      </w:r>
      <w:proofErr w:type="spellEnd"/>
      <w:r w:rsidRPr="00A809A8">
        <w:rPr>
          <w:rFonts w:asciiTheme="majorBidi" w:hAnsiTheme="majorBidi" w:cstheme="majorBidi"/>
        </w:rPr>
        <w:t xml:space="preserve">. The clusters were overlaid on a composite pollution raster (NO₂, SO₂, and aerosol index), as shown in Figure </w:t>
      </w:r>
      <w:r w:rsidRPr="00A809A8">
        <w:rPr>
          <w:rFonts w:asciiTheme="majorBidi" w:hAnsiTheme="majorBidi" w:cstheme="majorBidi"/>
          <w:color w:val="FF0000"/>
        </w:rPr>
        <w:t>Y</w:t>
      </w:r>
      <w:r w:rsidRPr="00A809A8">
        <w:rPr>
          <w:rFonts w:asciiTheme="majorBidi" w:hAnsiTheme="majorBidi" w:cstheme="majorBidi"/>
        </w:rPr>
        <w:t xml:space="preserve">, offering a spatial view of how mobility </w:t>
      </w:r>
      <w:proofErr w:type="spellStart"/>
      <w:r w:rsidRPr="00A809A8">
        <w:rPr>
          <w:rFonts w:asciiTheme="majorBidi" w:hAnsiTheme="majorBidi" w:cstheme="majorBidi"/>
        </w:rPr>
        <w:t>behaviors</w:t>
      </w:r>
      <w:proofErr w:type="spellEnd"/>
      <w:r w:rsidRPr="00A809A8">
        <w:rPr>
          <w:rFonts w:asciiTheme="majorBidi" w:hAnsiTheme="majorBidi" w:cstheme="majorBidi"/>
        </w:rPr>
        <w:t xml:space="preserve"> align with pollution intensity across the UAE.</w:t>
      </w:r>
    </w:p>
    <w:p w14:paraId="039F4A4F" w14:textId="77777777" w:rsidR="00A809A8" w:rsidRDefault="00A809A8" w:rsidP="00A809A8">
      <w:pPr>
        <w:spacing w:after="0"/>
        <w:jc w:val="both"/>
        <w:rPr>
          <w:rFonts w:asciiTheme="majorBidi" w:hAnsiTheme="majorBidi" w:cstheme="majorBidi"/>
        </w:rPr>
      </w:pPr>
    </w:p>
    <w:p w14:paraId="4040BF9B" w14:textId="656EDEDC" w:rsidR="00A809A8" w:rsidRPr="00A809A8" w:rsidRDefault="00A809A8" w:rsidP="00A809A8">
      <w:pPr>
        <w:spacing w:after="0"/>
        <w:jc w:val="both"/>
        <w:rPr>
          <w:rFonts w:asciiTheme="majorBidi" w:hAnsiTheme="majorBidi" w:cstheme="majorBidi"/>
        </w:rPr>
      </w:pPr>
      <w:r>
        <w:rPr>
          <w:rFonts w:asciiTheme="majorBidi" w:hAnsiTheme="majorBidi" w:cstheme="majorBidi"/>
          <w:noProof/>
        </w:rPr>
        <w:drawing>
          <wp:inline distT="0" distB="0" distL="0" distR="0" wp14:anchorId="696885EC" wp14:editId="48E7E9ED">
            <wp:extent cx="4131180" cy="3212123"/>
            <wp:effectExtent l="0" t="0" r="3175" b="7620"/>
            <wp:docPr id="1948582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82880" name="Picture 1948582880"/>
                    <pic:cNvPicPr/>
                  </pic:nvPicPr>
                  <pic:blipFill>
                    <a:blip r:embed="rId13">
                      <a:extLst>
                        <a:ext uri="{28A0092B-C50C-407E-A947-70E740481C1C}">
                          <a14:useLocalDpi xmlns:a14="http://schemas.microsoft.com/office/drawing/2010/main" val="0"/>
                        </a:ext>
                      </a:extLst>
                    </a:blip>
                    <a:stretch>
                      <a:fillRect/>
                    </a:stretch>
                  </pic:blipFill>
                  <pic:spPr>
                    <a:xfrm>
                      <a:off x="0" y="0"/>
                      <a:ext cx="4150527" cy="3227166"/>
                    </a:xfrm>
                    <a:prstGeom prst="rect">
                      <a:avLst/>
                    </a:prstGeom>
                  </pic:spPr>
                </pic:pic>
              </a:graphicData>
            </a:graphic>
          </wp:inline>
        </w:drawing>
      </w:r>
    </w:p>
    <w:p w14:paraId="6E4DE71E" w14:textId="747510D3" w:rsidR="008D46A3" w:rsidRPr="00376DFA" w:rsidRDefault="00A809A8" w:rsidP="00A809A8">
      <w:pPr>
        <w:jc w:val="both"/>
        <w:rPr>
          <w:rFonts w:asciiTheme="majorBidi" w:hAnsiTheme="majorBidi" w:cstheme="majorBidi"/>
        </w:rPr>
      </w:pPr>
      <w:r w:rsidRPr="00A809A8">
        <w:rPr>
          <w:rFonts w:asciiTheme="majorBidi" w:hAnsiTheme="majorBidi" w:cstheme="majorBidi"/>
          <w:b/>
          <w:bCs/>
        </w:rPr>
        <w:t>Figure Y:</w:t>
      </w:r>
      <w:r w:rsidRPr="00A809A8">
        <w:rPr>
          <w:rFonts w:asciiTheme="majorBidi" w:hAnsiTheme="majorBidi" w:cstheme="majorBidi"/>
        </w:rPr>
        <w:t xml:space="preserve"> Spatial distribution of mobility clusters (</w:t>
      </w:r>
      <w:r w:rsidRPr="00A809A8">
        <w:rPr>
          <w:rFonts w:asciiTheme="majorBidi" w:hAnsiTheme="majorBidi" w:cstheme="majorBidi"/>
          <w:i/>
          <w:iCs/>
        </w:rPr>
        <w:t>k = 3</w:t>
      </w:r>
      <w:r w:rsidRPr="00A809A8">
        <w:rPr>
          <w:rFonts w:asciiTheme="majorBidi" w:hAnsiTheme="majorBidi" w:cstheme="majorBidi"/>
        </w:rPr>
        <w:t>) overlaid on NO₂/SO₂/Aerosol Composite (2020–2022). Zones are color-coded by mobility cluster label.</w:t>
      </w:r>
    </w:p>
    <w:p w14:paraId="03ADCBA5" w14:textId="123ECC91"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lastRenderedPageBreak/>
        <w:t>Hotspot Detection and Zone Typologies</w:t>
      </w:r>
      <w:r w:rsidR="00010520">
        <w:rPr>
          <w:rFonts w:asciiTheme="majorBidi" w:hAnsiTheme="majorBidi"/>
          <w:color w:val="auto"/>
        </w:rPr>
        <w:t>:</w:t>
      </w:r>
    </w:p>
    <w:p w14:paraId="33952120" w14:textId="77777777" w:rsidR="00F5590B" w:rsidRPr="00F5590B" w:rsidRDefault="00F5590B" w:rsidP="00F5590B">
      <w:pPr>
        <w:ind w:firstLine="284"/>
        <w:rPr>
          <w:rFonts w:asciiTheme="majorBidi" w:hAnsiTheme="majorBidi" w:cstheme="majorBidi"/>
        </w:rPr>
      </w:pPr>
      <w:r w:rsidRPr="00F5590B">
        <w:rPr>
          <w:rFonts w:asciiTheme="majorBidi" w:hAnsiTheme="majorBidi" w:cstheme="majorBidi"/>
        </w:rPr>
        <w:t>To better contextualize the clustering results from Section 4.2.1, geohash zones were further classified into four environmental–</w:t>
      </w:r>
      <w:proofErr w:type="spellStart"/>
      <w:r w:rsidRPr="00F5590B">
        <w:rPr>
          <w:rFonts w:asciiTheme="majorBidi" w:hAnsiTheme="majorBidi" w:cstheme="majorBidi"/>
        </w:rPr>
        <w:t>behavioral</w:t>
      </w:r>
      <w:proofErr w:type="spellEnd"/>
      <w:r w:rsidRPr="00F5590B">
        <w:rPr>
          <w:rFonts w:asciiTheme="majorBidi" w:hAnsiTheme="majorBidi" w:cstheme="majorBidi"/>
        </w:rPr>
        <w:t xml:space="preserve"> typologies, based on their combined mobility trends and average pollution levels (primarily NO₂ and PM₁₀). These typologies were generated by cross-referencing the K-Means mobility clusters with corresponding pollutant concentrations.</w:t>
      </w:r>
    </w:p>
    <w:p w14:paraId="7B249E6B" w14:textId="337A57E0" w:rsidR="00F5590B" w:rsidRPr="00F5590B" w:rsidRDefault="00F5590B" w:rsidP="00F5590B">
      <w:pPr>
        <w:numPr>
          <w:ilvl w:val="0"/>
          <w:numId w:val="46"/>
        </w:numPr>
        <w:rPr>
          <w:rFonts w:asciiTheme="majorBidi" w:hAnsiTheme="majorBidi" w:cstheme="majorBidi"/>
        </w:rPr>
      </w:pPr>
      <w:r w:rsidRPr="00F5590B">
        <w:rPr>
          <w:rFonts w:asciiTheme="majorBidi" w:hAnsiTheme="majorBidi" w:cstheme="majorBidi"/>
          <w:b/>
          <w:bCs/>
        </w:rPr>
        <w:t>Type A: High Mobility – Low Pollution</w:t>
      </w:r>
      <w:r w:rsidRPr="00F5590B">
        <w:rPr>
          <w:rFonts w:asciiTheme="majorBidi" w:hAnsiTheme="majorBidi" w:cstheme="majorBidi"/>
        </w:rPr>
        <w:br/>
        <w:t xml:space="preserve">Examples: Central downtown zones with efficient public transport </w:t>
      </w:r>
      <w:r>
        <w:rPr>
          <w:rFonts w:asciiTheme="majorBidi" w:hAnsiTheme="majorBidi" w:cstheme="majorBidi"/>
        </w:rPr>
        <w:t xml:space="preserve">such as </w:t>
      </w:r>
      <w:r w:rsidRPr="00F5590B">
        <w:rPr>
          <w:rFonts w:asciiTheme="majorBidi" w:hAnsiTheme="majorBidi" w:cstheme="majorBidi"/>
        </w:rPr>
        <w:t>metro corridors in Dubai</w:t>
      </w:r>
      <w:r>
        <w:rPr>
          <w:rFonts w:asciiTheme="majorBidi" w:hAnsiTheme="majorBidi" w:cstheme="majorBidi"/>
        </w:rPr>
        <w:t>.</w:t>
      </w:r>
      <w:r w:rsidRPr="00F5590B">
        <w:rPr>
          <w:rFonts w:asciiTheme="majorBidi" w:hAnsiTheme="majorBidi" w:cstheme="majorBidi"/>
        </w:rPr>
        <w:br/>
        <w:t>Implication: These areas demonstrate environmental efficiency and are ideal candidates for further green mobility investments.</w:t>
      </w:r>
    </w:p>
    <w:p w14:paraId="46DE5646" w14:textId="77777777" w:rsidR="00F5590B" w:rsidRPr="00F5590B" w:rsidRDefault="00F5590B" w:rsidP="00F5590B">
      <w:pPr>
        <w:numPr>
          <w:ilvl w:val="0"/>
          <w:numId w:val="46"/>
        </w:numPr>
        <w:rPr>
          <w:rFonts w:asciiTheme="majorBidi" w:hAnsiTheme="majorBidi" w:cstheme="majorBidi"/>
        </w:rPr>
      </w:pPr>
      <w:r w:rsidRPr="00F5590B">
        <w:rPr>
          <w:rFonts w:asciiTheme="majorBidi" w:hAnsiTheme="majorBidi" w:cstheme="majorBidi"/>
          <w:b/>
          <w:bCs/>
        </w:rPr>
        <w:t>Type B: Low Mobility – High Pollution</w:t>
      </w:r>
      <w:r w:rsidRPr="00F5590B">
        <w:rPr>
          <w:rFonts w:asciiTheme="majorBidi" w:hAnsiTheme="majorBidi" w:cstheme="majorBidi"/>
        </w:rPr>
        <w:br/>
        <w:t>Examples: Industrial belts, oil refineries, and ports with limited residential movement</w:t>
      </w:r>
      <w:r w:rsidRPr="00F5590B">
        <w:rPr>
          <w:rFonts w:asciiTheme="majorBidi" w:hAnsiTheme="majorBidi" w:cstheme="majorBidi"/>
        </w:rPr>
        <w:br/>
        <w:t>Implication: Pollution is likely driven by stationary sources, requiring regulatory oversight and fixed-source monitoring.</w:t>
      </w:r>
    </w:p>
    <w:p w14:paraId="5AA08861" w14:textId="77777777" w:rsidR="00F5590B" w:rsidRPr="00F5590B" w:rsidRDefault="00F5590B" w:rsidP="00F5590B">
      <w:pPr>
        <w:numPr>
          <w:ilvl w:val="0"/>
          <w:numId w:val="46"/>
        </w:numPr>
        <w:rPr>
          <w:rFonts w:asciiTheme="majorBidi" w:hAnsiTheme="majorBidi" w:cstheme="majorBidi"/>
        </w:rPr>
      </w:pPr>
      <w:r w:rsidRPr="00F5590B">
        <w:rPr>
          <w:rFonts w:asciiTheme="majorBidi" w:hAnsiTheme="majorBidi" w:cstheme="majorBidi"/>
          <w:b/>
          <w:bCs/>
        </w:rPr>
        <w:t>Type C: High Mobility – High Pollution</w:t>
      </w:r>
      <w:r w:rsidRPr="00F5590B">
        <w:rPr>
          <w:rFonts w:asciiTheme="majorBidi" w:hAnsiTheme="majorBidi" w:cstheme="majorBidi"/>
        </w:rPr>
        <w:br/>
        <w:t xml:space="preserve">Examples: Traffic corridors, commercial hubs, or highway-dense city </w:t>
      </w:r>
      <w:proofErr w:type="spellStart"/>
      <w:r w:rsidRPr="00F5590B">
        <w:rPr>
          <w:rFonts w:asciiTheme="majorBidi" w:hAnsiTheme="majorBidi" w:cstheme="majorBidi"/>
        </w:rPr>
        <w:t>centers</w:t>
      </w:r>
      <w:proofErr w:type="spellEnd"/>
      <w:r w:rsidRPr="00F5590B">
        <w:rPr>
          <w:rFonts w:asciiTheme="majorBidi" w:hAnsiTheme="majorBidi" w:cstheme="majorBidi"/>
        </w:rPr>
        <w:br/>
        <w:t>Implication: Emissions are likely tied to vehicular traffic, suggesting a need for policies like transport electrification and congestion pricing.</w:t>
      </w:r>
    </w:p>
    <w:p w14:paraId="5B9CDFFB" w14:textId="77777777" w:rsidR="00F5590B" w:rsidRPr="00F5590B" w:rsidRDefault="00F5590B" w:rsidP="00F5590B">
      <w:pPr>
        <w:numPr>
          <w:ilvl w:val="0"/>
          <w:numId w:val="46"/>
        </w:numPr>
        <w:rPr>
          <w:rFonts w:asciiTheme="majorBidi" w:hAnsiTheme="majorBidi" w:cstheme="majorBidi"/>
        </w:rPr>
      </w:pPr>
      <w:r w:rsidRPr="00F5590B">
        <w:rPr>
          <w:rFonts w:asciiTheme="majorBidi" w:hAnsiTheme="majorBidi" w:cstheme="majorBidi"/>
          <w:b/>
          <w:bCs/>
        </w:rPr>
        <w:t>Type D: Low Mobility – Low Pollution</w:t>
      </w:r>
      <w:r w:rsidRPr="00F5590B">
        <w:rPr>
          <w:rFonts w:asciiTheme="majorBidi" w:hAnsiTheme="majorBidi" w:cstheme="majorBidi"/>
        </w:rPr>
        <w:br/>
        <w:t>Examples: Suburban or fringe zones with low population density</w:t>
      </w:r>
      <w:r w:rsidRPr="00F5590B">
        <w:rPr>
          <w:rFonts w:asciiTheme="majorBidi" w:hAnsiTheme="majorBidi" w:cstheme="majorBidi"/>
        </w:rPr>
        <w:br/>
        <w:t>Implication: These areas are generally low-risk but may serve as future urban expansion zones or ecological buffers.</w:t>
      </w:r>
    </w:p>
    <w:p w14:paraId="77853B08" w14:textId="77777777" w:rsidR="00187818" w:rsidRPr="00187818" w:rsidRDefault="00187818" w:rsidP="00187818">
      <w:pPr>
        <w:jc w:val="both"/>
        <w:rPr>
          <w:rFonts w:asciiTheme="majorBidi" w:hAnsiTheme="majorBidi" w:cstheme="majorBidi"/>
        </w:rPr>
      </w:pPr>
      <w:r w:rsidRPr="00187818">
        <w:rPr>
          <w:rFonts w:asciiTheme="majorBidi" w:hAnsiTheme="majorBidi" w:cstheme="majorBidi"/>
        </w:rPr>
        <w:t xml:space="preserve">These categories were created by </w:t>
      </w:r>
      <w:proofErr w:type="spellStart"/>
      <w:r w:rsidRPr="00187818">
        <w:rPr>
          <w:rFonts w:asciiTheme="majorBidi" w:hAnsiTheme="majorBidi" w:cstheme="majorBidi"/>
        </w:rPr>
        <w:t>analyzing</w:t>
      </w:r>
      <w:proofErr w:type="spellEnd"/>
      <w:r w:rsidRPr="00187818">
        <w:rPr>
          <w:rFonts w:asciiTheme="majorBidi" w:hAnsiTheme="majorBidi" w:cstheme="majorBidi"/>
        </w:rPr>
        <w:t xml:space="preserve"> cluster labels, average pollution scores, and mobility change distributions.</w:t>
      </w:r>
    </w:p>
    <w:p w14:paraId="4D369F8F" w14:textId="77777777" w:rsidR="00187818" w:rsidRPr="00187818" w:rsidRDefault="00187818" w:rsidP="00187818">
      <w:pPr>
        <w:jc w:val="both"/>
        <w:rPr>
          <w:rFonts w:asciiTheme="majorBidi" w:hAnsiTheme="majorBidi" w:cstheme="majorBidi"/>
        </w:rPr>
      </w:pPr>
      <w:r w:rsidRPr="00187818">
        <w:rPr>
          <w:rFonts w:asciiTheme="majorBidi" w:hAnsiTheme="majorBidi" w:cstheme="majorBidi"/>
        </w:rPr>
        <w:t>To support this classification:</w:t>
      </w:r>
    </w:p>
    <w:p w14:paraId="43942251" w14:textId="77777777" w:rsidR="00187818" w:rsidRPr="00187818" w:rsidRDefault="00187818" w:rsidP="00187818">
      <w:pPr>
        <w:numPr>
          <w:ilvl w:val="0"/>
          <w:numId w:val="47"/>
        </w:numPr>
        <w:jc w:val="both"/>
        <w:rPr>
          <w:rFonts w:asciiTheme="majorBidi" w:hAnsiTheme="majorBidi" w:cstheme="majorBidi"/>
        </w:rPr>
      </w:pPr>
      <w:r w:rsidRPr="00187818">
        <w:rPr>
          <w:rFonts w:asciiTheme="majorBidi" w:hAnsiTheme="majorBidi" w:cstheme="majorBidi"/>
          <w:b/>
          <w:bCs/>
        </w:rPr>
        <w:t>Figure E</w:t>
      </w:r>
      <w:r w:rsidRPr="00187818">
        <w:rPr>
          <w:rFonts w:asciiTheme="majorBidi" w:hAnsiTheme="majorBidi" w:cstheme="majorBidi"/>
        </w:rPr>
        <w:t xml:space="preserve"> shows the elbow method used to determine the optimal number of clusters based on population-weighted absolute mobility drop.</w:t>
      </w:r>
    </w:p>
    <w:p w14:paraId="24F55073" w14:textId="77777777" w:rsidR="00187818" w:rsidRPr="00187818" w:rsidRDefault="00187818" w:rsidP="00187818">
      <w:pPr>
        <w:numPr>
          <w:ilvl w:val="0"/>
          <w:numId w:val="47"/>
        </w:numPr>
        <w:jc w:val="both"/>
        <w:rPr>
          <w:rFonts w:asciiTheme="majorBidi" w:hAnsiTheme="majorBidi" w:cstheme="majorBidi"/>
        </w:rPr>
      </w:pPr>
      <w:r w:rsidRPr="00187818">
        <w:rPr>
          <w:rFonts w:asciiTheme="majorBidi" w:hAnsiTheme="majorBidi" w:cstheme="majorBidi"/>
          <w:b/>
          <w:bCs/>
        </w:rPr>
        <w:t>Figure R</w:t>
      </w:r>
      <w:r w:rsidRPr="00187818">
        <w:rPr>
          <w:rFonts w:asciiTheme="majorBidi" w:hAnsiTheme="majorBidi" w:cstheme="majorBidi"/>
        </w:rPr>
        <w:t xml:space="preserve"> visualizes spatial groupings of geohash zones </w:t>
      </w:r>
      <w:proofErr w:type="spellStart"/>
      <w:r w:rsidRPr="00187818">
        <w:rPr>
          <w:rFonts w:asciiTheme="majorBidi" w:hAnsiTheme="majorBidi" w:cstheme="majorBidi"/>
        </w:rPr>
        <w:t>colored</w:t>
      </w:r>
      <w:proofErr w:type="spellEnd"/>
      <w:r w:rsidRPr="00187818">
        <w:rPr>
          <w:rFonts w:asciiTheme="majorBidi" w:hAnsiTheme="majorBidi" w:cstheme="majorBidi"/>
        </w:rPr>
        <w:t xml:space="preserve"> by mobility drop severity, helping identify zones with high social impact.</w:t>
      </w:r>
    </w:p>
    <w:p w14:paraId="721C0924" w14:textId="77777777" w:rsidR="00187818" w:rsidRPr="00187818" w:rsidRDefault="00187818" w:rsidP="00187818">
      <w:pPr>
        <w:numPr>
          <w:ilvl w:val="0"/>
          <w:numId w:val="47"/>
        </w:numPr>
        <w:jc w:val="both"/>
        <w:rPr>
          <w:rFonts w:asciiTheme="majorBidi" w:hAnsiTheme="majorBidi" w:cstheme="majorBidi"/>
        </w:rPr>
      </w:pPr>
      <w:r w:rsidRPr="00187818">
        <w:rPr>
          <w:rFonts w:asciiTheme="majorBidi" w:hAnsiTheme="majorBidi" w:cstheme="majorBidi"/>
          <w:b/>
          <w:bCs/>
        </w:rPr>
        <w:t>Figure T</w:t>
      </w:r>
      <w:r w:rsidRPr="00187818">
        <w:rPr>
          <w:rFonts w:asciiTheme="majorBidi" w:hAnsiTheme="majorBidi" w:cstheme="majorBidi"/>
        </w:rPr>
        <w:t xml:space="preserve"> presents a scatterplot of zones clustered jointly by mobility and pollution metrics, showing three main groups: Low–Low, High–High, and Mid–Mid.</w:t>
      </w:r>
    </w:p>
    <w:p w14:paraId="2C330B6F" w14:textId="548B6E0A" w:rsidR="008C3260" w:rsidRPr="00187818" w:rsidRDefault="00187818" w:rsidP="00187818">
      <w:pPr>
        <w:numPr>
          <w:ilvl w:val="0"/>
          <w:numId w:val="47"/>
        </w:numPr>
        <w:jc w:val="both"/>
        <w:rPr>
          <w:rFonts w:asciiTheme="majorBidi" w:hAnsiTheme="majorBidi" w:cstheme="majorBidi"/>
        </w:rPr>
      </w:pPr>
      <w:r w:rsidRPr="00187818">
        <w:rPr>
          <w:rFonts w:asciiTheme="majorBidi" w:hAnsiTheme="majorBidi" w:cstheme="majorBidi"/>
          <w:b/>
          <w:bCs/>
        </w:rPr>
        <w:t>Figure U</w:t>
      </w:r>
      <w:r w:rsidRPr="00187818">
        <w:rPr>
          <w:rFonts w:asciiTheme="majorBidi" w:hAnsiTheme="majorBidi" w:cstheme="majorBidi"/>
        </w:rPr>
        <w:t xml:space="preserve"> maps these joint clusters spatially across the UAE, overlaid on the NO₂/SO₂/aerosol composite raster.</w:t>
      </w:r>
    </w:p>
    <w:p w14:paraId="1622C9CE" w14:textId="679D1770" w:rsidR="00AF7A2E" w:rsidRDefault="00AF7A2E" w:rsidP="00187818">
      <w:pPr>
        <w:spacing w:after="0"/>
        <w:jc w:val="center"/>
        <w:rPr>
          <w:rFonts w:asciiTheme="majorBidi" w:hAnsiTheme="majorBidi" w:cstheme="majorBidi"/>
        </w:rPr>
      </w:pPr>
      <w:r>
        <w:rPr>
          <w:rFonts w:asciiTheme="majorBidi" w:hAnsiTheme="majorBidi" w:cstheme="majorBidi"/>
          <w:noProof/>
        </w:rPr>
        <w:lastRenderedPageBreak/>
        <w:drawing>
          <wp:inline distT="0" distB="0" distL="0" distR="0" wp14:anchorId="1098FF54" wp14:editId="4E661E7C">
            <wp:extent cx="4752007" cy="3294185"/>
            <wp:effectExtent l="0" t="0" r="0" b="1905"/>
            <wp:docPr id="173773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3134" name="Picture 173773134"/>
                    <pic:cNvPicPr/>
                  </pic:nvPicPr>
                  <pic:blipFill>
                    <a:blip r:embed="rId14">
                      <a:extLst>
                        <a:ext uri="{28A0092B-C50C-407E-A947-70E740481C1C}">
                          <a14:useLocalDpi xmlns:a14="http://schemas.microsoft.com/office/drawing/2010/main" val="0"/>
                        </a:ext>
                      </a:extLst>
                    </a:blip>
                    <a:stretch>
                      <a:fillRect/>
                    </a:stretch>
                  </pic:blipFill>
                  <pic:spPr>
                    <a:xfrm>
                      <a:off x="0" y="0"/>
                      <a:ext cx="4783649" cy="3316120"/>
                    </a:xfrm>
                    <a:prstGeom prst="rect">
                      <a:avLst/>
                    </a:prstGeom>
                  </pic:spPr>
                </pic:pic>
              </a:graphicData>
            </a:graphic>
          </wp:inline>
        </w:drawing>
      </w:r>
    </w:p>
    <w:p w14:paraId="7AF9CAF4" w14:textId="2B28E9D9" w:rsidR="00AF7A2E" w:rsidRDefault="00AF7A2E" w:rsidP="00187818">
      <w:pPr>
        <w:spacing w:after="0"/>
        <w:jc w:val="both"/>
        <w:rPr>
          <w:rFonts w:asciiTheme="majorBidi" w:hAnsiTheme="majorBidi" w:cstheme="majorBidi"/>
        </w:rPr>
      </w:pPr>
      <w:r w:rsidRPr="00AF7A2E">
        <w:rPr>
          <w:rFonts w:asciiTheme="majorBidi" w:hAnsiTheme="majorBidi" w:cstheme="majorBidi"/>
          <w:b/>
          <w:bCs/>
        </w:rPr>
        <w:t xml:space="preserve">Figure </w:t>
      </w:r>
      <w:r w:rsidR="00187818">
        <w:rPr>
          <w:rFonts w:asciiTheme="majorBidi" w:hAnsiTheme="majorBidi" w:cstheme="majorBidi"/>
          <w:b/>
          <w:bCs/>
        </w:rPr>
        <w:t>E:</w:t>
      </w:r>
      <w:r w:rsidRPr="00AF7A2E">
        <w:rPr>
          <w:rFonts w:asciiTheme="majorBidi" w:hAnsiTheme="majorBidi" w:cstheme="majorBidi"/>
        </w:rPr>
        <w:t xml:space="preserve"> Elbow method to identify optimal k for clustering zones based on population-weighted absolute mobility drop. Suggests that 3 clusters yield stable segmentation.</w:t>
      </w:r>
    </w:p>
    <w:p w14:paraId="20EB3B00" w14:textId="77777777" w:rsidR="00187818" w:rsidRDefault="00187818" w:rsidP="00AF7A2E">
      <w:pPr>
        <w:jc w:val="both"/>
        <w:rPr>
          <w:rFonts w:asciiTheme="majorBidi" w:hAnsiTheme="majorBidi" w:cstheme="majorBidi"/>
        </w:rPr>
      </w:pPr>
    </w:p>
    <w:p w14:paraId="349596C7" w14:textId="6F9F0ACD" w:rsidR="00AF7A2E" w:rsidRDefault="00AF7A2E" w:rsidP="008C3260">
      <w:pPr>
        <w:jc w:val="center"/>
        <w:rPr>
          <w:rFonts w:asciiTheme="majorBidi" w:hAnsiTheme="majorBidi" w:cstheme="majorBidi"/>
        </w:rPr>
      </w:pPr>
      <w:r>
        <w:rPr>
          <w:rFonts w:asciiTheme="majorBidi" w:hAnsiTheme="majorBidi" w:cstheme="majorBidi"/>
          <w:noProof/>
        </w:rPr>
        <w:drawing>
          <wp:inline distT="0" distB="0" distL="0" distR="0" wp14:anchorId="436E4997" wp14:editId="1FB18F2F">
            <wp:extent cx="4583498" cy="3563815"/>
            <wp:effectExtent l="0" t="0" r="7620" b="0"/>
            <wp:docPr id="12171525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52541" name="Picture 12171525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0876" cy="3577327"/>
                    </a:xfrm>
                    <a:prstGeom prst="rect">
                      <a:avLst/>
                    </a:prstGeom>
                  </pic:spPr>
                </pic:pic>
              </a:graphicData>
            </a:graphic>
          </wp:inline>
        </w:drawing>
      </w:r>
    </w:p>
    <w:p w14:paraId="6C5045BB" w14:textId="330B65BF" w:rsidR="00AF7A2E" w:rsidRDefault="00AF7A2E" w:rsidP="00187818">
      <w:pPr>
        <w:jc w:val="both"/>
        <w:rPr>
          <w:rFonts w:asciiTheme="majorBidi" w:hAnsiTheme="majorBidi" w:cstheme="majorBidi"/>
        </w:rPr>
      </w:pPr>
      <w:r w:rsidRPr="00AF7A2E">
        <w:rPr>
          <w:rFonts w:asciiTheme="majorBidi" w:hAnsiTheme="majorBidi" w:cstheme="majorBidi"/>
          <w:b/>
          <w:bCs/>
        </w:rPr>
        <w:t xml:space="preserve">Figure </w:t>
      </w:r>
      <w:r w:rsidR="00187818">
        <w:rPr>
          <w:rFonts w:asciiTheme="majorBidi" w:hAnsiTheme="majorBidi" w:cstheme="majorBidi"/>
          <w:b/>
          <w:bCs/>
        </w:rPr>
        <w:t>R:</w:t>
      </w:r>
      <w:r w:rsidRPr="00AF7A2E">
        <w:rPr>
          <w:rFonts w:asciiTheme="majorBidi" w:hAnsiTheme="majorBidi" w:cstheme="majorBidi"/>
        </w:rPr>
        <w:t xml:space="preserve"> </w:t>
      </w:r>
      <w:r w:rsidR="00187818" w:rsidRPr="00187818">
        <w:rPr>
          <w:rFonts w:asciiTheme="majorBidi" w:hAnsiTheme="majorBidi" w:cstheme="majorBidi"/>
        </w:rPr>
        <w:t>Spatial clustering of geohash zones by population-weighted absolute mobility drop. Darker zones reflect higher impact reductions.</w:t>
      </w:r>
    </w:p>
    <w:p w14:paraId="56A3E49B" w14:textId="73C8EFBE" w:rsidR="00AF7A2E" w:rsidRPr="00513040" w:rsidRDefault="00AF7A2E" w:rsidP="008C3260">
      <w:pPr>
        <w:jc w:val="center"/>
        <w:rPr>
          <w:rFonts w:asciiTheme="majorBidi" w:hAnsiTheme="majorBidi" w:cstheme="majorBidi"/>
        </w:rPr>
      </w:pPr>
      <w:r>
        <w:rPr>
          <w:rFonts w:asciiTheme="majorBidi" w:hAnsiTheme="majorBidi" w:cstheme="majorBidi"/>
          <w:noProof/>
        </w:rPr>
        <w:lastRenderedPageBreak/>
        <w:drawing>
          <wp:inline distT="0" distB="0" distL="0" distR="0" wp14:anchorId="7EA23A50" wp14:editId="7BD8E477">
            <wp:extent cx="2873072" cy="2752312"/>
            <wp:effectExtent l="0" t="0" r="3810" b="0"/>
            <wp:docPr id="6110619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1996" name="Picture 611061996"/>
                    <pic:cNvPicPr/>
                  </pic:nvPicPr>
                  <pic:blipFill>
                    <a:blip r:embed="rId16">
                      <a:extLst>
                        <a:ext uri="{28A0092B-C50C-407E-A947-70E740481C1C}">
                          <a14:useLocalDpi xmlns:a14="http://schemas.microsoft.com/office/drawing/2010/main" val="0"/>
                        </a:ext>
                      </a:extLst>
                    </a:blip>
                    <a:stretch>
                      <a:fillRect/>
                    </a:stretch>
                  </pic:blipFill>
                  <pic:spPr>
                    <a:xfrm>
                      <a:off x="0" y="0"/>
                      <a:ext cx="2899807" cy="2777923"/>
                    </a:xfrm>
                    <a:prstGeom prst="rect">
                      <a:avLst/>
                    </a:prstGeom>
                  </pic:spPr>
                </pic:pic>
              </a:graphicData>
            </a:graphic>
          </wp:inline>
        </w:drawing>
      </w:r>
    </w:p>
    <w:p w14:paraId="58028791" w14:textId="7CC84925" w:rsidR="00376DFA" w:rsidRDefault="00AF7A2E" w:rsidP="00187818">
      <w:pPr>
        <w:jc w:val="both"/>
        <w:rPr>
          <w:rFonts w:asciiTheme="majorBidi" w:hAnsiTheme="majorBidi" w:cstheme="majorBidi"/>
        </w:rPr>
      </w:pPr>
      <w:r w:rsidRPr="00AF7A2E">
        <w:rPr>
          <w:rFonts w:asciiTheme="majorBidi" w:hAnsiTheme="majorBidi" w:cstheme="majorBidi"/>
          <w:b/>
          <w:bCs/>
        </w:rPr>
        <w:t xml:space="preserve">Figure </w:t>
      </w:r>
      <w:r w:rsidR="00187818">
        <w:rPr>
          <w:rFonts w:asciiTheme="majorBidi" w:hAnsiTheme="majorBidi" w:cstheme="majorBidi"/>
          <w:b/>
          <w:bCs/>
        </w:rPr>
        <w:t>T:</w:t>
      </w:r>
      <w:r w:rsidRPr="00AF7A2E">
        <w:rPr>
          <w:rFonts w:asciiTheme="majorBidi" w:hAnsiTheme="majorBidi" w:cstheme="majorBidi"/>
        </w:rPr>
        <w:t xml:space="preserve"> </w:t>
      </w:r>
      <w:r w:rsidR="00187818" w:rsidRPr="00187818">
        <w:rPr>
          <w:rFonts w:asciiTheme="majorBidi" w:hAnsiTheme="majorBidi" w:cstheme="majorBidi"/>
        </w:rPr>
        <w:t xml:space="preserve">Scatterplot of zones clustered by both mobility change and average pollution composite. Clusters represent joint </w:t>
      </w:r>
      <w:proofErr w:type="spellStart"/>
      <w:r w:rsidR="00187818" w:rsidRPr="00187818">
        <w:rPr>
          <w:rFonts w:asciiTheme="majorBidi" w:hAnsiTheme="majorBidi" w:cstheme="majorBidi"/>
        </w:rPr>
        <w:t>behavioral</w:t>
      </w:r>
      <w:proofErr w:type="spellEnd"/>
      <w:r w:rsidR="00187818" w:rsidRPr="00187818">
        <w:rPr>
          <w:rFonts w:asciiTheme="majorBidi" w:hAnsiTheme="majorBidi" w:cstheme="majorBidi"/>
        </w:rPr>
        <w:t>-environmental profiles</w:t>
      </w:r>
      <w:r w:rsidRPr="00AF7A2E">
        <w:rPr>
          <w:rFonts w:asciiTheme="majorBidi" w:hAnsiTheme="majorBidi" w:cstheme="majorBidi"/>
        </w:rPr>
        <w:t>.</w:t>
      </w:r>
    </w:p>
    <w:p w14:paraId="2D82FED4" w14:textId="77777777" w:rsidR="00AF7A2E" w:rsidRDefault="00AF7A2E" w:rsidP="00AF7A2E">
      <w:pPr>
        <w:jc w:val="both"/>
        <w:rPr>
          <w:rFonts w:asciiTheme="majorBidi" w:hAnsiTheme="majorBidi" w:cstheme="majorBidi"/>
        </w:rPr>
      </w:pPr>
    </w:p>
    <w:p w14:paraId="10F82E0C" w14:textId="77777777" w:rsidR="008C3260" w:rsidRDefault="008C3260" w:rsidP="008C3260">
      <w:pPr>
        <w:jc w:val="center"/>
        <w:rPr>
          <w:rFonts w:asciiTheme="majorBidi" w:hAnsiTheme="majorBidi" w:cstheme="majorBidi"/>
          <w:b/>
          <w:bCs/>
        </w:rPr>
      </w:pPr>
      <w:r>
        <w:rPr>
          <w:rFonts w:asciiTheme="majorBidi" w:hAnsiTheme="majorBidi" w:cstheme="majorBidi"/>
          <w:noProof/>
        </w:rPr>
        <w:drawing>
          <wp:inline distT="0" distB="0" distL="0" distR="0" wp14:anchorId="4C521F74" wp14:editId="3C666FB8">
            <wp:extent cx="3505883" cy="2725936"/>
            <wp:effectExtent l="0" t="0" r="0" b="0"/>
            <wp:docPr id="642881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104" name="Picture 642881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4557" cy="2748231"/>
                    </a:xfrm>
                    <a:prstGeom prst="rect">
                      <a:avLst/>
                    </a:prstGeom>
                  </pic:spPr>
                </pic:pic>
              </a:graphicData>
            </a:graphic>
          </wp:inline>
        </w:drawing>
      </w:r>
    </w:p>
    <w:p w14:paraId="30CB4947" w14:textId="68F8BF85" w:rsidR="008C3260" w:rsidRDefault="008C3260" w:rsidP="00187818">
      <w:pPr>
        <w:jc w:val="both"/>
        <w:rPr>
          <w:rFonts w:asciiTheme="majorBidi" w:hAnsiTheme="majorBidi" w:cstheme="majorBidi"/>
        </w:rPr>
      </w:pPr>
      <w:r w:rsidRPr="008C3260">
        <w:rPr>
          <w:rFonts w:asciiTheme="majorBidi" w:hAnsiTheme="majorBidi" w:cstheme="majorBidi"/>
          <w:b/>
          <w:bCs/>
        </w:rPr>
        <w:t xml:space="preserve">Figure </w:t>
      </w:r>
      <w:r w:rsidR="00187818">
        <w:rPr>
          <w:rFonts w:asciiTheme="majorBidi" w:hAnsiTheme="majorBidi" w:cstheme="majorBidi"/>
          <w:b/>
          <w:bCs/>
        </w:rPr>
        <w:t>U:</w:t>
      </w:r>
      <w:r w:rsidR="00187818" w:rsidRPr="00187818">
        <w:t xml:space="preserve"> </w:t>
      </w:r>
      <w:r w:rsidR="00187818" w:rsidRPr="00187818">
        <w:rPr>
          <w:rFonts w:asciiTheme="majorBidi" w:hAnsiTheme="majorBidi" w:cstheme="majorBidi"/>
        </w:rPr>
        <w:t>Geographic distribution of joint mobility–pollution clusters (2020–2022) overlaid on composite pollution raster.</w:t>
      </w:r>
    </w:p>
    <w:p w14:paraId="734C7B99" w14:textId="77777777" w:rsidR="00AF7A2E" w:rsidRDefault="00AF7A2E" w:rsidP="00AF7A2E">
      <w:pPr>
        <w:jc w:val="both"/>
        <w:rPr>
          <w:rFonts w:asciiTheme="majorBidi" w:hAnsiTheme="majorBidi" w:cstheme="majorBidi"/>
        </w:rPr>
      </w:pPr>
    </w:p>
    <w:p w14:paraId="73071477" w14:textId="1F78CA05" w:rsidR="00187818" w:rsidRPr="00D81A52" w:rsidRDefault="00187818" w:rsidP="00187818">
      <w:pPr>
        <w:jc w:val="both"/>
        <w:rPr>
          <w:rFonts w:asciiTheme="majorBidi" w:hAnsiTheme="majorBidi" w:cstheme="majorBidi"/>
          <w:sz w:val="24"/>
          <w:szCs w:val="24"/>
        </w:rPr>
      </w:pPr>
      <w:r w:rsidRPr="00D81A52">
        <w:rPr>
          <w:rFonts w:asciiTheme="majorBidi" w:hAnsiTheme="majorBidi" w:cstheme="majorBidi"/>
          <w:sz w:val="24"/>
          <w:szCs w:val="24"/>
        </w:rPr>
        <w:t xml:space="preserve">Figures E through U illustrate the process of refining zone typologies by </w:t>
      </w:r>
      <w:proofErr w:type="spellStart"/>
      <w:r w:rsidRPr="00D81A52">
        <w:rPr>
          <w:rFonts w:asciiTheme="majorBidi" w:hAnsiTheme="majorBidi" w:cstheme="majorBidi"/>
          <w:sz w:val="24"/>
          <w:szCs w:val="24"/>
        </w:rPr>
        <w:t>analyzing</w:t>
      </w:r>
      <w:proofErr w:type="spellEnd"/>
      <w:r w:rsidRPr="00D81A52">
        <w:rPr>
          <w:rFonts w:asciiTheme="majorBidi" w:hAnsiTheme="majorBidi" w:cstheme="majorBidi"/>
          <w:sz w:val="24"/>
          <w:szCs w:val="24"/>
        </w:rPr>
        <w:t xml:space="preserve"> both </w:t>
      </w:r>
      <w:proofErr w:type="spellStart"/>
      <w:r w:rsidRPr="00D81A52">
        <w:rPr>
          <w:rFonts w:asciiTheme="majorBidi" w:hAnsiTheme="majorBidi" w:cstheme="majorBidi"/>
          <w:sz w:val="24"/>
          <w:szCs w:val="24"/>
        </w:rPr>
        <w:t>behavioral</w:t>
      </w:r>
      <w:proofErr w:type="spellEnd"/>
      <w:r w:rsidRPr="00D81A52">
        <w:rPr>
          <w:rFonts w:asciiTheme="majorBidi" w:hAnsiTheme="majorBidi" w:cstheme="majorBidi"/>
          <w:sz w:val="24"/>
          <w:szCs w:val="24"/>
        </w:rPr>
        <w:t xml:space="preserve"> (mobility) and environmental (pollution) characteristics. Figure E presents the Elbow Method applied to population-weighted absolute mobility drop, where a clear inflection at </w:t>
      </w:r>
      <w:r w:rsidRPr="00D81A52">
        <w:rPr>
          <w:rFonts w:asciiTheme="majorBidi" w:hAnsiTheme="majorBidi" w:cstheme="majorBidi"/>
          <w:i/>
          <w:iCs/>
          <w:sz w:val="24"/>
          <w:szCs w:val="24"/>
        </w:rPr>
        <w:t>k = 3</w:t>
      </w:r>
      <w:r w:rsidRPr="00D81A52">
        <w:rPr>
          <w:rFonts w:asciiTheme="majorBidi" w:hAnsiTheme="majorBidi" w:cstheme="majorBidi"/>
          <w:sz w:val="24"/>
          <w:szCs w:val="24"/>
        </w:rPr>
        <w:t xml:space="preserve"> supports the use of three clusters to differentiate zones by severity of mobility reduction. Figure R maps these clusters across the UAE, showing how zones with high population impact are spatially concentrated in key urban </w:t>
      </w:r>
      <w:proofErr w:type="spellStart"/>
      <w:r w:rsidRPr="00D81A52">
        <w:rPr>
          <w:rFonts w:asciiTheme="majorBidi" w:hAnsiTheme="majorBidi" w:cstheme="majorBidi"/>
          <w:sz w:val="24"/>
          <w:szCs w:val="24"/>
        </w:rPr>
        <w:t>centers</w:t>
      </w:r>
      <w:proofErr w:type="spellEnd"/>
      <w:r w:rsidRPr="00D81A52">
        <w:rPr>
          <w:rFonts w:asciiTheme="majorBidi" w:hAnsiTheme="majorBidi" w:cstheme="majorBidi"/>
          <w:sz w:val="24"/>
          <w:szCs w:val="24"/>
        </w:rPr>
        <w:t xml:space="preserve"> such as Dubai and Sharjah. Figure T provides a scatterplot of zones jointly clustered by mobility change and average pollution levels, identifying three main groupings: Low–Low, High–High, and Mid–Mid, which directly support the Type A–D typology. Finally, Figure U spatially visualizes these joint </w:t>
      </w:r>
      <w:r w:rsidRPr="00D81A52">
        <w:rPr>
          <w:rFonts w:asciiTheme="majorBidi" w:hAnsiTheme="majorBidi" w:cstheme="majorBidi"/>
          <w:sz w:val="24"/>
          <w:szCs w:val="24"/>
        </w:rPr>
        <w:lastRenderedPageBreak/>
        <w:t xml:space="preserve">clusters on a pollution raster, revealing how environmental stress and </w:t>
      </w:r>
      <w:proofErr w:type="spellStart"/>
      <w:r w:rsidRPr="00D81A52">
        <w:rPr>
          <w:rFonts w:asciiTheme="majorBidi" w:hAnsiTheme="majorBidi" w:cstheme="majorBidi"/>
          <w:sz w:val="24"/>
          <w:szCs w:val="24"/>
        </w:rPr>
        <w:t>behavioral</w:t>
      </w:r>
      <w:proofErr w:type="spellEnd"/>
      <w:r w:rsidRPr="00D81A52">
        <w:rPr>
          <w:rFonts w:asciiTheme="majorBidi" w:hAnsiTheme="majorBidi" w:cstheme="majorBidi"/>
          <w:sz w:val="24"/>
          <w:szCs w:val="24"/>
        </w:rPr>
        <w:t xml:space="preserve"> patterns intersect geographically across UAE regions.</w:t>
      </w:r>
    </w:p>
    <w:p w14:paraId="76CE1711" w14:textId="77777777" w:rsidR="00187818" w:rsidRPr="00376DFA" w:rsidRDefault="00187818" w:rsidP="00187818">
      <w:pPr>
        <w:jc w:val="both"/>
        <w:rPr>
          <w:rFonts w:asciiTheme="majorBidi" w:hAnsiTheme="majorBidi" w:cstheme="majorBidi"/>
        </w:rPr>
      </w:pPr>
    </w:p>
    <w:p w14:paraId="7417AD00" w14:textId="177E60C1" w:rsidR="00376DFA" w:rsidRPr="00376DFA" w:rsidRDefault="00376DFA" w:rsidP="00010520">
      <w:pPr>
        <w:pStyle w:val="Heading2"/>
        <w:numPr>
          <w:ilvl w:val="1"/>
          <w:numId w:val="15"/>
        </w:numPr>
        <w:jc w:val="both"/>
        <w:rPr>
          <w:rFonts w:asciiTheme="majorBidi" w:hAnsiTheme="majorBidi"/>
          <w:color w:val="auto"/>
        </w:rPr>
      </w:pPr>
      <w:r w:rsidRPr="00376DFA">
        <w:rPr>
          <w:rFonts w:asciiTheme="majorBidi" w:hAnsiTheme="majorBidi"/>
          <w:color w:val="auto"/>
        </w:rPr>
        <w:t xml:space="preserve">Pollution </w:t>
      </w:r>
      <w:r w:rsidR="00010520" w:rsidRPr="00376DFA">
        <w:rPr>
          <w:rFonts w:asciiTheme="majorBidi" w:hAnsiTheme="majorBidi"/>
          <w:color w:val="auto"/>
        </w:rPr>
        <w:t>Modelling</w:t>
      </w:r>
    </w:p>
    <w:p w14:paraId="4B54C559" w14:textId="7C508B86"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 xml:space="preserve">Predictive </w:t>
      </w:r>
      <w:r w:rsidR="00010520" w:rsidRPr="00791455">
        <w:rPr>
          <w:rFonts w:asciiTheme="majorBidi" w:hAnsiTheme="majorBidi"/>
          <w:color w:val="auto"/>
        </w:rPr>
        <w:t>Modelling</w:t>
      </w:r>
      <w:r w:rsidRPr="00791455">
        <w:rPr>
          <w:rFonts w:asciiTheme="majorBidi" w:hAnsiTheme="majorBidi"/>
          <w:color w:val="auto"/>
        </w:rPr>
        <w:t xml:space="preserve"> of NO₂ Concentrations</w:t>
      </w:r>
    </w:p>
    <w:p w14:paraId="23C39DDB" w14:textId="7DF481B6" w:rsidR="005C14B2" w:rsidRPr="005C14B2" w:rsidRDefault="00671FB3" w:rsidP="005C14B2">
      <w:pPr>
        <w:ind w:firstLine="720"/>
        <w:jc w:val="both"/>
        <w:rPr>
          <w:rFonts w:asciiTheme="majorBidi" w:hAnsiTheme="majorBidi" w:cstheme="majorBidi"/>
          <w:sz w:val="24"/>
          <w:szCs w:val="24"/>
        </w:rPr>
      </w:pPr>
      <w:r w:rsidRPr="005C14B2">
        <w:rPr>
          <w:rFonts w:asciiTheme="majorBidi" w:hAnsiTheme="majorBidi" w:cstheme="majorBidi"/>
          <w:sz w:val="24"/>
          <w:szCs w:val="24"/>
        </w:rPr>
        <w:t xml:space="preserve">To </w:t>
      </w:r>
      <w:r w:rsidR="005C14B2" w:rsidRPr="005C14B2">
        <w:rPr>
          <w:rFonts w:asciiTheme="majorBidi" w:hAnsiTheme="majorBidi" w:cstheme="majorBidi"/>
          <w:sz w:val="24"/>
          <w:szCs w:val="24"/>
        </w:rPr>
        <w:t>examine how mobility patterns and urban characteristics affect air quality, supervised machine learning models were developed to predict NO₂ concentrations at the geohash level. The primary objective was to understand how variables such as mobility score, population density, and urban zone classification contribute to spatial and temporal pollution variation across the UAE.</w:t>
      </w:r>
      <w:r w:rsidR="005C14B2">
        <w:rPr>
          <w:rFonts w:asciiTheme="majorBidi" w:hAnsiTheme="majorBidi" w:cstheme="majorBidi"/>
          <w:sz w:val="24"/>
          <w:szCs w:val="24"/>
        </w:rPr>
        <w:t xml:space="preserve"> </w:t>
      </w:r>
      <w:r w:rsidR="005C14B2" w:rsidRPr="005C14B2">
        <w:rPr>
          <w:rFonts w:asciiTheme="majorBidi" w:hAnsiTheme="majorBidi" w:cstheme="majorBidi"/>
          <w:sz w:val="24"/>
          <w:szCs w:val="24"/>
        </w:rPr>
        <w:t>Two models were used for this task</w:t>
      </w:r>
      <w:r w:rsidR="005C14B2">
        <w:rPr>
          <w:rFonts w:asciiTheme="majorBidi" w:hAnsiTheme="majorBidi" w:cstheme="majorBidi"/>
          <w:sz w:val="24"/>
          <w:szCs w:val="24"/>
        </w:rPr>
        <w:t>,</w:t>
      </w:r>
      <w:r w:rsidR="005C14B2" w:rsidRPr="005C14B2">
        <w:rPr>
          <w:rFonts w:asciiTheme="majorBidi" w:hAnsiTheme="majorBidi" w:cstheme="majorBidi"/>
          <w:sz w:val="24"/>
          <w:szCs w:val="24"/>
        </w:rPr>
        <w:t xml:space="preserve"> a Linear Regression model, which served as a baseline for capturing general trends, and a Random Forest Regressor, selected for its ability to model nonlinear and complex interactions between features. Both models were trained using historical data from 2020 to 2022. Feature inputs included aggregated mobility scores from Google mobility reports, population density from geospatial datasets, and urban zone types </w:t>
      </w:r>
      <w:proofErr w:type="spellStart"/>
      <w:r w:rsidR="005C14B2" w:rsidRPr="005C14B2">
        <w:rPr>
          <w:rFonts w:asciiTheme="majorBidi" w:hAnsiTheme="majorBidi" w:cstheme="majorBidi"/>
          <w:sz w:val="24"/>
          <w:szCs w:val="24"/>
        </w:rPr>
        <w:t>labeled</w:t>
      </w:r>
      <w:proofErr w:type="spellEnd"/>
      <w:r w:rsidR="005C14B2" w:rsidRPr="005C14B2">
        <w:rPr>
          <w:rFonts w:asciiTheme="majorBidi" w:hAnsiTheme="majorBidi" w:cstheme="majorBidi"/>
          <w:sz w:val="24"/>
          <w:szCs w:val="24"/>
        </w:rPr>
        <w:t xml:space="preserve"> as industrial, residential, or mixed-use.</w:t>
      </w:r>
    </w:p>
    <w:p w14:paraId="0E23B3FD" w14:textId="417F1AEC" w:rsidR="00376DFA" w:rsidRPr="008C3260" w:rsidRDefault="005C14B2" w:rsidP="005C14B2">
      <w:pPr>
        <w:ind w:firstLine="720"/>
        <w:jc w:val="both"/>
        <w:rPr>
          <w:rFonts w:asciiTheme="majorBidi" w:hAnsiTheme="majorBidi" w:cstheme="majorBidi"/>
          <w:sz w:val="24"/>
          <w:szCs w:val="24"/>
        </w:rPr>
      </w:pPr>
      <w:r w:rsidRPr="005C14B2">
        <w:rPr>
          <w:rFonts w:asciiTheme="majorBidi" w:hAnsiTheme="majorBidi" w:cstheme="majorBidi"/>
          <w:sz w:val="24"/>
          <w:szCs w:val="24"/>
        </w:rPr>
        <w:t xml:space="preserve">Model performance was evaluated using the R² score (coefficient of determination). The Linear Regression model captured overall trends but struggled in areas with irregular pollution </w:t>
      </w:r>
      <w:proofErr w:type="spellStart"/>
      <w:r w:rsidRPr="005C14B2">
        <w:rPr>
          <w:rFonts w:asciiTheme="majorBidi" w:hAnsiTheme="majorBidi" w:cstheme="majorBidi"/>
          <w:sz w:val="24"/>
          <w:szCs w:val="24"/>
        </w:rPr>
        <w:t>behavior</w:t>
      </w:r>
      <w:proofErr w:type="spellEnd"/>
      <w:r w:rsidRPr="005C14B2">
        <w:rPr>
          <w:rFonts w:asciiTheme="majorBidi" w:hAnsiTheme="majorBidi" w:cstheme="majorBidi"/>
          <w:sz w:val="24"/>
          <w:szCs w:val="24"/>
        </w:rPr>
        <w:t>, likely due to its inability to model nonlinear effects. In contrast, the Random Forest model achieved R² scores above 0.7, demonstrating strong predictive accuracy and the capability to handle nonlinear relationships and variable interactions</w:t>
      </w:r>
      <w:r>
        <w:rPr>
          <w:rFonts w:asciiTheme="majorBidi" w:hAnsiTheme="majorBidi" w:cstheme="majorBidi"/>
          <w:sz w:val="24"/>
          <w:szCs w:val="24"/>
        </w:rPr>
        <w:t xml:space="preserve">, </w:t>
      </w:r>
      <w:r w:rsidRPr="005C14B2">
        <w:rPr>
          <w:rFonts w:asciiTheme="majorBidi" w:hAnsiTheme="majorBidi" w:cstheme="majorBidi"/>
          <w:sz w:val="24"/>
          <w:szCs w:val="24"/>
        </w:rPr>
        <w:t>especially important in urban environments influenced by both mobile and stationary emission sources.</w:t>
      </w:r>
      <w:r>
        <w:rPr>
          <w:rFonts w:asciiTheme="majorBidi" w:hAnsiTheme="majorBidi" w:cstheme="majorBidi"/>
          <w:sz w:val="24"/>
          <w:szCs w:val="24"/>
        </w:rPr>
        <w:t xml:space="preserve"> </w:t>
      </w:r>
      <w:r w:rsidRPr="005C14B2">
        <w:rPr>
          <w:rFonts w:asciiTheme="majorBidi" w:hAnsiTheme="majorBidi" w:cstheme="majorBidi"/>
          <w:sz w:val="24"/>
          <w:szCs w:val="24"/>
        </w:rPr>
        <w:t xml:space="preserve">In addition to spatial prediction, time-series forecasting was conducted using a linear trend model to project average mobility and NO₂ levels through 2025. The forecast, shown in </w:t>
      </w:r>
      <w:r w:rsidRPr="005C14B2">
        <w:rPr>
          <w:rFonts w:asciiTheme="majorBidi" w:hAnsiTheme="majorBidi" w:cstheme="majorBidi"/>
          <w:b/>
          <w:bCs/>
          <w:color w:val="FF0000"/>
          <w:sz w:val="24"/>
          <w:szCs w:val="24"/>
        </w:rPr>
        <w:t>Figure Z</w:t>
      </w:r>
      <w:r w:rsidRPr="005C14B2">
        <w:rPr>
          <w:rFonts w:asciiTheme="majorBidi" w:hAnsiTheme="majorBidi" w:cstheme="majorBidi"/>
          <w:sz w:val="24"/>
          <w:szCs w:val="24"/>
        </w:rPr>
        <w:t>, suggests that mobility will continue to rise post-pandemic, while NO₂ levels are expected to remain relatively stable if no significant interventions are made.</w:t>
      </w:r>
    </w:p>
    <w:p w14:paraId="22EC3DB5" w14:textId="129859D4" w:rsidR="00671FB3" w:rsidRDefault="00671FB3" w:rsidP="005C14B2">
      <w:pPr>
        <w:spacing w:after="0"/>
        <w:jc w:val="center"/>
        <w:rPr>
          <w:rFonts w:asciiTheme="majorBidi" w:hAnsiTheme="majorBidi" w:cstheme="majorBidi"/>
        </w:rPr>
      </w:pPr>
      <w:r>
        <w:rPr>
          <w:rFonts w:asciiTheme="majorBidi" w:hAnsiTheme="majorBidi" w:cstheme="majorBidi"/>
          <w:noProof/>
        </w:rPr>
        <w:drawing>
          <wp:inline distT="0" distB="0" distL="0" distR="0" wp14:anchorId="79BAD49B" wp14:editId="3576C89E">
            <wp:extent cx="4300169" cy="2667000"/>
            <wp:effectExtent l="0" t="0" r="5715" b="0"/>
            <wp:docPr id="484766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6037" name="Picture 484766037"/>
                    <pic:cNvPicPr/>
                  </pic:nvPicPr>
                  <pic:blipFill>
                    <a:blip r:embed="rId18">
                      <a:extLst>
                        <a:ext uri="{28A0092B-C50C-407E-A947-70E740481C1C}">
                          <a14:useLocalDpi xmlns:a14="http://schemas.microsoft.com/office/drawing/2010/main" val="0"/>
                        </a:ext>
                      </a:extLst>
                    </a:blip>
                    <a:stretch>
                      <a:fillRect/>
                    </a:stretch>
                  </pic:blipFill>
                  <pic:spPr>
                    <a:xfrm>
                      <a:off x="0" y="0"/>
                      <a:ext cx="4332564" cy="2687092"/>
                    </a:xfrm>
                    <a:prstGeom prst="rect">
                      <a:avLst/>
                    </a:prstGeom>
                  </pic:spPr>
                </pic:pic>
              </a:graphicData>
            </a:graphic>
          </wp:inline>
        </w:drawing>
      </w:r>
    </w:p>
    <w:p w14:paraId="3B2780CD" w14:textId="5607AF94" w:rsidR="00671FB3" w:rsidRPr="008C3260" w:rsidRDefault="00671FB3" w:rsidP="005C14B2">
      <w:pPr>
        <w:spacing w:after="0"/>
        <w:jc w:val="both"/>
        <w:rPr>
          <w:rFonts w:asciiTheme="majorBidi" w:hAnsiTheme="majorBidi" w:cstheme="majorBidi"/>
          <w:sz w:val="24"/>
          <w:szCs w:val="24"/>
        </w:rPr>
      </w:pPr>
      <w:r w:rsidRPr="008C3260">
        <w:rPr>
          <w:rFonts w:asciiTheme="majorBidi" w:hAnsiTheme="majorBidi" w:cstheme="majorBidi"/>
          <w:b/>
          <w:bCs/>
          <w:color w:val="FF0000"/>
          <w:sz w:val="24"/>
          <w:szCs w:val="24"/>
        </w:rPr>
        <w:t>Figure Z</w:t>
      </w:r>
      <w:r w:rsidRPr="008C3260">
        <w:rPr>
          <w:rFonts w:asciiTheme="majorBidi" w:hAnsiTheme="majorBidi" w:cstheme="majorBidi"/>
          <w:b/>
          <w:bCs/>
          <w:sz w:val="24"/>
          <w:szCs w:val="24"/>
        </w:rPr>
        <w:t>:</w:t>
      </w:r>
      <w:r w:rsidRPr="008C3260">
        <w:rPr>
          <w:rFonts w:asciiTheme="majorBidi" w:hAnsiTheme="majorBidi" w:cstheme="majorBidi"/>
          <w:sz w:val="24"/>
          <w:szCs w:val="24"/>
        </w:rPr>
        <w:t xml:space="preserve"> </w:t>
      </w:r>
      <w:r w:rsidR="005C14B2" w:rsidRPr="005C14B2">
        <w:rPr>
          <w:rFonts w:asciiTheme="majorBidi" w:hAnsiTheme="majorBidi" w:cstheme="majorBidi"/>
          <w:sz w:val="24"/>
          <w:szCs w:val="24"/>
        </w:rPr>
        <w:t>Linear-trend forecast of average UAE mobility and NO₂ levels from 2020 to 2025. Solid lines represent observed values (2020–2022), while dashed lines show projections (2023–2025). Mobility is expected to increase, whereas NO₂ levels remain flat under a linear assumption.</w:t>
      </w:r>
    </w:p>
    <w:p w14:paraId="70B9372B" w14:textId="77777777" w:rsidR="00466B57" w:rsidRPr="00376DFA" w:rsidRDefault="00466B57" w:rsidP="00010520">
      <w:pPr>
        <w:jc w:val="both"/>
        <w:rPr>
          <w:rFonts w:asciiTheme="majorBidi" w:hAnsiTheme="majorBidi" w:cstheme="majorBidi"/>
        </w:rPr>
      </w:pPr>
    </w:p>
    <w:p w14:paraId="0ABC9D6C" w14:textId="06128C28"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Feature Importance and Interpretability</w:t>
      </w:r>
      <w:r w:rsidR="005A1D0E">
        <w:rPr>
          <w:rFonts w:asciiTheme="majorBidi" w:hAnsiTheme="majorBidi"/>
          <w:color w:val="auto"/>
        </w:rPr>
        <w:t>:</w:t>
      </w:r>
    </w:p>
    <w:p w14:paraId="4820198D" w14:textId="2CCBA32E" w:rsidR="00E212B0" w:rsidRPr="00E212B0" w:rsidRDefault="005A1D0E" w:rsidP="00E212B0">
      <w:pPr>
        <w:jc w:val="both"/>
        <w:rPr>
          <w:rFonts w:asciiTheme="majorBidi" w:hAnsiTheme="majorBidi" w:cstheme="majorBidi"/>
          <w:sz w:val="24"/>
          <w:szCs w:val="24"/>
        </w:rPr>
      </w:pPr>
      <w:r w:rsidRPr="00E212B0">
        <w:rPr>
          <w:rFonts w:asciiTheme="majorBidi" w:hAnsiTheme="majorBidi" w:cstheme="majorBidi"/>
          <w:sz w:val="24"/>
          <w:szCs w:val="24"/>
        </w:rPr>
        <w:t xml:space="preserve">To </w:t>
      </w:r>
      <w:r w:rsidR="00E212B0" w:rsidRPr="00E212B0">
        <w:rPr>
          <w:rFonts w:asciiTheme="majorBidi" w:hAnsiTheme="majorBidi" w:cstheme="majorBidi"/>
          <w:sz w:val="24"/>
          <w:szCs w:val="24"/>
        </w:rPr>
        <w:t xml:space="preserve">better understand which variables influenced NO₂ predictions, a feature importance analysis was performed using the trained Gradient Boosting Regressor (GBR). This method helped identify which input features contributed most to the model’s performance across spatial zones. In the initial model, five features were used: </w:t>
      </w:r>
      <w:proofErr w:type="spellStart"/>
      <w:r w:rsidR="00E212B0" w:rsidRPr="00E212B0">
        <w:rPr>
          <w:rFonts w:asciiTheme="majorBidi" w:hAnsiTheme="majorBidi" w:cstheme="majorBidi"/>
          <w:sz w:val="24"/>
          <w:szCs w:val="24"/>
        </w:rPr>
        <w:t>mobility_score</w:t>
      </w:r>
      <w:proofErr w:type="spellEnd"/>
      <w:r w:rsidR="00E212B0" w:rsidRPr="00E212B0">
        <w:rPr>
          <w:rFonts w:asciiTheme="majorBidi" w:hAnsiTheme="majorBidi" w:cstheme="majorBidi"/>
          <w:sz w:val="24"/>
          <w:szCs w:val="24"/>
        </w:rPr>
        <w:t xml:space="preserve">, </w:t>
      </w:r>
      <w:proofErr w:type="spellStart"/>
      <w:r w:rsidR="00E212B0" w:rsidRPr="00E212B0">
        <w:rPr>
          <w:rFonts w:asciiTheme="majorBidi" w:hAnsiTheme="majorBidi" w:cstheme="majorBidi"/>
          <w:sz w:val="24"/>
          <w:szCs w:val="24"/>
        </w:rPr>
        <w:t>pop_density</w:t>
      </w:r>
      <w:proofErr w:type="spellEnd"/>
      <w:r w:rsidR="00E212B0" w:rsidRPr="00E212B0">
        <w:rPr>
          <w:rFonts w:asciiTheme="majorBidi" w:hAnsiTheme="majorBidi" w:cstheme="majorBidi"/>
          <w:sz w:val="24"/>
          <w:szCs w:val="24"/>
        </w:rPr>
        <w:t xml:space="preserve">, and their squared and interaction terms. As shown in </w:t>
      </w:r>
      <w:r w:rsidR="00E212B0" w:rsidRPr="00E212B0">
        <w:rPr>
          <w:rFonts w:asciiTheme="majorBidi" w:hAnsiTheme="majorBidi" w:cstheme="majorBidi"/>
          <w:b/>
          <w:bCs/>
          <w:color w:val="FF0000"/>
          <w:sz w:val="24"/>
          <w:szCs w:val="24"/>
        </w:rPr>
        <w:t>Figure P</w:t>
      </w:r>
      <w:r w:rsidR="00E212B0" w:rsidRPr="00E212B0">
        <w:rPr>
          <w:rFonts w:asciiTheme="majorBidi" w:hAnsiTheme="majorBidi" w:cstheme="majorBidi"/>
          <w:sz w:val="24"/>
          <w:szCs w:val="24"/>
        </w:rPr>
        <w:t>, population density alone accounted for over 80% of the predictive power. This dominance suggests that densely populated areas may retain more air pollutants due to reduced ventilation, infrastructure density, or lack of green spaces</w:t>
      </w:r>
      <w:r w:rsidR="00E212B0">
        <w:rPr>
          <w:rFonts w:asciiTheme="majorBidi" w:hAnsiTheme="majorBidi" w:cstheme="majorBidi"/>
          <w:sz w:val="24"/>
          <w:szCs w:val="24"/>
        </w:rPr>
        <w:t xml:space="preserve">, </w:t>
      </w:r>
      <w:r w:rsidR="00E212B0" w:rsidRPr="00E212B0">
        <w:rPr>
          <w:rFonts w:asciiTheme="majorBidi" w:hAnsiTheme="majorBidi" w:cstheme="majorBidi"/>
          <w:sz w:val="24"/>
          <w:szCs w:val="24"/>
        </w:rPr>
        <w:t>regardless of temporary changes in human mobility.</w:t>
      </w:r>
    </w:p>
    <w:p w14:paraId="63B4340E" w14:textId="128122CC" w:rsidR="005A1D0E" w:rsidRPr="005A1D0E" w:rsidRDefault="005A1D0E" w:rsidP="00E212B0">
      <w:pPr>
        <w:spacing w:after="0"/>
        <w:jc w:val="both"/>
        <w:rPr>
          <w:rFonts w:asciiTheme="majorBidi" w:hAnsiTheme="majorBidi" w:cstheme="majorBidi"/>
        </w:rPr>
      </w:pPr>
      <w:r>
        <w:rPr>
          <w:rFonts w:asciiTheme="majorBidi" w:hAnsiTheme="majorBidi" w:cstheme="majorBidi"/>
          <w:noProof/>
        </w:rPr>
        <w:drawing>
          <wp:inline distT="0" distB="0" distL="0" distR="0" wp14:anchorId="4D605BFC" wp14:editId="3E0CF5C1">
            <wp:extent cx="4619609" cy="2865120"/>
            <wp:effectExtent l="0" t="0" r="0" b="0"/>
            <wp:docPr id="1492684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84703" name="Picture 1492684703"/>
                    <pic:cNvPicPr/>
                  </pic:nvPicPr>
                  <pic:blipFill>
                    <a:blip r:embed="rId19">
                      <a:extLst>
                        <a:ext uri="{28A0092B-C50C-407E-A947-70E740481C1C}">
                          <a14:useLocalDpi xmlns:a14="http://schemas.microsoft.com/office/drawing/2010/main" val="0"/>
                        </a:ext>
                      </a:extLst>
                    </a:blip>
                    <a:stretch>
                      <a:fillRect/>
                    </a:stretch>
                  </pic:blipFill>
                  <pic:spPr>
                    <a:xfrm>
                      <a:off x="0" y="0"/>
                      <a:ext cx="4622669" cy="2867018"/>
                    </a:xfrm>
                    <a:prstGeom prst="rect">
                      <a:avLst/>
                    </a:prstGeom>
                  </pic:spPr>
                </pic:pic>
              </a:graphicData>
            </a:graphic>
          </wp:inline>
        </w:drawing>
      </w:r>
    </w:p>
    <w:p w14:paraId="4C7BC95F" w14:textId="2BE96449" w:rsidR="005A1D0E" w:rsidRDefault="005A1D0E" w:rsidP="00E212B0">
      <w:pPr>
        <w:spacing w:after="0"/>
        <w:jc w:val="both"/>
        <w:rPr>
          <w:rFonts w:asciiTheme="majorBidi" w:hAnsiTheme="majorBidi" w:cstheme="majorBidi"/>
        </w:rPr>
      </w:pPr>
      <w:r w:rsidRPr="005A1D0E">
        <w:rPr>
          <w:rFonts w:asciiTheme="majorBidi" w:hAnsiTheme="majorBidi" w:cstheme="majorBidi"/>
          <w:b/>
          <w:bCs/>
          <w:color w:val="FF0000"/>
        </w:rPr>
        <w:t>Figure P</w:t>
      </w:r>
      <w:r>
        <w:rPr>
          <w:rFonts w:asciiTheme="majorBidi" w:hAnsiTheme="majorBidi" w:cstheme="majorBidi"/>
          <w:b/>
          <w:bCs/>
        </w:rPr>
        <w:t>:</w:t>
      </w:r>
      <w:r w:rsidRPr="005A1D0E">
        <w:rPr>
          <w:rFonts w:asciiTheme="majorBidi" w:hAnsiTheme="majorBidi" w:cstheme="majorBidi"/>
        </w:rPr>
        <w:t xml:space="preserve"> </w:t>
      </w:r>
      <w:r w:rsidR="00E212B0" w:rsidRPr="00E212B0">
        <w:rPr>
          <w:rFonts w:asciiTheme="majorBidi" w:hAnsiTheme="majorBidi" w:cstheme="majorBidi"/>
        </w:rPr>
        <w:t xml:space="preserve">Feature importance from the initial Gradient Boosting model. </w:t>
      </w:r>
      <w:proofErr w:type="spellStart"/>
      <w:r w:rsidR="00E212B0" w:rsidRPr="00E212B0">
        <w:rPr>
          <w:rFonts w:asciiTheme="majorBidi" w:hAnsiTheme="majorBidi" w:cstheme="majorBidi"/>
        </w:rPr>
        <w:t>pop_density</w:t>
      </w:r>
      <w:proofErr w:type="spellEnd"/>
      <w:r w:rsidR="00E212B0" w:rsidRPr="00E212B0">
        <w:rPr>
          <w:rFonts w:asciiTheme="majorBidi" w:hAnsiTheme="majorBidi" w:cstheme="majorBidi"/>
        </w:rPr>
        <w:t xml:space="preserve"> was the dominant predictor of NO₂, while other variables had minor influence.</w:t>
      </w:r>
    </w:p>
    <w:p w14:paraId="5FAD6EEA" w14:textId="77777777" w:rsidR="00E212B0" w:rsidRDefault="00E212B0" w:rsidP="00E212B0">
      <w:pPr>
        <w:jc w:val="both"/>
        <w:rPr>
          <w:rFonts w:asciiTheme="majorBidi" w:hAnsiTheme="majorBidi" w:cstheme="majorBidi"/>
        </w:rPr>
      </w:pPr>
    </w:p>
    <w:p w14:paraId="7CC8FE0F" w14:textId="458195F5" w:rsidR="005A1D0E" w:rsidRPr="005A1D0E" w:rsidRDefault="00E212B0" w:rsidP="00E212B0">
      <w:pPr>
        <w:jc w:val="both"/>
        <w:rPr>
          <w:rFonts w:asciiTheme="majorBidi" w:hAnsiTheme="majorBidi" w:cstheme="majorBidi"/>
        </w:rPr>
      </w:pPr>
      <w:r w:rsidRPr="00E212B0">
        <w:rPr>
          <w:rFonts w:asciiTheme="majorBidi" w:hAnsiTheme="majorBidi" w:cstheme="majorBidi"/>
        </w:rPr>
        <w:t xml:space="preserve">To enhance generalizability and interpretability, a refined model was developed. This version included additional engineered features such as </w:t>
      </w:r>
      <w:r>
        <w:rPr>
          <w:rFonts w:asciiTheme="majorBidi" w:hAnsiTheme="majorBidi" w:cstheme="majorBidi"/>
        </w:rPr>
        <w:t>‘</w:t>
      </w:r>
      <w:proofErr w:type="spellStart"/>
      <w:r w:rsidRPr="00E212B0">
        <w:rPr>
          <w:rFonts w:asciiTheme="majorBidi" w:hAnsiTheme="majorBidi" w:cstheme="majorBidi"/>
        </w:rPr>
        <w:t>pop_density_log</w:t>
      </w:r>
      <w:proofErr w:type="spellEnd"/>
      <w:r>
        <w:rPr>
          <w:rFonts w:asciiTheme="majorBidi" w:hAnsiTheme="majorBidi" w:cstheme="majorBidi"/>
        </w:rPr>
        <w:t>’ in order t</w:t>
      </w:r>
      <w:r w:rsidRPr="00E212B0">
        <w:rPr>
          <w:rFonts w:asciiTheme="majorBidi" w:hAnsiTheme="majorBidi" w:cstheme="majorBidi"/>
        </w:rPr>
        <w:t xml:space="preserve">o correct for skew, </w:t>
      </w:r>
      <w:r>
        <w:rPr>
          <w:rFonts w:asciiTheme="majorBidi" w:hAnsiTheme="majorBidi" w:cstheme="majorBidi"/>
        </w:rPr>
        <w:t>‘</w:t>
      </w:r>
      <w:proofErr w:type="spellStart"/>
      <w:r w:rsidRPr="00E212B0">
        <w:rPr>
          <w:rFonts w:asciiTheme="majorBidi" w:hAnsiTheme="majorBidi" w:cstheme="majorBidi"/>
        </w:rPr>
        <w:t>mobility_abs</w:t>
      </w:r>
      <w:proofErr w:type="spellEnd"/>
      <w:r>
        <w:rPr>
          <w:rFonts w:asciiTheme="majorBidi" w:hAnsiTheme="majorBidi" w:cstheme="majorBidi"/>
        </w:rPr>
        <w:t>’</w:t>
      </w:r>
      <w:r w:rsidRPr="00E212B0">
        <w:rPr>
          <w:rFonts w:asciiTheme="majorBidi" w:hAnsiTheme="majorBidi" w:cstheme="majorBidi"/>
        </w:rPr>
        <w:t xml:space="preserve"> to remove directionality bias, and </w:t>
      </w:r>
      <w:r>
        <w:rPr>
          <w:rFonts w:asciiTheme="majorBidi" w:hAnsiTheme="majorBidi" w:cstheme="majorBidi"/>
        </w:rPr>
        <w:t>‘</w:t>
      </w:r>
      <w:proofErr w:type="spellStart"/>
      <w:r w:rsidRPr="00E212B0">
        <w:rPr>
          <w:rFonts w:asciiTheme="majorBidi" w:hAnsiTheme="majorBidi" w:cstheme="majorBidi"/>
        </w:rPr>
        <w:t>mobility_density_ratio</w:t>
      </w:r>
      <w:proofErr w:type="spellEnd"/>
      <w:r>
        <w:rPr>
          <w:rFonts w:asciiTheme="majorBidi" w:hAnsiTheme="majorBidi" w:cstheme="majorBidi"/>
        </w:rPr>
        <w:t>’</w:t>
      </w:r>
      <w:r w:rsidRPr="00E212B0">
        <w:rPr>
          <w:rFonts w:asciiTheme="majorBidi" w:hAnsiTheme="majorBidi" w:cstheme="majorBidi"/>
        </w:rPr>
        <w:t xml:space="preserve"> to capture per-capita activity. As illustrated in </w:t>
      </w:r>
      <w:r w:rsidRPr="00E212B0">
        <w:rPr>
          <w:rFonts w:asciiTheme="majorBidi" w:hAnsiTheme="majorBidi" w:cstheme="majorBidi"/>
          <w:b/>
          <w:bCs/>
          <w:color w:val="FF0000"/>
        </w:rPr>
        <w:t>Figure O</w:t>
      </w:r>
      <w:r w:rsidRPr="00E212B0">
        <w:rPr>
          <w:rFonts w:asciiTheme="majorBidi" w:hAnsiTheme="majorBidi" w:cstheme="majorBidi"/>
        </w:rPr>
        <w:t xml:space="preserve">, the updated model distributed importance more evenly across variables. While </w:t>
      </w:r>
      <w:r>
        <w:rPr>
          <w:rFonts w:asciiTheme="majorBidi" w:hAnsiTheme="majorBidi" w:cstheme="majorBidi"/>
        </w:rPr>
        <w:t>‘</w:t>
      </w:r>
      <w:proofErr w:type="spellStart"/>
      <w:r w:rsidRPr="00E212B0">
        <w:rPr>
          <w:rFonts w:asciiTheme="majorBidi" w:hAnsiTheme="majorBidi" w:cstheme="majorBidi"/>
        </w:rPr>
        <w:t>pop_density_log</w:t>
      </w:r>
      <w:proofErr w:type="spellEnd"/>
      <w:r>
        <w:rPr>
          <w:rFonts w:asciiTheme="majorBidi" w:hAnsiTheme="majorBidi" w:cstheme="majorBidi"/>
        </w:rPr>
        <w:t>’</w:t>
      </w:r>
      <w:r w:rsidRPr="00E212B0">
        <w:rPr>
          <w:rFonts w:asciiTheme="majorBidi" w:hAnsiTheme="majorBidi" w:cstheme="majorBidi"/>
        </w:rPr>
        <w:t xml:space="preserve"> and </w:t>
      </w:r>
      <w:r>
        <w:rPr>
          <w:rFonts w:asciiTheme="majorBidi" w:hAnsiTheme="majorBidi" w:cstheme="majorBidi"/>
        </w:rPr>
        <w:t>‘</w:t>
      </w:r>
      <w:proofErr w:type="spellStart"/>
      <w:r w:rsidRPr="00E212B0">
        <w:rPr>
          <w:rFonts w:asciiTheme="majorBidi" w:hAnsiTheme="majorBidi" w:cstheme="majorBidi"/>
        </w:rPr>
        <w:t>pop_density</w:t>
      </w:r>
      <w:proofErr w:type="spellEnd"/>
      <w:r>
        <w:rPr>
          <w:rFonts w:asciiTheme="majorBidi" w:hAnsiTheme="majorBidi" w:cstheme="majorBidi"/>
        </w:rPr>
        <w:t>’</w:t>
      </w:r>
      <w:r w:rsidRPr="00E212B0">
        <w:rPr>
          <w:rFonts w:asciiTheme="majorBidi" w:hAnsiTheme="majorBidi" w:cstheme="majorBidi"/>
        </w:rPr>
        <w:t xml:space="preserve"> remained strong predictors, new engineered features like </w:t>
      </w:r>
      <w:r>
        <w:rPr>
          <w:rFonts w:asciiTheme="majorBidi" w:hAnsiTheme="majorBidi" w:cstheme="majorBidi"/>
        </w:rPr>
        <w:t>‘</w:t>
      </w:r>
      <w:proofErr w:type="spellStart"/>
      <w:r w:rsidRPr="00E212B0">
        <w:rPr>
          <w:rFonts w:asciiTheme="majorBidi" w:hAnsiTheme="majorBidi" w:cstheme="majorBidi"/>
        </w:rPr>
        <w:t>mobility_density_ratio</w:t>
      </w:r>
      <w:proofErr w:type="spellEnd"/>
      <w:r>
        <w:rPr>
          <w:rFonts w:asciiTheme="majorBidi" w:hAnsiTheme="majorBidi" w:cstheme="majorBidi"/>
        </w:rPr>
        <w:t>’</w:t>
      </w:r>
      <w:r w:rsidRPr="00E212B0">
        <w:rPr>
          <w:rFonts w:asciiTheme="majorBidi" w:hAnsiTheme="majorBidi" w:cstheme="majorBidi"/>
        </w:rPr>
        <w:t xml:space="preserve"> gained significance. This shift indicates that more nuanced spatial and </w:t>
      </w:r>
      <w:proofErr w:type="spellStart"/>
      <w:r w:rsidRPr="00E212B0">
        <w:rPr>
          <w:rFonts w:asciiTheme="majorBidi" w:hAnsiTheme="majorBidi" w:cstheme="majorBidi"/>
        </w:rPr>
        <w:t>behavioral</w:t>
      </w:r>
      <w:proofErr w:type="spellEnd"/>
      <w:r w:rsidRPr="00E212B0">
        <w:rPr>
          <w:rFonts w:asciiTheme="majorBidi" w:hAnsiTheme="majorBidi" w:cstheme="majorBidi"/>
        </w:rPr>
        <w:t xml:space="preserve"> patterns</w:t>
      </w:r>
      <w:r>
        <w:rPr>
          <w:rFonts w:asciiTheme="majorBidi" w:hAnsiTheme="majorBidi" w:cstheme="majorBidi"/>
        </w:rPr>
        <w:t xml:space="preserve"> </w:t>
      </w:r>
      <w:r w:rsidRPr="00E212B0">
        <w:rPr>
          <w:rFonts w:asciiTheme="majorBidi" w:hAnsiTheme="majorBidi" w:cstheme="majorBidi"/>
        </w:rPr>
        <w:t>such as activity intensity relative to population</w:t>
      </w:r>
      <w:r>
        <w:rPr>
          <w:rFonts w:asciiTheme="majorBidi" w:hAnsiTheme="majorBidi" w:cstheme="majorBidi"/>
        </w:rPr>
        <w:t xml:space="preserve"> which </w:t>
      </w:r>
      <w:r w:rsidRPr="00E212B0">
        <w:rPr>
          <w:rFonts w:asciiTheme="majorBidi" w:hAnsiTheme="majorBidi" w:cstheme="majorBidi"/>
        </w:rPr>
        <w:t>can provide deeper insight into pollution dynamics.</w:t>
      </w:r>
      <w:r w:rsidR="005A1D0E" w:rsidRPr="005A1D0E">
        <w:rPr>
          <w:rFonts w:asciiTheme="majorBidi" w:hAnsiTheme="majorBidi" w:cstheme="majorBidi"/>
        </w:rPr>
        <w:t>.</w:t>
      </w:r>
    </w:p>
    <w:p w14:paraId="2BD16284" w14:textId="68DC8A38" w:rsidR="005A1D0E" w:rsidRPr="005A1D0E" w:rsidRDefault="005A1D0E" w:rsidP="00E212B0">
      <w:pPr>
        <w:spacing w:after="0"/>
        <w:jc w:val="center"/>
        <w:rPr>
          <w:rFonts w:asciiTheme="majorBidi" w:hAnsiTheme="majorBidi" w:cstheme="majorBidi"/>
        </w:rPr>
      </w:pPr>
      <w:r>
        <w:rPr>
          <w:rFonts w:asciiTheme="majorBidi" w:hAnsiTheme="majorBidi" w:cstheme="majorBidi"/>
          <w:noProof/>
        </w:rPr>
        <w:lastRenderedPageBreak/>
        <w:drawing>
          <wp:inline distT="0" distB="0" distL="0" distR="0" wp14:anchorId="6FAF6666" wp14:editId="7800FB95">
            <wp:extent cx="5731510" cy="3554730"/>
            <wp:effectExtent l="0" t="0" r="2540" b="7620"/>
            <wp:docPr id="30283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501" name="Picture 30283501"/>
                    <pic:cNvPicPr/>
                  </pic:nvPicPr>
                  <pic:blipFill>
                    <a:blip r:embed="rId20">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14:paraId="45C78ABF" w14:textId="1D195F78" w:rsidR="005A1D0E" w:rsidRDefault="005A1D0E" w:rsidP="00E212B0">
      <w:pPr>
        <w:spacing w:after="0"/>
        <w:jc w:val="both"/>
        <w:rPr>
          <w:rFonts w:asciiTheme="majorBidi" w:hAnsiTheme="majorBidi" w:cstheme="majorBidi"/>
        </w:rPr>
      </w:pPr>
      <w:r w:rsidRPr="005A1D0E">
        <w:rPr>
          <w:rFonts w:asciiTheme="majorBidi" w:hAnsiTheme="majorBidi" w:cstheme="majorBidi"/>
          <w:b/>
          <w:bCs/>
          <w:color w:val="FF0000"/>
        </w:rPr>
        <w:t>Figure O</w:t>
      </w:r>
      <w:r>
        <w:rPr>
          <w:rFonts w:asciiTheme="majorBidi" w:hAnsiTheme="majorBidi" w:cstheme="majorBidi"/>
          <w:b/>
          <w:bCs/>
        </w:rPr>
        <w:t>:</w:t>
      </w:r>
      <w:r w:rsidRPr="005A1D0E">
        <w:rPr>
          <w:rFonts w:asciiTheme="majorBidi" w:hAnsiTheme="majorBidi" w:cstheme="majorBidi"/>
        </w:rPr>
        <w:t xml:space="preserve"> Feature importance from the improved Gradient Boosting model. Log-transformed density and per-capita mobility enhanced interpretability and balance across features.</w:t>
      </w:r>
    </w:p>
    <w:p w14:paraId="23B9572C" w14:textId="77777777" w:rsidR="005A1D0E" w:rsidRPr="005A1D0E" w:rsidRDefault="005A1D0E" w:rsidP="00010520">
      <w:pPr>
        <w:jc w:val="both"/>
        <w:rPr>
          <w:rFonts w:asciiTheme="majorBidi" w:hAnsiTheme="majorBidi" w:cstheme="majorBidi"/>
        </w:rPr>
      </w:pPr>
    </w:p>
    <w:p w14:paraId="34B4F169" w14:textId="6641FE32" w:rsidR="00671FB3" w:rsidRPr="00E212B0" w:rsidRDefault="00E212B0" w:rsidP="00E212B0">
      <w:pPr>
        <w:jc w:val="both"/>
        <w:rPr>
          <w:rFonts w:asciiTheme="majorBidi" w:hAnsiTheme="majorBidi" w:cstheme="majorBidi"/>
        </w:rPr>
      </w:pPr>
      <w:r w:rsidRPr="00E212B0">
        <w:rPr>
          <w:rFonts w:asciiTheme="majorBidi" w:hAnsiTheme="majorBidi" w:cstheme="majorBidi"/>
        </w:rPr>
        <w:t>Despite strong test performance with an R² of 0.686 and a very low mean absolute error (MAE ≈ 2.5×10⁻⁵), the model’s 5-fold cross-validation R² was negative (–0.459). This discrepancy highlights a potential overfitting issue and reflects challenges such as the small dataset size, very low target values (near machine precision), and high variability across geohash zones. These findings suggest that while the model performs well on the training data, its generalizability remains limited unless trained on a more diverse or larger dataset.</w:t>
      </w:r>
    </w:p>
    <w:p w14:paraId="01999B8C" w14:textId="77777777" w:rsidR="00E212B0" w:rsidRPr="00376DFA" w:rsidRDefault="00E212B0" w:rsidP="00E212B0">
      <w:pPr>
        <w:jc w:val="both"/>
        <w:rPr>
          <w:rFonts w:asciiTheme="majorBidi" w:hAnsiTheme="majorBidi" w:cstheme="majorBidi"/>
        </w:rPr>
      </w:pPr>
    </w:p>
    <w:p w14:paraId="31EBC5D5" w14:textId="755D2958"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Implications for Urban Air Quality Management</w:t>
      </w:r>
      <w:r w:rsidR="005A1D0E">
        <w:rPr>
          <w:rFonts w:asciiTheme="majorBidi" w:hAnsiTheme="majorBidi"/>
          <w:color w:val="auto"/>
        </w:rPr>
        <w:t>:</w:t>
      </w:r>
    </w:p>
    <w:p w14:paraId="4E074F7B" w14:textId="5901FDBC" w:rsidR="00061770" w:rsidRDefault="00061770" w:rsidP="00671F71">
      <w:pPr>
        <w:jc w:val="both"/>
        <w:rPr>
          <w:rFonts w:asciiTheme="majorBidi" w:hAnsiTheme="majorBidi" w:cstheme="majorBidi"/>
        </w:rPr>
      </w:pPr>
      <w:r w:rsidRPr="00671F71">
        <w:rPr>
          <w:rFonts w:asciiTheme="majorBidi" w:hAnsiTheme="majorBidi" w:cstheme="majorBidi"/>
        </w:rPr>
        <w:t xml:space="preserve"> The </w:t>
      </w:r>
      <w:proofErr w:type="spellStart"/>
      <w:r w:rsidRPr="00671F71">
        <w:rPr>
          <w:rFonts w:asciiTheme="majorBidi" w:hAnsiTheme="majorBidi" w:cstheme="majorBidi"/>
        </w:rPr>
        <w:t>modeling</w:t>
      </w:r>
      <w:proofErr w:type="spellEnd"/>
      <w:r w:rsidRPr="00671F71">
        <w:rPr>
          <w:rFonts w:asciiTheme="majorBidi" w:hAnsiTheme="majorBidi" w:cstheme="majorBidi"/>
        </w:rPr>
        <w:t xml:space="preserve"> insights from Sections 4.3.1 and 4.3.2 offer actionable implications for environmental governance. Most notably, the feature importance analysis </w:t>
      </w:r>
      <w:r w:rsidR="00671F71">
        <w:rPr>
          <w:rFonts w:asciiTheme="majorBidi" w:hAnsiTheme="majorBidi" w:cstheme="majorBidi"/>
        </w:rPr>
        <w:t xml:space="preserve">previously </w:t>
      </w:r>
      <w:r w:rsidRPr="00671F71">
        <w:rPr>
          <w:rFonts w:asciiTheme="majorBidi" w:hAnsiTheme="majorBidi" w:cstheme="majorBidi"/>
        </w:rPr>
        <w:t>confirmed that population density is a dominant predictor of NO₂ concentrations, reinforcing the role of urban structure and land use in shaping pollution outcomes.</w:t>
      </w:r>
      <w:r w:rsidR="00671F71">
        <w:rPr>
          <w:rFonts w:asciiTheme="majorBidi" w:hAnsiTheme="majorBidi" w:cstheme="majorBidi"/>
        </w:rPr>
        <w:t xml:space="preserve"> </w:t>
      </w:r>
      <w:r w:rsidRPr="00671F71">
        <w:rPr>
          <w:rFonts w:asciiTheme="majorBidi" w:hAnsiTheme="majorBidi" w:cstheme="majorBidi"/>
        </w:rPr>
        <w:t xml:space="preserve">To further explore the relationship between mobility and pollution over time, a joint analysis of workplace activity and NO₂ concentrations from 2020 to 2022 was conducted. As shown in </w:t>
      </w:r>
      <w:r w:rsidRPr="00671F71">
        <w:rPr>
          <w:rFonts w:asciiTheme="majorBidi" w:hAnsiTheme="majorBidi" w:cstheme="majorBidi"/>
          <w:b/>
          <w:bCs/>
          <w:color w:val="FF0000"/>
        </w:rPr>
        <w:t xml:space="preserve">Figure </w:t>
      </w:r>
      <w:r w:rsidR="008E34F4">
        <w:rPr>
          <w:rFonts w:asciiTheme="majorBidi" w:hAnsiTheme="majorBidi" w:cstheme="majorBidi"/>
          <w:b/>
          <w:bCs/>
          <w:color w:val="FF0000"/>
        </w:rPr>
        <w:t>M</w:t>
      </w:r>
      <w:r w:rsidRPr="00671F71">
        <w:rPr>
          <w:rFonts w:asciiTheme="majorBidi" w:hAnsiTheme="majorBidi" w:cstheme="majorBidi"/>
        </w:rPr>
        <w:t>, seasonal trends indicate that sharp reductions in mobility</w:t>
      </w:r>
      <w:r w:rsidR="00671F71">
        <w:rPr>
          <w:rFonts w:asciiTheme="majorBidi" w:hAnsiTheme="majorBidi" w:cstheme="majorBidi"/>
        </w:rPr>
        <w:t>, specifically</w:t>
      </w:r>
      <w:r w:rsidRPr="00671F71">
        <w:rPr>
          <w:rFonts w:asciiTheme="majorBidi" w:hAnsiTheme="majorBidi" w:cstheme="majorBidi"/>
        </w:rPr>
        <w:t xml:space="preserve"> during early 2020</w:t>
      </w:r>
      <w:r w:rsidR="00671F71">
        <w:rPr>
          <w:rFonts w:asciiTheme="majorBidi" w:hAnsiTheme="majorBidi" w:cstheme="majorBidi"/>
        </w:rPr>
        <w:t xml:space="preserve">, </w:t>
      </w:r>
      <w:r w:rsidRPr="00671F71">
        <w:rPr>
          <w:rFonts w:asciiTheme="majorBidi" w:hAnsiTheme="majorBidi" w:cstheme="majorBidi"/>
        </w:rPr>
        <w:t xml:space="preserve">were often accompanied by dips in NO₂, highlighting the sensitivity of urban air quality to </w:t>
      </w:r>
      <w:proofErr w:type="spellStart"/>
      <w:r w:rsidRPr="00671F71">
        <w:rPr>
          <w:rFonts w:asciiTheme="majorBidi" w:hAnsiTheme="majorBidi" w:cstheme="majorBidi"/>
        </w:rPr>
        <w:t>behavioral</w:t>
      </w:r>
      <w:proofErr w:type="spellEnd"/>
      <w:r w:rsidRPr="00671F71">
        <w:rPr>
          <w:rFonts w:asciiTheme="majorBidi" w:hAnsiTheme="majorBidi" w:cstheme="majorBidi"/>
        </w:rPr>
        <w:t xml:space="preserve"> and policy-driven shifts in activity.</w:t>
      </w:r>
    </w:p>
    <w:p w14:paraId="438545F6" w14:textId="3E727B7B" w:rsidR="00061770" w:rsidRPr="00061770" w:rsidRDefault="00061770" w:rsidP="00010520">
      <w:pPr>
        <w:jc w:val="both"/>
        <w:rPr>
          <w:rFonts w:asciiTheme="majorBidi" w:hAnsiTheme="majorBidi" w:cstheme="majorBidi"/>
        </w:rPr>
      </w:pPr>
      <w:r>
        <w:rPr>
          <w:rFonts w:asciiTheme="majorBidi" w:hAnsiTheme="majorBidi" w:cstheme="majorBidi"/>
          <w:noProof/>
        </w:rPr>
        <w:lastRenderedPageBreak/>
        <w:drawing>
          <wp:inline distT="0" distB="0" distL="0" distR="0" wp14:anchorId="48F7EDA2" wp14:editId="502D4063">
            <wp:extent cx="5731510" cy="2839720"/>
            <wp:effectExtent l="0" t="0" r="2540" b="0"/>
            <wp:docPr id="1331973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376" name="Picture 133197376"/>
                    <pic:cNvPicPr/>
                  </pic:nvPicPr>
                  <pic:blipFill>
                    <a:blip r:embed="rId21">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0980FAED" w14:textId="5F8792C7" w:rsidR="00061770" w:rsidRDefault="00061770" w:rsidP="00010520">
      <w:pPr>
        <w:jc w:val="both"/>
        <w:rPr>
          <w:rFonts w:asciiTheme="majorBidi" w:hAnsiTheme="majorBidi" w:cstheme="majorBidi"/>
        </w:rPr>
      </w:pPr>
      <w:r w:rsidRPr="00061770">
        <w:rPr>
          <w:rFonts w:asciiTheme="majorBidi" w:hAnsiTheme="majorBidi" w:cstheme="majorBidi"/>
          <w:b/>
          <w:bCs/>
        </w:rPr>
        <w:t xml:space="preserve">Figure </w:t>
      </w:r>
      <w:r w:rsidR="008E34F4">
        <w:rPr>
          <w:rFonts w:asciiTheme="majorBidi" w:hAnsiTheme="majorBidi" w:cstheme="majorBidi"/>
          <w:b/>
          <w:bCs/>
        </w:rPr>
        <w:t>M</w:t>
      </w:r>
      <w:r>
        <w:rPr>
          <w:rFonts w:asciiTheme="majorBidi" w:hAnsiTheme="majorBidi" w:cstheme="majorBidi"/>
          <w:b/>
          <w:bCs/>
        </w:rPr>
        <w:t>:</w:t>
      </w:r>
      <w:r w:rsidRPr="00061770">
        <w:rPr>
          <w:rFonts w:asciiTheme="majorBidi" w:hAnsiTheme="majorBidi" w:cstheme="majorBidi"/>
        </w:rPr>
        <w:t xml:space="preserve"> Monthly averages of UAE workplace mobility vs. ground-level NO₂ concentration (2020–2022). While mobility dropped significantly during early COVID-19 periods, NO₂ levels followed similar seasonal dips, supporting traffic-pollution linkages.</w:t>
      </w:r>
    </w:p>
    <w:p w14:paraId="17E127FB" w14:textId="77777777" w:rsidR="00010520" w:rsidRDefault="00010520" w:rsidP="00010520">
      <w:pPr>
        <w:jc w:val="both"/>
        <w:rPr>
          <w:rFonts w:asciiTheme="majorBidi" w:hAnsiTheme="majorBidi" w:cstheme="majorBidi"/>
        </w:rPr>
      </w:pPr>
    </w:p>
    <w:p w14:paraId="34271663" w14:textId="33672AC9" w:rsidR="00061770" w:rsidRDefault="00061770" w:rsidP="00010520">
      <w:pPr>
        <w:jc w:val="both"/>
        <w:rPr>
          <w:rFonts w:asciiTheme="majorBidi" w:hAnsiTheme="majorBidi" w:cstheme="majorBidi"/>
        </w:rPr>
      </w:pPr>
      <w:r w:rsidRPr="00061770">
        <w:rPr>
          <w:rFonts w:asciiTheme="majorBidi" w:hAnsiTheme="majorBidi" w:cstheme="majorBidi"/>
        </w:rPr>
        <w:t xml:space="preserve">Looking forward, as shown in </w:t>
      </w:r>
      <w:r w:rsidRPr="00671F71">
        <w:rPr>
          <w:rFonts w:asciiTheme="majorBidi" w:hAnsiTheme="majorBidi" w:cstheme="majorBidi"/>
          <w:b/>
          <w:bCs/>
          <w:color w:val="FF0000"/>
        </w:rPr>
        <w:t>Figure F</w:t>
      </w:r>
      <w:r w:rsidRPr="00061770">
        <w:rPr>
          <w:rFonts w:asciiTheme="majorBidi" w:hAnsiTheme="majorBidi" w:cstheme="majorBidi"/>
        </w:rPr>
        <w:t xml:space="preserve">, Ericsson's urban mobility forecast through 2025 projects a continued rise in mobile device activity, indicative of broader growth in urban movement and energy use. In contrast, the spatial raster analysis for 2023–2025 suggests that pollution intensity may remain stagnant or increase in specific high-density corridors unless mitigated. </w:t>
      </w:r>
    </w:p>
    <w:p w14:paraId="06F3F32A" w14:textId="77777777" w:rsidR="00010520" w:rsidRPr="00061770" w:rsidRDefault="00010520" w:rsidP="00010520">
      <w:pPr>
        <w:jc w:val="both"/>
        <w:rPr>
          <w:rFonts w:asciiTheme="majorBidi" w:hAnsiTheme="majorBidi" w:cstheme="majorBidi"/>
        </w:rPr>
      </w:pPr>
    </w:p>
    <w:p w14:paraId="2F11FFF2" w14:textId="4288E241" w:rsidR="00061770" w:rsidRPr="00061770" w:rsidRDefault="00061770" w:rsidP="00671F71">
      <w:pPr>
        <w:spacing w:after="0"/>
        <w:jc w:val="both"/>
        <w:rPr>
          <w:rFonts w:asciiTheme="majorBidi" w:hAnsiTheme="majorBidi" w:cstheme="majorBidi"/>
        </w:rPr>
      </w:pPr>
      <w:r>
        <w:rPr>
          <w:rFonts w:asciiTheme="majorBidi" w:hAnsiTheme="majorBidi" w:cstheme="majorBidi"/>
          <w:noProof/>
        </w:rPr>
        <w:drawing>
          <wp:inline distT="0" distB="0" distL="0" distR="0" wp14:anchorId="185CBC3F" wp14:editId="525FFF89">
            <wp:extent cx="5731510" cy="2051685"/>
            <wp:effectExtent l="0" t="0" r="2540" b="5715"/>
            <wp:docPr id="16469517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51779" name="Picture 1646951779"/>
                    <pic:cNvPicPr/>
                  </pic:nvPicPr>
                  <pic:blipFill>
                    <a:blip r:embed="rId22">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14:paraId="5A92A7F5" w14:textId="76DF2C6B" w:rsidR="00061770" w:rsidRDefault="00061770" w:rsidP="00671F71">
      <w:pPr>
        <w:spacing w:after="0"/>
        <w:jc w:val="both"/>
        <w:rPr>
          <w:rFonts w:asciiTheme="majorBidi" w:hAnsiTheme="majorBidi" w:cstheme="majorBidi"/>
        </w:rPr>
      </w:pPr>
      <w:r w:rsidRPr="00671F71">
        <w:rPr>
          <w:rFonts w:asciiTheme="majorBidi" w:hAnsiTheme="majorBidi" w:cstheme="majorBidi"/>
          <w:b/>
          <w:bCs/>
          <w:color w:val="FF0000"/>
        </w:rPr>
        <w:t>Figure F:</w:t>
      </w:r>
      <w:r w:rsidRPr="00671F71">
        <w:rPr>
          <w:rFonts w:asciiTheme="majorBidi" w:hAnsiTheme="majorBidi" w:cstheme="majorBidi"/>
          <w:color w:val="FF0000"/>
        </w:rPr>
        <w:t xml:space="preserve"> </w:t>
      </w:r>
      <w:r w:rsidRPr="00061770">
        <w:rPr>
          <w:rFonts w:asciiTheme="majorBidi" w:hAnsiTheme="majorBidi" w:cstheme="majorBidi"/>
        </w:rPr>
        <w:t>Ericsson forecast of UAE mobility (EB/month) vs. projected pollution index (2023–2025). The right panel shows the composite pollution raster, where elevated NO₂/SO₂/Aerosol levels remain persistent in northern metro areas.</w:t>
      </w:r>
    </w:p>
    <w:p w14:paraId="210FDF53" w14:textId="77777777" w:rsidR="00010520" w:rsidRPr="00061770" w:rsidRDefault="00010520" w:rsidP="00010520">
      <w:pPr>
        <w:jc w:val="both"/>
        <w:rPr>
          <w:rFonts w:asciiTheme="majorBidi" w:hAnsiTheme="majorBidi" w:cstheme="majorBidi"/>
        </w:rPr>
      </w:pPr>
    </w:p>
    <w:p w14:paraId="3A6E7EF9" w14:textId="601CA9F0" w:rsidR="00061770" w:rsidRPr="00061770" w:rsidRDefault="00010520" w:rsidP="00010520">
      <w:pPr>
        <w:jc w:val="both"/>
        <w:rPr>
          <w:rFonts w:asciiTheme="majorBidi" w:hAnsiTheme="majorBidi" w:cstheme="majorBidi"/>
          <w:b/>
          <w:bCs/>
        </w:rPr>
      </w:pPr>
      <w:r w:rsidRPr="00010520">
        <w:rPr>
          <w:rFonts w:asciiTheme="majorBidi" w:hAnsiTheme="majorBidi" w:cstheme="majorBidi"/>
          <w:b/>
          <w:bCs/>
        </w:rPr>
        <w:t>Recommendations for Sustainable Urban Air Management</w:t>
      </w:r>
      <w:r w:rsidR="00061770" w:rsidRPr="00061770">
        <w:rPr>
          <w:rFonts w:asciiTheme="majorBidi" w:hAnsiTheme="majorBidi" w:cstheme="majorBidi"/>
          <w:b/>
          <w:bCs/>
        </w:rPr>
        <w:t>:</w:t>
      </w:r>
    </w:p>
    <w:p w14:paraId="462F477D" w14:textId="04B4E46D" w:rsidR="00671F71" w:rsidRPr="00671F71" w:rsidRDefault="00671F71" w:rsidP="00671F71">
      <w:pPr>
        <w:jc w:val="both"/>
        <w:rPr>
          <w:rFonts w:asciiTheme="majorBidi" w:hAnsiTheme="majorBidi" w:cstheme="majorBidi"/>
        </w:rPr>
      </w:pPr>
      <w:r w:rsidRPr="00671F71">
        <w:rPr>
          <w:rFonts w:asciiTheme="majorBidi" w:hAnsiTheme="majorBidi" w:cstheme="majorBidi"/>
        </w:rPr>
        <w:t>To address the varying pollution drivers across UAE urban zones, targeted interventions must be designed according to each zone's environmental–</w:t>
      </w:r>
      <w:proofErr w:type="spellStart"/>
      <w:r w:rsidRPr="00671F71">
        <w:rPr>
          <w:rFonts w:asciiTheme="majorBidi" w:hAnsiTheme="majorBidi" w:cstheme="majorBidi"/>
        </w:rPr>
        <w:t>behavioral</w:t>
      </w:r>
      <w:proofErr w:type="spellEnd"/>
      <w:r w:rsidRPr="00671F71">
        <w:rPr>
          <w:rFonts w:asciiTheme="majorBidi" w:hAnsiTheme="majorBidi" w:cstheme="majorBidi"/>
        </w:rPr>
        <w:t xml:space="preserve"> typology. Type C zones (characterized by high mobility and high pollution) should be prioritized for sustainable mobility solutions, including the implementation of green public transport systems, low-emission zones, and real-time air quality </w:t>
      </w:r>
      <w:r w:rsidRPr="00671F71">
        <w:rPr>
          <w:rFonts w:asciiTheme="majorBidi" w:hAnsiTheme="majorBidi" w:cstheme="majorBidi"/>
        </w:rPr>
        <w:lastRenderedPageBreak/>
        <w:t>monitoring. In contrast, Type B zones (low mobility but high pollution) require stricter industrial controls</w:t>
      </w:r>
      <w:r>
        <w:rPr>
          <w:rFonts w:asciiTheme="majorBidi" w:hAnsiTheme="majorBidi" w:cstheme="majorBidi"/>
        </w:rPr>
        <w:t xml:space="preserve">, </w:t>
      </w:r>
      <w:r w:rsidRPr="00671F71">
        <w:rPr>
          <w:rFonts w:asciiTheme="majorBidi" w:hAnsiTheme="majorBidi" w:cstheme="majorBidi"/>
        </w:rPr>
        <w:t>particularly around SO₂ emissions</w:t>
      </w:r>
      <w:r>
        <w:rPr>
          <w:rFonts w:asciiTheme="majorBidi" w:hAnsiTheme="majorBidi" w:cstheme="majorBidi"/>
        </w:rPr>
        <w:t xml:space="preserve">, </w:t>
      </w:r>
      <w:r w:rsidRPr="00671F71">
        <w:rPr>
          <w:rFonts w:asciiTheme="majorBidi" w:hAnsiTheme="majorBidi" w:cstheme="majorBidi"/>
        </w:rPr>
        <w:t>and should be included in cleaner energy transition initiatives.</w:t>
      </w:r>
      <w:r>
        <w:rPr>
          <w:rFonts w:asciiTheme="majorBidi" w:hAnsiTheme="majorBidi" w:cstheme="majorBidi"/>
        </w:rPr>
        <w:t xml:space="preserve"> </w:t>
      </w:r>
      <w:r w:rsidRPr="00671F71">
        <w:rPr>
          <w:rFonts w:asciiTheme="majorBidi" w:hAnsiTheme="majorBidi" w:cstheme="majorBidi"/>
        </w:rPr>
        <w:t>Urban planning strategies that promote densification must also integrate air quality safeguards to prevent the concentration of emissions in compact areas. Moreover, the continued use of satellite-integrated raster data is essential to support scalable and automated monitoring of pollutants across diverse geographies.</w:t>
      </w:r>
      <w:r>
        <w:rPr>
          <w:rFonts w:asciiTheme="majorBidi" w:hAnsiTheme="majorBidi" w:cstheme="majorBidi"/>
        </w:rPr>
        <w:t xml:space="preserve"> </w:t>
      </w:r>
      <w:r w:rsidRPr="00671F71">
        <w:rPr>
          <w:rFonts w:asciiTheme="majorBidi" w:hAnsiTheme="majorBidi" w:cstheme="majorBidi"/>
        </w:rPr>
        <w:t>Overall, these insights highlight the importance of adopting multimodal, data-driven environmental policies. Effective air quality management must move beyond traffic regulation alone, addressing both mobile sources such as vehicles and stationary sources like industry and power generation.</w:t>
      </w:r>
    </w:p>
    <w:p w14:paraId="7D27775F" w14:textId="77777777" w:rsidR="00061770" w:rsidRPr="00376DFA" w:rsidRDefault="00061770" w:rsidP="00010520">
      <w:pPr>
        <w:jc w:val="both"/>
        <w:rPr>
          <w:rFonts w:asciiTheme="majorBidi" w:hAnsiTheme="majorBidi" w:cstheme="majorBidi"/>
          <w:b/>
          <w:bCs/>
        </w:rPr>
      </w:pPr>
    </w:p>
    <w:p w14:paraId="327DCB42" w14:textId="55848A76" w:rsidR="00376DFA" w:rsidRPr="00376DFA" w:rsidRDefault="00376DFA" w:rsidP="00010520">
      <w:pPr>
        <w:pStyle w:val="Heading2"/>
        <w:numPr>
          <w:ilvl w:val="1"/>
          <w:numId w:val="15"/>
        </w:numPr>
        <w:jc w:val="both"/>
        <w:rPr>
          <w:rFonts w:asciiTheme="majorBidi" w:hAnsiTheme="majorBidi"/>
          <w:color w:val="auto"/>
        </w:rPr>
      </w:pPr>
      <w:r w:rsidRPr="00376DFA">
        <w:rPr>
          <w:rFonts w:asciiTheme="majorBidi" w:hAnsiTheme="majorBidi"/>
          <w:color w:val="auto"/>
        </w:rPr>
        <w:t>Forecasting Phase Outlook (2023–2025)</w:t>
      </w:r>
    </w:p>
    <w:p w14:paraId="1EEB7121" w14:textId="78F72640"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Forecasting Urban Mobility and Pollution</w:t>
      </w:r>
      <w:r w:rsidR="00010520">
        <w:rPr>
          <w:rFonts w:asciiTheme="majorBidi" w:hAnsiTheme="majorBidi"/>
          <w:color w:val="auto"/>
        </w:rPr>
        <w:t>:</w:t>
      </w:r>
    </w:p>
    <w:p w14:paraId="495FC3C6" w14:textId="1D447F79" w:rsidR="00376DFA" w:rsidRDefault="00ED0D56" w:rsidP="00671F71">
      <w:pPr>
        <w:jc w:val="both"/>
        <w:rPr>
          <w:rFonts w:asciiTheme="majorBidi" w:hAnsiTheme="majorBidi" w:cstheme="majorBidi"/>
        </w:rPr>
      </w:pPr>
      <w:r w:rsidRPr="00ED0D56">
        <w:rPr>
          <w:rFonts w:asciiTheme="majorBidi" w:hAnsiTheme="majorBidi" w:cstheme="majorBidi"/>
        </w:rPr>
        <w:t>To evaluate future pollution trends in light of projected mobility increases and urban growth, a forecasting analysis was conducted for the period 2023–2025 using spatially-resolved pollution raster data. This analysis builds upon the models and environmental baselines established in the 2020–2022 historical phase.</w:t>
      </w:r>
      <w:r w:rsidR="00671F71">
        <w:rPr>
          <w:rFonts w:asciiTheme="majorBidi" w:hAnsiTheme="majorBidi" w:cstheme="majorBidi"/>
        </w:rPr>
        <w:t xml:space="preserve"> </w:t>
      </w:r>
      <w:r w:rsidRPr="00ED0D56">
        <w:rPr>
          <w:rFonts w:asciiTheme="majorBidi" w:hAnsiTheme="majorBidi" w:cstheme="majorBidi"/>
          <w:b/>
          <w:bCs/>
          <w:color w:val="FF0000"/>
        </w:rPr>
        <w:t>Figure B</w:t>
      </w:r>
      <w:r w:rsidRPr="00ED0D56">
        <w:rPr>
          <w:rFonts w:asciiTheme="majorBidi" w:hAnsiTheme="majorBidi" w:cstheme="majorBidi"/>
        </w:rPr>
        <w:t xml:space="preserve"> presents the geospatial forecast of NO₂, SO₂, and aerosol index (AAI) concentrations across the UAE, based on satellite-derived emissions estimates and urban expansion models. The raster, extracted from UAE_NO2_SO2_Aerosol_Combined_2023_2025.tif, reveals continuity in pollution hotspots previously observed in Abu Dhabi, Dubai, and the Northern Emirates.</w:t>
      </w:r>
    </w:p>
    <w:p w14:paraId="62F7F13F" w14:textId="640EFF1F" w:rsidR="00ED0D56" w:rsidRDefault="00ED0D56" w:rsidP="00671F71">
      <w:pPr>
        <w:spacing w:after="0"/>
        <w:jc w:val="both"/>
        <w:rPr>
          <w:rFonts w:asciiTheme="majorBidi" w:hAnsiTheme="majorBidi" w:cstheme="majorBidi"/>
        </w:rPr>
      </w:pPr>
      <w:r>
        <w:rPr>
          <w:rFonts w:asciiTheme="majorBidi" w:hAnsiTheme="majorBidi" w:cstheme="majorBidi"/>
          <w:noProof/>
        </w:rPr>
        <w:drawing>
          <wp:inline distT="0" distB="0" distL="0" distR="0" wp14:anchorId="2E5E43D2" wp14:editId="20567325">
            <wp:extent cx="4691460" cy="3247292"/>
            <wp:effectExtent l="0" t="0" r="0" b="0"/>
            <wp:docPr id="828699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9783" name="Picture 828699783"/>
                    <pic:cNvPicPr/>
                  </pic:nvPicPr>
                  <pic:blipFill>
                    <a:blip r:embed="rId23">
                      <a:extLst>
                        <a:ext uri="{28A0092B-C50C-407E-A947-70E740481C1C}">
                          <a14:useLocalDpi xmlns:a14="http://schemas.microsoft.com/office/drawing/2010/main" val="0"/>
                        </a:ext>
                      </a:extLst>
                    </a:blip>
                    <a:stretch>
                      <a:fillRect/>
                    </a:stretch>
                  </pic:blipFill>
                  <pic:spPr>
                    <a:xfrm>
                      <a:off x="0" y="0"/>
                      <a:ext cx="4695298" cy="3249948"/>
                    </a:xfrm>
                    <a:prstGeom prst="rect">
                      <a:avLst/>
                    </a:prstGeom>
                  </pic:spPr>
                </pic:pic>
              </a:graphicData>
            </a:graphic>
          </wp:inline>
        </w:drawing>
      </w:r>
    </w:p>
    <w:p w14:paraId="2E3003A8" w14:textId="519D6434" w:rsidR="00ED0D56" w:rsidRDefault="00ED0D56" w:rsidP="00671F71">
      <w:pPr>
        <w:spacing w:after="0"/>
        <w:jc w:val="both"/>
        <w:rPr>
          <w:rFonts w:asciiTheme="majorBidi" w:hAnsiTheme="majorBidi" w:cstheme="majorBidi"/>
        </w:rPr>
      </w:pPr>
      <w:r w:rsidRPr="00ED0D56">
        <w:rPr>
          <w:rFonts w:asciiTheme="majorBidi" w:hAnsiTheme="majorBidi" w:cstheme="majorBidi"/>
          <w:b/>
          <w:bCs/>
          <w:color w:val="FF0000"/>
        </w:rPr>
        <w:t>Figure B</w:t>
      </w:r>
      <w:r>
        <w:rPr>
          <w:rFonts w:asciiTheme="majorBidi" w:hAnsiTheme="majorBidi" w:cstheme="majorBidi"/>
        </w:rPr>
        <w:t>:</w:t>
      </w:r>
      <w:r w:rsidRPr="00ED0D56">
        <w:rPr>
          <w:rFonts w:asciiTheme="majorBidi" w:hAnsiTheme="majorBidi" w:cstheme="majorBidi"/>
        </w:rPr>
        <w:t xml:space="preserve"> Projected NO₂, SO₂, and aerosol index distribution in the UAE (2023–2025). Intensified pollution is expected in coastal urban </w:t>
      </w:r>
      <w:proofErr w:type="spellStart"/>
      <w:r w:rsidRPr="00ED0D56">
        <w:rPr>
          <w:rFonts w:asciiTheme="majorBidi" w:hAnsiTheme="majorBidi" w:cstheme="majorBidi"/>
        </w:rPr>
        <w:t>centers</w:t>
      </w:r>
      <w:proofErr w:type="spellEnd"/>
      <w:r w:rsidRPr="00ED0D56">
        <w:rPr>
          <w:rFonts w:asciiTheme="majorBidi" w:hAnsiTheme="majorBidi" w:cstheme="majorBidi"/>
        </w:rPr>
        <w:t>, consistent with mobility and industrial growth forecasts.</w:t>
      </w:r>
    </w:p>
    <w:p w14:paraId="6642914A" w14:textId="77777777" w:rsidR="00671F71" w:rsidRDefault="00671F71" w:rsidP="00671F71">
      <w:pPr>
        <w:spacing w:after="0"/>
        <w:jc w:val="both"/>
        <w:rPr>
          <w:rFonts w:asciiTheme="majorBidi" w:hAnsiTheme="majorBidi" w:cstheme="majorBidi"/>
        </w:rPr>
      </w:pPr>
    </w:p>
    <w:p w14:paraId="230D02DE" w14:textId="77777777" w:rsidR="00671F71" w:rsidRDefault="00671F71" w:rsidP="00671F71">
      <w:pPr>
        <w:spacing w:after="0"/>
        <w:jc w:val="both"/>
        <w:rPr>
          <w:rFonts w:asciiTheme="majorBidi" w:hAnsiTheme="majorBidi" w:cstheme="majorBidi"/>
        </w:rPr>
      </w:pPr>
    </w:p>
    <w:p w14:paraId="55D6B272" w14:textId="66CFF997" w:rsidR="00671F71" w:rsidRPr="00671F71" w:rsidRDefault="00ED0D56" w:rsidP="00671F71">
      <w:pPr>
        <w:jc w:val="both"/>
        <w:rPr>
          <w:rFonts w:asciiTheme="majorBidi" w:hAnsiTheme="majorBidi" w:cstheme="majorBidi"/>
        </w:rPr>
      </w:pPr>
      <w:r w:rsidRPr="00671F71">
        <w:rPr>
          <w:rFonts w:asciiTheme="majorBidi" w:hAnsiTheme="majorBidi" w:cstheme="majorBidi"/>
        </w:rPr>
        <w:t xml:space="preserve">To </w:t>
      </w:r>
      <w:r w:rsidR="00671F71" w:rsidRPr="00671F71">
        <w:rPr>
          <w:rFonts w:asciiTheme="majorBidi" w:hAnsiTheme="majorBidi" w:cstheme="majorBidi"/>
        </w:rPr>
        <w:t>quantify future shifts in pollution intensity, a pixel-wise comparison was performed between raster outputs for the historical period (2020–2022) and the projected forecast period (2023–2025). The analysis revealed a mean absolute difference of 3.09 × 10⁻⁶ and a maximum pixel-level difference of 2.59 × 10⁻⁵, with a total of 80,422 pixels showing detectable change. While the average change in pollutant concentration appears modest, the geographic spread of these changes is significant</w:t>
      </w:r>
      <w:r w:rsidR="00671F71">
        <w:rPr>
          <w:rFonts w:asciiTheme="majorBidi" w:hAnsiTheme="majorBidi" w:cstheme="majorBidi"/>
        </w:rPr>
        <w:t xml:space="preserve">, </w:t>
      </w:r>
      <w:r w:rsidR="00671F71" w:rsidRPr="00671F71">
        <w:rPr>
          <w:rFonts w:asciiTheme="majorBidi" w:hAnsiTheme="majorBidi" w:cstheme="majorBidi"/>
        </w:rPr>
        <w:t xml:space="preserve">particularly in zones expected to experience increases in human mobility. This spatial pattern supports </w:t>
      </w:r>
      <w:r w:rsidR="00671F71" w:rsidRPr="00671F71">
        <w:rPr>
          <w:rFonts w:asciiTheme="majorBidi" w:hAnsiTheme="majorBidi" w:cstheme="majorBidi"/>
        </w:rPr>
        <w:lastRenderedPageBreak/>
        <w:t xml:space="preserve">the hypothesis that, in the absence of intervention, pollution burdens may accumulate incrementally across metropolitan areas, driven by </w:t>
      </w:r>
      <w:proofErr w:type="spellStart"/>
      <w:r w:rsidR="00671F71" w:rsidRPr="00671F71">
        <w:rPr>
          <w:rFonts w:asciiTheme="majorBidi" w:hAnsiTheme="majorBidi" w:cstheme="majorBidi"/>
        </w:rPr>
        <w:t>behavioral</w:t>
      </w:r>
      <w:proofErr w:type="spellEnd"/>
      <w:r w:rsidR="00671F71" w:rsidRPr="00671F71">
        <w:rPr>
          <w:rFonts w:asciiTheme="majorBidi" w:hAnsiTheme="majorBidi" w:cstheme="majorBidi"/>
        </w:rPr>
        <w:t xml:space="preserve"> recovery post-pandemic.</w:t>
      </w:r>
      <w:r w:rsidR="00671F71">
        <w:rPr>
          <w:rFonts w:asciiTheme="majorBidi" w:hAnsiTheme="majorBidi" w:cstheme="majorBidi"/>
        </w:rPr>
        <w:t xml:space="preserve"> </w:t>
      </w:r>
      <w:r w:rsidR="00671F71" w:rsidRPr="00671F71">
        <w:rPr>
          <w:rFonts w:asciiTheme="majorBidi" w:hAnsiTheme="majorBidi" w:cstheme="majorBidi"/>
        </w:rPr>
        <w:t>The forecasting methodology integrates multiple components: Ericsson mobility projections through 2025, historical NO₂ regression models developed in Section 4.3, and the zone clustering framework from Section 4.2. By combining these elements, the study offers a predictive approach for identifying and monitoring emerging environmental risks at a high spatial resolution. This allows planners and policymakers to proactively respond to pollution shifts before they become embedded in urban air baselines.</w:t>
      </w:r>
    </w:p>
    <w:p w14:paraId="0B4B198C" w14:textId="2888AF5C" w:rsidR="00ED0D56" w:rsidRPr="00376DFA" w:rsidRDefault="00ED0D56" w:rsidP="00671F71">
      <w:pPr>
        <w:jc w:val="both"/>
        <w:rPr>
          <w:rFonts w:asciiTheme="majorBidi" w:hAnsiTheme="majorBidi" w:cstheme="majorBidi"/>
        </w:rPr>
      </w:pPr>
    </w:p>
    <w:p w14:paraId="2E6A0EC4" w14:textId="3C8360CF"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Strategic Recommendations for Policy and Planning</w:t>
      </w:r>
      <w:r w:rsidR="00010520">
        <w:rPr>
          <w:rFonts w:asciiTheme="majorBidi" w:hAnsiTheme="majorBidi"/>
          <w:color w:val="auto"/>
        </w:rPr>
        <w:t>:</w:t>
      </w:r>
    </w:p>
    <w:p w14:paraId="0E62AE78" w14:textId="7500BDCE" w:rsidR="00C14340" w:rsidRDefault="00010520" w:rsidP="00E43731">
      <w:pPr>
        <w:ind w:firstLine="720"/>
        <w:jc w:val="both"/>
        <w:rPr>
          <w:rFonts w:asciiTheme="majorBidi" w:hAnsiTheme="majorBidi" w:cstheme="majorBidi"/>
        </w:rPr>
      </w:pPr>
      <w:r w:rsidRPr="00E43731">
        <w:rPr>
          <w:rFonts w:asciiTheme="majorBidi" w:hAnsiTheme="majorBidi" w:cstheme="majorBidi"/>
        </w:rPr>
        <w:t xml:space="preserve">The </w:t>
      </w:r>
      <w:r w:rsidR="00E43731" w:rsidRPr="00E43731">
        <w:rPr>
          <w:rFonts w:asciiTheme="majorBidi" w:hAnsiTheme="majorBidi" w:cstheme="majorBidi"/>
        </w:rPr>
        <w:t>forecasts for pollution and mobility from 2023 to 2025 give important guidance for city planners and decision-makers. By combining future mobility trends with detailed pollution maps, the study helps identify specific urban zones that are at high risk and where actions can make the biggest difference. Many of these zones match the earlier-defined Type B (low mobility, high pollution) and Type C (high mobility, high pollution) areas, making them top priorities for future air quality efforts. Several actions are recommended. First, switching public transport to electric vehicles in busy areas can reduce harmful emissions like NO₂ and support climate goals. Second, creating green corridors</w:t>
      </w:r>
      <w:r w:rsidR="00E43731">
        <w:rPr>
          <w:rFonts w:asciiTheme="majorBidi" w:hAnsiTheme="majorBidi" w:cstheme="majorBidi"/>
        </w:rPr>
        <w:t xml:space="preserve"> such as </w:t>
      </w:r>
      <w:r w:rsidR="00E43731" w:rsidRPr="00E43731">
        <w:rPr>
          <w:rFonts w:asciiTheme="majorBidi" w:hAnsiTheme="majorBidi" w:cstheme="majorBidi"/>
        </w:rPr>
        <w:t>adding trees and plants along roads</w:t>
      </w:r>
      <w:r w:rsidR="00E43731">
        <w:rPr>
          <w:rFonts w:asciiTheme="majorBidi" w:hAnsiTheme="majorBidi" w:cstheme="majorBidi"/>
        </w:rPr>
        <w:t xml:space="preserve">, </w:t>
      </w:r>
      <w:r w:rsidR="00E43731" w:rsidRPr="00E43731">
        <w:rPr>
          <w:rFonts w:asciiTheme="majorBidi" w:hAnsiTheme="majorBidi" w:cstheme="majorBidi"/>
        </w:rPr>
        <w:t xml:space="preserve">can help clean the air, cool down cities, and make walking safer and more pleasant. Third, there should be more air quality monitors on the ground, especially in areas that are growing quickly or where pollution levels are uncertain. These ground sensors should work together with satellite tools to provide detailed and timely pollution data. As shown in </w:t>
      </w:r>
      <w:r w:rsidR="00E43731" w:rsidRPr="00E43731">
        <w:rPr>
          <w:rFonts w:asciiTheme="majorBidi" w:hAnsiTheme="majorBidi" w:cstheme="majorBidi"/>
          <w:color w:val="FF0000"/>
        </w:rPr>
        <w:t>Figure B</w:t>
      </w:r>
      <w:r w:rsidR="00E43731" w:rsidRPr="00E43731">
        <w:rPr>
          <w:rFonts w:asciiTheme="majorBidi" w:hAnsiTheme="majorBidi" w:cstheme="majorBidi"/>
        </w:rPr>
        <w:t>, some parts of cities are expected to see worse air quality over time. If no action is taken, these places could move from being moderately polluted to having serious long-term problems.</w:t>
      </w:r>
      <w:r w:rsidR="00E43731">
        <w:rPr>
          <w:rFonts w:asciiTheme="majorBidi" w:hAnsiTheme="majorBidi" w:cstheme="majorBidi"/>
        </w:rPr>
        <w:t xml:space="preserve"> </w:t>
      </w:r>
      <w:r w:rsidR="00E43731" w:rsidRPr="00E43731">
        <w:rPr>
          <w:rFonts w:asciiTheme="majorBidi" w:hAnsiTheme="majorBidi" w:cstheme="majorBidi"/>
        </w:rPr>
        <w:t>Looking ahead, cities could use real-time data and satellite maps to adjust environmental zones as conditions change. Also, better coordination between different government sectors</w:t>
      </w:r>
      <w:r w:rsidR="00E43731">
        <w:rPr>
          <w:rFonts w:asciiTheme="majorBidi" w:hAnsiTheme="majorBidi" w:cstheme="majorBidi"/>
        </w:rPr>
        <w:t xml:space="preserve"> </w:t>
      </w:r>
      <w:r w:rsidR="00E43731" w:rsidRPr="00E43731">
        <w:rPr>
          <w:rFonts w:asciiTheme="majorBidi" w:hAnsiTheme="majorBidi" w:cstheme="majorBidi"/>
        </w:rPr>
        <w:t>such as transportation, energy, and environment</w:t>
      </w:r>
      <w:r w:rsidR="00E43731">
        <w:rPr>
          <w:rFonts w:asciiTheme="majorBidi" w:hAnsiTheme="majorBidi" w:cstheme="majorBidi"/>
        </w:rPr>
        <w:t xml:space="preserve">, </w:t>
      </w:r>
      <w:r w:rsidR="00E43731" w:rsidRPr="00E43731">
        <w:rPr>
          <w:rFonts w:asciiTheme="majorBidi" w:hAnsiTheme="majorBidi" w:cstheme="majorBidi"/>
        </w:rPr>
        <w:t>is needed to avoid policies that conflict with each other. Finally, using digital twin models (virtual simulations of cities) could help test how new buildings or roads might affect air quality before they’re even built. These steps would shift cities from reacting to pollution after it happens to planning ahead using smart, data-based solutions, which is especially important for fast-growing countries like the UAE.</w:t>
      </w:r>
      <w:r w:rsidR="00C14340">
        <w:rPr>
          <w:rFonts w:asciiTheme="majorBidi" w:hAnsiTheme="majorBidi" w:cstheme="majorBidi"/>
        </w:rPr>
        <w:br w:type="page"/>
      </w:r>
    </w:p>
    <w:p w14:paraId="0D5019DE" w14:textId="43C744F5" w:rsidR="006068D4" w:rsidRDefault="00C14340" w:rsidP="00C14340">
      <w:pPr>
        <w:jc w:val="center"/>
        <w:rPr>
          <w:rFonts w:asciiTheme="majorBidi" w:hAnsiTheme="majorBidi" w:cstheme="majorBidi"/>
          <w:sz w:val="32"/>
          <w:szCs w:val="32"/>
        </w:rPr>
      </w:pPr>
      <w:r w:rsidRPr="00C14340">
        <w:rPr>
          <w:rFonts w:asciiTheme="majorBidi" w:hAnsiTheme="majorBidi" w:cstheme="majorBidi"/>
          <w:sz w:val="32"/>
          <w:szCs w:val="32"/>
        </w:rPr>
        <w:lastRenderedPageBreak/>
        <w:t>References</w:t>
      </w:r>
    </w:p>
    <w:p w14:paraId="1150CBC5" w14:textId="77777777" w:rsidR="00C14340" w:rsidRPr="00C14340" w:rsidRDefault="00C14340" w:rsidP="00C14340">
      <w:pPr>
        <w:jc w:val="center"/>
        <w:rPr>
          <w:rFonts w:asciiTheme="majorBidi" w:hAnsiTheme="majorBidi" w:cstheme="majorBidi"/>
          <w:sz w:val="32"/>
          <w:szCs w:val="32"/>
        </w:rPr>
      </w:pPr>
    </w:p>
    <w:p w14:paraId="3CBEB0C6" w14:textId="2B4BB06B" w:rsidR="00C14340" w:rsidRDefault="00C14340" w:rsidP="00C14340">
      <w:pPr>
        <w:jc w:val="both"/>
        <w:rPr>
          <w:rFonts w:asciiTheme="majorBidi" w:hAnsiTheme="majorBidi" w:cstheme="majorBidi"/>
        </w:rPr>
      </w:pPr>
      <w:r w:rsidRPr="00C14340">
        <w:rPr>
          <w:rFonts w:asciiTheme="majorBidi" w:hAnsiTheme="majorBidi" w:cstheme="majorBidi"/>
        </w:rPr>
        <w:t>[1</w:t>
      </w:r>
      <w:r w:rsidR="00C8273C">
        <w:rPr>
          <w:rFonts w:asciiTheme="majorBidi" w:hAnsiTheme="majorBidi" w:cstheme="majorBidi"/>
        </w:rPr>
        <w:t>4</w:t>
      </w:r>
      <w:r w:rsidRPr="00C14340">
        <w:rPr>
          <w:rFonts w:asciiTheme="majorBidi" w:hAnsiTheme="majorBidi" w:cstheme="majorBidi"/>
        </w:rPr>
        <w:t xml:space="preserve">] World Health Organization, “Air Quality Guidelines: Global Update 2005,” WHO Regional Office for Europe, </w:t>
      </w:r>
      <w:hyperlink r:id="rId24" w:tgtFrame="_new" w:history="1">
        <w:r w:rsidRPr="00C14340">
          <w:rPr>
            <w:rStyle w:val="Hyperlink"/>
            <w:rFonts w:asciiTheme="majorBidi" w:hAnsiTheme="majorBidi" w:cstheme="majorBidi"/>
          </w:rPr>
          <w:t>https://www.who.int/publications/i/item/WHO-SDE-PHE-OEH-06.02</w:t>
        </w:r>
      </w:hyperlink>
      <w:r w:rsidRPr="00C14340">
        <w:rPr>
          <w:rFonts w:asciiTheme="majorBidi" w:hAnsiTheme="majorBidi" w:cstheme="majorBidi"/>
        </w:rPr>
        <w:t xml:space="preserve"> (accessed Apr. 30, 2025).</w:t>
      </w:r>
    </w:p>
    <w:p w14:paraId="65EC7E85" w14:textId="77777777" w:rsidR="00C14340" w:rsidRPr="00376DFA" w:rsidRDefault="00C14340" w:rsidP="00896659">
      <w:pPr>
        <w:jc w:val="both"/>
        <w:rPr>
          <w:rFonts w:asciiTheme="majorBidi" w:hAnsiTheme="majorBidi" w:cstheme="majorBidi"/>
        </w:rPr>
      </w:pPr>
    </w:p>
    <w:sectPr w:rsidR="00C14340" w:rsidRPr="00376D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8597EA" w14:textId="77777777" w:rsidR="00AA2C59" w:rsidRDefault="00AA2C59" w:rsidP="00127A94">
      <w:pPr>
        <w:spacing w:after="0" w:line="240" w:lineRule="auto"/>
      </w:pPr>
      <w:r>
        <w:separator/>
      </w:r>
    </w:p>
  </w:endnote>
  <w:endnote w:type="continuationSeparator" w:id="0">
    <w:p w14:paraId="662C2FFB" w14:textId="77777777" w:rsidR="00AA2C59" w:rsidRDefault="00AA2C59" w:rsidP="00127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537D8E" w14:textId="77777777" w:rsidR="00AA2C59" w:rsidRDefault="00AA2C59" w:rsidP="00127A94">
      <w:pPr>
        <w:spacing w:after="0" w:line="240" w:lineRule="auto"/>
      </w:pPr>
      <w:r>
        <w:separator/>
      </w:r>
    </w:p>
  </w:footnote>
  <w:footnote w:type="continuationSeparator" w:id="0">
    <w:p w14:paraId="2A6E20C1" w14:textId="77777777" w:rsidR="00AA2C59" w:rsidRDefault="00AA2C59" w:rsidP="00127A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7A10"/>
    <w:multiLevelType w:val="multilevel"/>
    <w:tmpl w:val="3B5E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76D92"/>
    <w:multiLevelType w:val="multilevel"/>
    <w:tmpl w:val="AA52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A54A9"/>
    <w:multiLevelType w:val="multilevel"/>
    <w:tmpl w:val="2C64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15B0C"/>
    <w:multiLevelType w:val="multilevel"/>
    <w:tmpl w:val="2AE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13814"/>
    <w:multiLevelType w:val="multilevel"/>
    <w:tmpl w:val="1DB6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32BE3"/>
    <w:multiLevelType w:val="multilevel"/>
    <w:tmpl w:val="C61CD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74602"/>
    <w:multiLevelType w:val="hybridMultilevel"/>
    <w:tmpl w:val="7B9C84EA"/>
    <w:lvl w:ilvl="0" w:tplc="FFFFFFFF">
      <w:start w:val="1"/>
      <w:numFmt w:val="upperLetter"/>
      <w:lvlText w:val="%1."/>
      <w:lvlJc w:val="left"/>
      <w:pPr>
        <w:ind w:left="720" w:hanging="360"/>
      </w:pPr>
    </w:lvl>
    <w:lvl w:ilvl="1" w:tplc="4C090015">
      <w:start w:val="1"/>
      <w:numFmt w:val="upp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4D3E55"/>
    <w:multiLevelType w:val="hybridMultilevel"/>
    <w:tmpl w:val="14A8DDFA"/>
    <w:lvl w:ilvl="0" w:tplc="4C09000F">
      <w:start w:val="1"/>
      <w:numFmt w:val="decimal"/>
      <w:lvlText w:val="%1."/>
      <w:lvlJc w:val="left"/>
      <w:pPr>
        <w:ind w:left="720" w:hanging="360"/>
      </w:pPr>
    </w:lvl>
    <w:lvl w:ilvl="1" w:tplc="F2902004">
      <w:start w:val="1"/>
      <w:numFmt w:val="upperLetter"/>
      <w:lvlText w:val="%2."/>
      <w:lvlJc w:val="left"/>
      <w:pPr>
        <w:ind w:left="1440" w:hanging="360"/>
      </w:pPr>
      <w:rPr>
        <w:rFonts w:hint="default"/>
      </w:r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19E73DF"/>
    <w:multiLevelType w:val="multilevel"/>
    <w:tmpl w:val="F066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11754"/>
    <w:multiLevelType w:val="multilevel"/>
    <w:tmpl w:val="66FC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1287B"/>
    <w:multiLevelType w:val="hybridMultilevel"/>
    <w:tmpl w:val="475E5AD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1" w15:restartNumberingAfterBreak="0">
    <w:nsid w:val="23052FFC"/>
    <w:multiLevelType w:val="multilevel"/>
    <w:tmpl w:val="4B7A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F787B"/>
    <w:multiLevelType w:val="multilevel"/>
    <w:tmpl w:val="9A54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9178B"/>
    <w:multiLevelType w:val="multilevel"/>
    <w:tmpl w:val="E75C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C1657"/>
    <w:multiLevelType w:val="multilevel"/>
    <w:tmpl w:val="67C66DC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E309B"/>
    <w:multiLevelType w:val="multilevel"/>
    <w:tmpl w:val="D322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E36190"/>
    <w:multiLevelType w:val="multilevel"/>
    <w:tmpl w:val="4E822C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3416F57"/>
    <w:multiLevelType w:val="multilevel"/>
    <w:tmpl w:val="3FC26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C11480"/>
    <w:multiLevelType w:val="hybridMultilevel"/>
    <w:tmpl w:val="3546447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9" w15:restartNumberingAfterBreak="0">
    <w:nsid w:val="37852AA4"/>
    <w:multiLevelType w:val="multilevel"/>
    <w:tmpl w:val="2D98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AE344E"/>
    <w:multiLevelType w:val="hybridMultilevel"/>
    <w:tmpl w:val="921CCA94"/>
    <w:lvl w:ilvl="0" w:tplc="4C090015">
      <w:start w:val="1"/>
      <w:numFmt w:val="upperLetter"/>
      <w:lvlText w:val="%1."/>
      <w:lvlJc w:val="left"/>
      <w:pPr>
        <w:ind w:left="720" w:hanging="360"/>
      </w:pPr>
    </w:lvl>
    <w:lvl w:ilvl="1" w:tplc="4C090019">
      <w:start w:val="1"/>
      <w:numFmt w:val="lowerLetter"/>
      <w:lvlText w:val="%2."/>
      <w:lvlJc w:val="left"/>
      <w:pPr>
        <w:ind w:left="1069"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1" w15:restartNumberingAfterBreak="0">
    <w:nsid w:val="3B4B5FDF"/>
    <w:multiLevelType w:val="hybridMultilevel"/>
    <w:tmpl w:val="6E2018D8"/>
    <w:lvl w:ilvl="0" w:tplc="4C090001">
      <w:start w:val="1"/>
      <w:numFmt w:val="bullet"/>
      <w:lvlText w:val=""/>
      <w:lvlJc w:val="left"/>
      <w:pPr>
        <w:ind w:left="785" w:hanging="360"/>
      </w:pPr>
      <w:rPr>
        <w:rFonts w:ascii="Symbol" w:hAnsi="Symbol" w:hint="default"/>
      </w:rPr>
    </w:lvl>
    <w:lvl w:ilvl="1" w:tplc="4C090003" w:tentative="1">
      <w:start w:val="1"/>
      <w:numFmt w:val="bullet"/>
      <w:lvlText w:val="o"/>
      <w:lvlJc w:val="left"/>
      <w:pPr>
        <w:ind w:left="1505" w:hanging="360"/>
      </w:pPr>
      <w:rPr>
        <w:rFonts w:ascii="Courier New" w:hAnsi="Courier New" w:cs="Courier New" w:hint="default"/>
      </w:rPr>
    </w:lvl>
    <w:lvl w:ilvl="2" w:tplc="4C090005" w:tentative="1">
      <w:start w:val="1"/>
      <w:numFmt w:val="bullet"/>
      <w:lvlText w:val=""/>
      <w:lvlJc w:val="left"/>
      <w:pPr>
        <w:ind w:left="2225" w:hanging="360"/>
      </w:pPr>
      <w:rPr>
        <w:rFonts w:ascii="Wingdings" w:hAnsi="Wingdings" w:hint="default"/>
      </w:rPr>
    </w:lvl>
    <w:lvl w:ilvl="3" w:tplc="4C090001" w:tentative="1">
      <w:start w:val="1"/>
      <w:numFmt w:val="bullet"/>
      <w:lvlText w:val=""/>
      <w:lvlJc w:val="left"/>
      <w:pPr>
        <w:ind w:left="2945" w:hanging="360"/>
      </w:pPr>
      <w:rPr>
        <w:rFonts w:ascii="Symbol" w:hAnsi="Symbol" w:hint="default"/>
      </w:rPr>
    </w:lvl>
    <w:lvl w:ilvl="4" w:tplc="4C090003" w:tentative="1">
      <w:start w:val="1"/>
      <w:numFmt w:val="bullet"/>
      <w:lvlText w:val="o"/>
      <w:lvlJc w:val="left"/>
      <w:pPr>
        <w:ind w:left="3665" w:hanging="360"/>
      </w:pPr>
      <w:rPr>
        <w:rFonts w:ascii="Courier New" w:hAnsi="Courier New" w:cs="Courier New" w:hint="default"/>
      </w:rPr>
    </w:lvl>
    <w:lvl w:ilvl="5" w:tplc="4C090005" w:tentative="1">
      <w:start w:val="1"/>
      <w:numFmt w:val="bullet"/>
      <w:lvlText w:val=""/>
      <w:lvlJc w:val="left"/>
      <w:pPr>
        <w:ind w:left="4385" w:hanging="360"/>
      </w:pPr>
      <w:rPr>
        <w:rFonts w:ascii="Wingdings" w:hAnsi="Wingdings" w:hint="default"/>
      </w:rPr>
    </w:lvl>
    <w:lvl w:ilvl="6" w:tplc="4C090001" w:tentative="1">
      <w:start w:val="1"/>
      <w:numFmt w:val="bullet"/>
      <w:lvlText w:val=""/>
      <w:lvlJc w:val="left"/>
      <w:pPr>
        <w:ind w:left="5105" w:hanging="360"/>
      </w:pPr>
      <w:rPr>
        <w:rFonts w:ascii="Symbol" w:hAnsi="Symbol" w:hint="default"/>
      </w:rPr>
    </w:lvl>
    <w:lvl w:ilvl="7" w:tplc="4C090003" w:tentative="1">
      <w:start w:val="1"/>
      <w:numFmt w:val="bullet"/>
      <w:lvlText w:val="o"/>
      <w:lvlJc w:val="left"/>
      <w:pPr>
        <w:ind w:left="5825" w:hanging="360"/>
      </w:pPr>
      <w:rPr>
        <w:rFonts w:ascii="Courier New" w:hAnsi="Courier New" w:cs="Courier New" w:hint="default"/>
      </w:rPr>
    </w:lvl>
    <w:lvl w:ilvl="8" w:tplc="4C090005" w:tentative="1">
      <w:start w:val="1"/>
      <w:numFmt w:val="bullet"/>
      <w:lvlText w:val=""/>
      <w:lvlJc w:val="left"/>
      <w:pPr>
        <w:ind w:left="6545" w:hanging="360"/>
      </w:pPr>
      <w:rPr>
        <w:rFonts w:ascii="Wingdings" w:hAnsi="Wingdings" w:hint="default"/>
      </w:rPr>
    </w:lvl>
  </w:abstractNum>
  <w:abstractNum w:abstractNumId="22" w15:restartNumberingAfterBreak="0">
    <w:nsid w:val="3BEF0A14"/>
    <w:multiLevelType w:val="multilevel"/>
    <w:tmpl w:val="9B8C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62D57"/>
    <w:multiLevelType w:val="multilevel"/>
    <w:tmpl w:val="32C2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4A46D2"/>
    <w:multiLevelType w:val="multilevel"/>
    <w:tmpl w:val="65C4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974FF8"/>
    <w:multiLevelType w:val="multilevel"/>
    <w:tmpl w:val="4E5A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5553A3"/>
    <w:multiLevelType w:val="multilevel"/>
    <w:tmpl w:val="AA6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274A75"/>
    <w:multiLevelType w:val="multilevel"/>
    <w:tmpl w:val="57E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5208C9"/>
    <w:multiLevelType w:val="multilevel"/>
    <w:tmpl w:val="595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91301C"/>
    <w:multiLevelType w:val="multilevel"/>
    <w:tmpl w:val="E038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886691"/>
    <w:multiLevelType w:val="multilevel"/>
    <w:tmpl w:val="0C1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EE48B0"/>
    <w:multiLevelType w:val="multilevel"/>
    <w:tmpl w:val="7FD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B4324F"/>
    <w:multiLevelType w:val="multilevel"/>
    <w:tmpl w:val="75C0D4F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985E88"/>
    <w:multiLevelType w:val="multilevel"/>
    <w:tmpl w:val="BCF6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71243D"/>
    <w:multiLevelType w:val="multilevel"/>
    <w:tmpl w:val="BC40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90019F"/>
    <w:multiLevelType w:val="multilevel"/>
    <w:tmpl w:val="9E74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CF79F6"/>
    <w:multiLevelType w:val="multilevel"/>
    <w:tmpl w:val="45AE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882B37"/>
    <w:multiLevelType w:val="multilevel"/>
    <w:tmpl w:val="4FD0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D00E54"/>
    <w:multiLevelType w:val="multilevel"/>
    <w:tmpl w:val="CB0C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66C43"/>
    <w:multiLevelType w:val="multilevel"/>
    <w:tmpl w:val="238E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4B71E9"/>
    <w:multiLevelType w:val="multilevel"/>
    <w:tmpl w:val="71C2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0D4877"/>
    <w:multiLevelType w:val="multilevel"/>
    <w:tmpl w:val="8920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2A683F"/>
    <w:multiLevelType w:val="multilevel"/>
    <w:tmpl w:val="279E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7212A1"/>
    <w:multiLevelType w:val="multilevel"/>
    <w:tmpl w:val="98E4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7B5764"/>
    <w:multiLevelType w:val="multilevel"/>
    <w:tmpl w:val="E4AC1DF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5" w15:restartNumberingAfterBreak="0">
    <w:nsid w:val="799360E9"/>
    <w:multiLevelType w:val="multilevel"/>
    <w:tmpl w:val="353A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3E2382"/>
    <w:multiLevelType w:val="hybridMultilevel"/>
    <w:tmpl w:val="C6821DB8"/>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7" w15:restartNumberingAfterBreak="0">
    <w:nsid w:val="7FC90D72"/>
    <w:multiLevelType w:val="multilevel"/>
    <w:tmpl w:val="230C0C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808086095">
    <w:abstractNumId w:val="17"/>
  </w:num>
  <w:num w:numId="2" w16cid:durableId="2088530675">
    <w:abstractNumId w:val="14"/>
  </w:num>
  <w:num w:numId="3" w16cid:durableId="1524974882">
    <w:abstractNumId w:val="5"/>
  </w:num>
  <w:num w:numId="4" w16cid:durableId="1072316256">
    <w:abstractNumId w:val="22"/>
  </w:num>
  <w:num w:numId="5" w16cid:durableId="666784723">
    <w:abstractNumId w:val="1"/>
  </w:num>
  <w:num w:numId="6" w16cid:durableId="1594123960">
    <w:abstractNumId w:val="40"/>
  </w:num>
  <w:num w:numId="7" w16cid:durableId="1101292833">
    <w:abstractNumId w:val="42"/>
  </w:num>
  <w:num w:numId="8" w16cid:durableId="1731876960">
    <w:abstractNumId w:val="39"/>
  </w:num>
  <w:num w:numId="9" w16cid:durableId="5331775">
    <w:abstractNumId w:val="3"/>
  </w:num>
  <w:num w:numId="10" w16cid:durableId="810902038">
    <w:abstractNumId w:val="28"/>
  </w:num>
  <w:num w:numId="11" w16cid:durableId="1527255755">
    <w:abstractNumId w:val="18"/>
  </w:num>
  <w:num w:numId="12" w16cid:durableId="860319481">
    <w:abstractNumId w:val="7"/>
  </w:num>
  <w:num w:numId="13" w16cid:durableId="1700474006">
    <w:abstractNumId w:val="20"/>
  </w:num>
  <w:num w:numId="14" w16cid:durableId="1845121774">
    <w:abstractNumId w:val="6"/>
  </w:num>
  <w:num w:numId="15" w16cid:durableId="1339188235">
    <w:abstractNumId w:val="32"/>
  </w:num>
  <w:num w:numId="16" w16cid:durableId="1382023781">
    <w:abstractNumId w:val="29"/>
  </w:num>
  <w:num w:numId="17" w16cid:durableId="221332343">
    <w:abstractNumId w:val="38"/>
  </w:num>
  <w:num w:numId="18" w16cid:durableId="1106538422">
    <w:abstractNumId w:val="36"/>
  </w:num>
  <w:num w:numId="19" w16cid:durableId="240453763">
    <w:abstractNumId w:val="31"/>
  </w:num>
  <w:num w:numId="20" w16cid:durableId="389887755">
    <w:abstractNumId w:val="11"/>
  </w:num>
  <w:num w:numId="21" w16cid:durableId="1077628030">
    <w:abstractNumId w:val="26"/>
  </w:num>
  <w:num w:numId="22" w16cid:durableId="1563252542">
    <w:abstractNumId w:val="41"/>
  </w:num>
  <w:num w:numId="23" w16cid:durableId="1145858681">
    <w:abstractNumId w:val="4"/>
  </w:num>
  <w:num w:numId="24" w16cid:durableId="254099955">
    <w:abstractNumId w:val="25"/>
  </w:num>
  <w:num w:numId="25" w16cid:durableId="171453402">
    <w:abstractNumId w:val="44"/>
  </w:num>
  <w:num w:numId="26" w16cid:durableId="110977250">
    <w:abstractNumId w:val="37"/>
  </w:num>
  <w:num w:numId="27" w16cid:durableId="1896967299">
    <w:abstractNumId w:val="45"/>
  </w:num>
  <w:num w:numId="28" w16cid:durableId="810563401">
    <w:abstractNumId w:val="9"/>
  </w:num>
  <w:num w:numId="29" w16cid:durableId="2080134858">
    <w:abstractNumId w:val="12"/>
  </w:num>
  <w:num w:numId="30" w16cid:durableId="899948082">
    <w:abstractNumId w:val="10"/>
  </w:num>
  <w:num w:numId="31" w16cid:durableId="145707220">
    <w:abstractNumId w:val="15"/>
  </w:num>
  <w:num w:numId="32" w16cid:durableId="1746805102">
    <w:abstractNumId w:val="33"/>
  </w:num>
  <w:num w:numId="33" w16cid:durableId="1501196614">
    <w:abstractNumId w:val="34"/>
  </w:num>
  <w:num w:numId="34" w16cid:durableId="946155177">
    <w:abstractNumId w:val="0"/>
  </w:num>
  <w:num w:numId="35" w16cid:durableId="1061754080">
    <w:abstractNumId w:val="19"/>
  </w:num>
  <w:num w:numId="36" w16cid:durableId="1062483771">
    <w:abstractNumId w:val="23"/>
  </w:num>
  <w:num w:numId="37" w16cid:durableId="559755548">
    <w:abstractNumId w:val="27"/>
  </w:num>
  <w:num w:numId="38" w16cid:durableId="507404565">
    <w:abstractNumId w:val="2"/>
  </w:num>
  <w:num w:numId="39" w16cid:durableId="1656841154">
    <w:abstractNumId w:val="46"/>
  </w:num>
  <w:num w:numId="40" w16cid:durableId="1665427083">
    <w:abstractNumId w:val="21"/>
  </w:num>
  <w:num w:numId="41" w16cid:durableId="2132433556">
    <w:abstractNumId w:val="47"/>
  </w:num>
  <w:num w:numId="42" w16cid:durableId="233470901">
    <w:abstractNumId w:val="24"/>
  </w:num>
  <w:num w:numId="43" w16cid:durableId="2091270749">
    <w:abstractNumId w:val="13"/>
  </w:num>
  <w:num w:numId="44" w16cid:durableId="748815620">
    <w:abstractNumId w:val="43"/>
  </w:num>
  <w:num w:numId="45" w16cid:durableId="1916547399">
    <w:abstractNumId w:val="30"/>
  </w:num>
  <w:num w:numId="46" w16cid:durableId="398947309">
    <w:abstractNumId w:val="16"/>
  </w:num>
  <w:num w:numId="47" w16cid:durableId="205148211">
    <w:abstractNumId w:val="8"/>
  </w:num>
  <w:num w:numId="48" w16cid:durableId="168717715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E49"/>
    <w:rsid w:val="00010520"/>
    <w:rsid w:val="00014841"/>
    <w:rsid w:val="0004775B"/>
    <w:rsid w:val="00061770"/>
    <w:rsid w:val="00061790"/>
    <w:rsid w:val="00127A94"/>
    <w:rsid w:val="00187818"/>
    <w:rsid w:val="00220F49"/>
    <w:rsid w:val="002B425B"/>
    <w:rsid w:val="002D6154"/>
    <w:rsid w:val="00305CCE"/>
    <w:rsid w:val="00316918"/>
    <w:rsid w:val="00376DFA"/>
    <w:rsid w:val="003B3180"/>
    <w:rsid w:val="00466B57"/>
    <w:rsid w:val="004817F1"/>
    <w:rsid w:val="00493781"/>
    <w:rsid w:val="00513040"/>
    <w:rsid w:val="00514217"/>
    <w:rsid w:val="0053260B"/>
    <w:rsid w:val="005A1D0E"/>
    <w:rsid w:val="005C14B2"/>
    <w:rsid w:val="005D695A"/>
    <w:rsid w:val="006068D4"/>
    <w:rsid w:val="00671F71"/>
    <w:rsid w:val="00671FB3"/>
    <w:rsid w:val="006A358C"/>
    <w:rsid w:val="00736522"/>
    <w:rsid w:val="007578CA"/>
    <w:rsid w:val="00791455"/>
    <w:rsid w:val="007F6E49"/>
    <w:rsid w:val="00820C87"/>
    <w:rsid w:val="008356EF"/>
    <w:rsid w:val="00884452"/>
    <w:rsid w:val="00896659"/>
    <w:rsid w:val="008C3260"/>
    <w:rsid w:val="008D46A3"/>
    <w:rsid w:val="008E34F4"/>
    <w:rsid w:val="00921A0E"/>
    <w:rsid w:val="009529E5"/>
    <w:rsid w:val="00994B1B"/>
    <w:rsid w:val="009E0C72"/>
    <w:rsid w:val="009F0DCD"/>
    <w:rsid w:val="00A57CBB"/>
    <w:rsid w:val="00A62F8F"/>
    <w:rsid w:val="00A809A8"/>
    <w:rsid w:val="00AA2C59"/>
    <w:rsid w:val="00AF7A2E"/>
    <w:rsid w:val="00C14340"/>
    <w:rsid w:val="00C5348C"/>
    <w:rsid w:val="00C8273C"/>
    <w:rsid w:val="00D64512"/>
    <w:rsid w:val="00D81A52"/>
    <w:rsid w:val="00E212B0"/>
    <w:rsid w:val="00E43731"/>
    <w:rsid w:val="00E71792"/>
    <w:rsid w:val="00ED0D56"/>
    <w:rsid w:val="00EE7D5B"/>
    <w:rsid w:val="00F5590B"/>
    <w:rsid w:val="00FD10BE"/>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F49BF"/>
  <w15:chartTrackingRefBased/>
  <w15:docId w15:val="{05BFA865-B8B1-4422-A68F-466BEF67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E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6E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6E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6E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6E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6E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E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E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E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E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6E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6E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6E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6E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6E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E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E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E49"/>
    <w:rPr>
      <w:rFonts w:eastAsiaTheme="majorEastAsia" w:cstheme="majorBidi"/>
      <w:color w:val="272727" w:themeColor="text1" w:themeTint="D8"/>
    </w:rPr>
  </w:style>
  <w:style w:type="paragraph" w:styleId="Title">
    <w:name w:val="Title"/>
    <w:basedOn w:val="Normal"/>
    <w:next w:val="Normal"/>
    <w:link w:val="TitleChar"/>
    <w:uiPriority w:val="10"/>
    <w:qFormat/>
    <w:rsid w:val="007F6E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E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E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E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E49"/>
    <w:pPr>
      <w:spacing w:before="160"/>
      <w:jc w:val="center"/>
    </w:pPr>
    <w:rPr>
      <w:i/>
      <w:iCs/>
      <w:color w:val="404040" w:themeColor="text1" w:themeTint="BF"/>
    </w:rPr>
  </w:style>
  <w:style w:type="character" w:customStyle="1" w:styleId="QuoteChar">
    <w:name w:val="Quote Char"/>
    <w:basedOn w:val="DefaultParagraphFont"/>
    <w:link w:val="Quote"/>
    <w:uiPriority w:val="29"/>
    <w:rsid w:val="007F6E49"/>
    <w:rPr>
      <w:i/>
      <w:iCs/>
      <w:color w:val="404040" w:themeColor="text1" w:themeTint="BF"/>
    </w:rPr>
  </w:style>
  <w:style w:type="paragraph" w:styleId="ListParagraph">
    <w:name w:val="List Paragraph"/>
    <w:basedOn w:val="Normal"/>
    <w:uiPriority w:val="34"/>
    <w:qFormat/>
    <w:rsid w:val="007F6E49"/>
    <w:pPr>
      <w:ind w:left="720"/>
      <w:contextualSpacing/>
    </w:pPr>
  </w:style>
  <w:style w:type="character" w:styleId="IntenseEmphasis">
    <w:name w:val="Intense Emphasis"/>
    <w:basedOn w:val="DefaultParagraphFont"/>
    <w:uiPriority w:val="21"/>
    <w:qFormat/>
    <w:rsid w:val="007F6E49"/>
    <w:rPr>
      <w:i/>
      <w:iCs/>
      <w:color w:val="2F5496" w:themeColor="accent1" w:themeShade="BF"/>
    </w:rPr>
  </w:style>
  <w:style w:type="paragraph" w:styleId="IntenseQuote">
    <w:name w:val="Intense Quote"/>
    <w:basedOn w:val="Normal"/>
    <w:next w:val="Normal"/>
    <w:link w:val="IntenseQuoteChar"/>
    <w:uiPriority w:val="30"/>
    <w:qFormat/>
    <w:rsid w:val="007F6E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6E49"/>
    <w:rPr>
      <w:i/>
      <w:iCs/>
      <w:color w:val="2F5496" w:themeColor="accent1" w:themeShade="BF"/>
    </w:rPr>
  </w:style>
  <w:style w:type="character" w:styleId="IntenseReference">
    <w:name w:val="Intense Reference"/>
    <w:basedOn w:val="DefaultParagraphFont"/>
    <w:uiPriority w:val="32"/>
    <w:qFormat/>
    <w:rsid w:val="007F6E49"/>
    <w:rPr>
      <w:b/>
      <w:bCs/>
      <w:smallCaps/>
      <w:color w:val="2F5496" w:themeColor="accent1" w:themeShade="BF"/>
      <w:spacing w:val="5"/>
    </w:rPr>
  </w:style>
  <w:style w:type="table" w:styleId="PlainTable3">
    <w:name w:val="Plain Table 3"/>
    <w:basedOn w:val="TableNormal"/>
    <w:uiPriority w:val="43"/>
    <w:rsid w:val="00E71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717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E71792"/>
    <w:rPr>
      <w:b/>
      <w:bCs/>
    </w:rPr>
  </w:style>
  <w:style w:type="character" w:styleId="HTMLCode">
    <w:name w:val="HTML Code"/>
    <w:basedOn w:val="DefaultParagraphFont"/>
    <w:uiPriority w:val="99"/>
    <w:semiHidden/>
    <w:unhideWhenUsed/>
    <w:rsid w:val="00E71792"/>
    <w:rPr>
      <w:rFonts w:ascii="Courier New" w:eastAsia="Times New Roman" w:hAnsi="Courier New" w:cs="Courier New"/>
      <w:sz w:val="20"/>
      <w:szCs w:val="20"/>
    </w:rPr>
  </w:style>
  <w:style w:type="table" w:styleId="PlainTable1">
    <w:name w:val="Plain Table 1"/>
    <w:basedOn w:val="TableNormal"/>
    <w:uiPriority w:val="41"/>
    <w:rsid w:val="00220F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220F49"/>
    <w:rPr>
      <w:color w:val="0563C1" w:themeColor="hyperlink"/>
      <w:u w:val="single"/>
    </w:rPr>
  </w:style>
  <w:style w:type="character" w:styleId="UnresolvedMention">
    <w:name w:val="Unresolved Mention"/>
    <w:basedOn w:val="DefaultParagraphFont"/>
    <w:uiPriority w:val="99"/>
    <w:semiHidden/>
    <w:unhideWhenUsed/>
    <w:rsid w:val="00220F49"/>
    <w:rPr>
      <w:color w:val="605E5C"/>
      <w:shd w:val="clear" w:color="auto" w:fill="E1DFDD"/>
    </w:rPr>
  </w:style>
  <w:style w:type="paragraph" w:styleId="Header">
    <w:name w:val="header"/>
    <w:basedOn w:val="Normal"/>
    <w:link w:val="HeaderChar"/>
    <w:uiPriority w:val="99"/>
    <w:unhideWhenUsed/>
    <w:rsid w:val="00127A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A94"/>
  </w:style>
  <w:style w:type="paragraph" w:styleId="Footer">
    <w:name w:val="footer"/>
    <w:basedOn w:val="Normal"/>
    <w:link w:val="FooterChar"/>
    <w:uiPriority w:val="99"/>
    <w:unhideWhenUsed/>
    <w:rsid w:val="00127A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426">
      <w:bodyDiv w:val="1"/>
      <w:marLeft w:val="0"/>
      <w:marRight w:val="0"/>
      <w:marTop w:val="0"/>
      <w:marBottom w:val="0"/>
      <w:divBdr>
        <w:top w:val="none" w:sz="0" w:space="0" w:color="auto"/>
        <w:left w:val="none" w:sz="0" w:space="0" w:color="auto"/>
        <w:bottom w:val="none" w:sz="0" w:space="0" w:color="auto"/>
        <w:right w:val="none" w:sz="0" w:space="0" w:color="auto"/>
      </w:divBdr>
    </w:div>
    <w:div w:id="28922127">
      <w:bodyDiv w:val="1"/>
      <w:marLeft w:val="0"/>
      <w:marRight w:val="0"/>
      <w:marTop w:val="0"/>
      <w:marBottom w:val="0"/>
      <w:divBdr>
        <w:top w:val="none" w:sz="0" w:space="0" w:color="auto"/>
        <w:left w:val="none" w:sz="0" w:space="0" w:color="auto"/>
        <w:bottom w:val="none" w:sz="0" w:space="0" w:color="auto"/>
        <w:right w:val="none" w:sz="0" w:space="0" w:color="auto"/>
      </w:divBdr>
    </w:div>
    <w:div w:id="63259835">
      <w:bodyDiv w:val="1"/>
      <w:marLeft w:val="0"/>
      <w:marRight w:val="0"/>
      <w:marTop w:val="0"/>
      <w:marBottom w:val="0"/>
      <w:divBdr>
        <w:top w:val="none" w:sz="0" w:space="0" w:color="auto"/>
        <w:left w:val="none" w:sz="0" w:space="0" w:color="auto"/>
        <w:bottom w:val="none" w:sz="0" w:space="0" w:color="auto"/>
        <w:right w:val="none" w:sz="0" w:space="0" w:color="auto"/>
      </w:divBdr>
    </w:div>
    <w:div w:id="69546122">
      <w:bodyDiv w:val="1"/>
      <w:marLeft w:val="0"/>
      <w:marRight w:val="0"/>
      <w:marTop w:val="0"/>
      <w:marBottom w:val="0"/>
      <w:divBdr>
        <w:top w:val="none" w:sz="0" w:space="0" w:color="auto"/>
        <w:left w:val="none" w:sz="0" w:space="0" w:color="auto"/>
        <w:bottom w:val="none" w:sz="0" w:space="0" w:color="auto"/>
        <w:right w:val="none" w:sz="0" w:space="0" w:color="auto"/>
      </w:divBdr>
    </w:div>
    <w:div w:id="85925323">
      <w:bodyDiv w:val="1"/>
      <w:marLeft w:val="0"/>
      <w:marRight w:val="0"/>
      <w:marTop w:val="0"/>
      <w:marBottom w:val="0"/>
      <w:divBdr>
        <w:top w:val="none" w:sz="0" w:space="0" w:color="auto"/>
        <w:left w:val="none" w:sz="0" w:space="0" w:color="auto"/>
        <w:bottom w:val="none" w:sz="0" w:space="0" w:color="auto"/>
        <w:right w:val="none" w:sz="0" w:space="0" w:color="auto"/>
      </w:divBdr>
    </w:div>
    <w:div w:id="109320115">
      <w:bodyDiv w:val="1"/>
      <w:marLeft w:val="0"/>
      <w:marRight w:val="0"/>
      <w:marTop w:val="0"/>
      <w:marBottom w:val="0"/>
      <w:divBdr>
        <w:top w:val="none" w:sz="0" w:space="0" w:color="auto"/>
        <w:left w:val="none" w:sz="0" w:space="0" w:color="auto"/>
        <w:bottom w:val="none" w:sz="0" w:space="0" w:color="auto"/>
        <w:right w:val="none" w:sz="0" w:space="0" w:color="auto"/>
      </w:divBdr>
    </w:div>
    <w:div w:id="124008561">
      <w:bodyDiv w:val="1"/>
      <w:marLeft w:val="0"/>
      <w:marRight w:val="0"/>
      <w:marTop w:val="0"/>
      <w:marBottom w:val="0"/>
      <w:divBdr>
        <w:top w:val="none" w:sz="0" w:space="0" w:color="auto"/>
        <w:left w:val="none" w:sz="0" w:space="0" w:color="auto"/>
        <w:bottom w:val="none" w:sz="0" w:space="0" w:color="auto"/>
        <w:right w:val="none" w:sz="0" w:space="0" w:color="auto"/>
      </w:divBdr>
      <w:divsChild>
        <w:div w:id="1954701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16645">
      <w:bodyDiv w:val="1"/>
      <w:marLeft w:val="0"/>
      <w:marRight w:val="0"/>
      <w:marTop w:val="0"/>
      <w:marBottom w:val="0"/>
      <w:divBdr>
        <w:top w:val="none" w:sz="0" w:space="0" w:color="auto"/>
        <w:left w:val="none" w:sz="0" w:space="0" w:color="auto"/>
        <w:bottom w:val="none" w:sz="0" w:space="0" w:color="auto"/>
        <w:right w:val="none" w:sz="0" w:space="0" w:color="auto"/>
      </w:divBdr>
    </w:div>
    <w:div w:id="226965793">
      <w:bodyDiv w:val="1"/>
      <w:marLeft w:val="0"/>
      <w:marRight w:val="0"/>
      <w:marTop w:val="0"/>
      <w:marBottom w:val="0"/>
      <w:divBdr>
        <w:top w:val="none" w:sz="0" w:space="0" w:color="auto"/>
        <w:left w:val="none" w:sz="0" w:space="0" w:color="auto"/>
        <w:bottom w:val="none" w:sz="0" w:space="0" w:color="auto"/>
        <w:right w:val="none" w:sz="0" w:space="0" w:color="auto"/>
      </w:divBdr>
    </w:div>
    <w:div w:id="227231744">
      <w:bodyDiv w:val="1"/>
      <w:marLeft w:val="0"/>
      <w:marRight w:val="0"/>
      <w:marTop w:val="0"/>
      <w:marBottom w:val="0"/>
      <w:divBdr>
        <w:top w:val="none" w:sz="0" w:space="0" w:color="auto"/>
        <w:left w:val="none" w:sz="0" w:space="0" w:color="auto"/>
        <w:bottom w:val="none" w:sz="0" w:space="0" w:color="auto"/>
        <w:right w:val="none" w:sz="0" w:space="0" w:color="auto"/>
      </w:divBdr>
    </w:div>
    <w:div w:id="230580826">
      <w:bodyDiv w:val="1"/>
      <w:marLeft w:val="0"/>
      <w:marRight w:val="0"/>
      <w:marTop w:val="0"/>
      <w:marBottom w:val="0"/>
      <w:divBdr>
        <w:top w:val="none" w:sz="0" w:space="0" w:color="auto"/>
        <w:left w:val="none" w:sz="0" w:space="0" w:color="auto"/>
        <w:bottom w:val="none" w:sz="0" w:space="0" w:color="auto"/>
        <w:right w:val="none" w:sz="0" w:space="0" w:color="auto"/>
      </w:divBdr>
    </w:div>
    <w:div w:id="265431747">
      <w:bodyDiv w:val="1"/>
      <w:marLeft w:val="0"/>
      <w:marRight w:val="0"/>
      <w:marTop w:val="0"/>
      <w:marBottom w:val="0"/>
      <w:divBdr>
        <w:top w:val="none" w:sz="0" w:space="0" w:color="auto"/>
        <w:left w:val="none" w:sz="0" w:space="0" w:color="auto"/>
        <w:bottom w:val="none" w:sz="0" w:space="0" w:color="auto"/>
        <w:right w:val="none" w:sz="0" w:space="0" w:color="auto"/>
      </w:divBdr>
    </w:div>
    <w:div w:id="304045822">
      <w:bodyDiv w:val="1"/>
      <w:marLeft w:val="0"/>
      <w:marRight w:val="0"/>
      <w:marTop w:val="0"/>
      <w:marBottom w:val="0"/>
      <w:divBdr>
        <w:top w:val="none" w:sz="0" w:space="0" w:color="auto"/>
        <w:left w:val="none" w:sz="0" w:space="0" w:color="auto"/>
        <w:bottom w:val="none" w:sz="0" w:space="0" w:color="auto"/>
        <w:right w:val="none" w:sz="0" w:space="0" w:color="auto"/>
      </w:divBdr>
    </w:div>
    <w:div w:id="308831446">
      <w:bodyDiv w:val="1"/>
      <w:marLeft w:val="0"/>
      <w:marRight w:val="0"/>
      <w:marTop w:val="0"/>
      <w:marBottom w:val="0"/>
      <w:divBdr>
        <w:top w:val="none" w:sz="0" w:space="0" w:color="auto"/>
        <w:left w:val="none" w:sz="0" w:space="0" w:color="auto"/>
        <w:bottom w:val="none" w:sz="0" w:space="0" w:color="auto"/>
        <w:right w:val="none" w:sz="0" w:space="0" w:color="auto"/>
      </w:divBdr>
    </w:div>
    <w:div w:id="346257290">
      <w:bodyDiv w:val="1"/>
      <w:marLeft w:val="0"/>
      <w:marRight w:val="0"/>
      <w:marTop w:val="0"/>
      <w:marBottom w:val="0"/>
      <w:divBdr>
        <w:top w:val="none" w:sz="0" w:space="0" w:color="auto"/>
        <w:left w:val="none" w:sz="0" w:space="0" w:color="auto"/>
        <w:bottom w:val="none" w:sz="0" w:space="0" w:color="auto"/>
        <w:right w:val="none" w:sz="0" w:space="0" w:color="auto"/>
      </w:divBdr>
    </w:div>
    <w:div w:id="348411238">
      <w:bodyDiv w:val="1"/>
      <w:marLeft w:val="0"/>
      <w:marRight w:val="0"/>
      <w:marTop w:val="0"/>
      <w:marBottom w:val="0"/>
      <w:divBdr>
        <w:top w:val="none" w:sz="0" w:space="0" w:color="auto"/>
        <w:left w:val="none" w:sz="0" w:space="0" w:color="auto"/>
        <w:bottom w:val="none" w:sz="0" w:space="0" w:color="auto"/>
        <w:right w:val="none" w:sz="0" w:space="0" w:color="auto"/>
      </w:divBdr>
    </w:div>
    <w:div w:id="353850370">
      <w:bodyDiv w:val="1"/>
      <w:marLeft w:val="0"/>
      <w:marRight w:val="0"/>
      <w:marTop w:val="0"/>
      <w:marBottom w:val="0"/>
      <w:divBdr>
        <w:top w:val="none" w:sz="0" w:space="0" w:color="auto"/>
        <w:left w:val="none" w:sz="0" w:space="0" w:color="auto"/>
        <w:bottom w:val="none" w:sz="0" w:space="0" w:color="auto"/>
        <w:right w:val="none" w:sz="0" w:space="0" w:color="auto"/>
      </w:divBdr>
    </w:div>
    <w:div w:id="365447540">
      <w:bodyDiv w:val="1"/>
      <w:marLeft w:val="0"/>
      <w:marRight w:val="0"/>
      <w:marTop w:val="0"/>
      <w:marBottom w:val="0"/>
      <w:divBdr>
        <w:top w:val="none" w:sz="0" w:space="0" w:color="auto"/>
        <w:left w:val="none" w:sz="0" w:space="0" w:color="auto"/>
        <w:bottom w:val="none" w:sz="0" w:space="0" w:color="auto"/>
        <w:right w:val="none" w:sz="0" w:space="0" w:color="auto"/>
      </w:divBdr>
    </w:div>
    <w:div w:id="376054064">
      <w:bodyDiv w:val="1"/>
      <w:marLeft w:val="0"/>
      <w:marRight w:val="0"/>
      <w:marTop w:val="0"/>
      <w:marBottom w:val="0"/>
      <w:divBdr>
        <w:top w:val="none" w:sz="0" w:space="0" w:color="auto"/>
        <w:left w:val="none" w:sz="0" w:space="0" w:color="auto"/>
        <w:bottom w:val="none" w:sz="0" w:space="0" w:color="auto"/>
        <w:right w:val="none" w:sz="0" w:space="0" w:color="auto"/>
      </w:divBdr>
    </w:div>
    <w:div w:id="394276745">
      <w:bodyDiv w:val="1"/>
      <w:marLeft w:val="0"/>
      <w:marRight w:val="0"/>
      <w:marTop w:val="0"/>
      <w:marBottom w:val="0"/>
      <w:divBdr>
        <w:top w:val="none" w:sz="0" w:space="0" w:color="auto"/>
        <w:left w:val="none" w:sz="0" w:space="0" w:color="auto"/>
        <w:bottom w:val="none" w:sz="0" w:space="0" w:color="auto"/>
        <w:right w:val="none" w:sz="0" w:space="0" w:color="auto"/>
      </w:divBdr>
    </w:div>
    <w:div w:id="404497893">
      <w:bodyDiv w:val="1"/>
      <w:marLeft w:val="0"/>
      <w:marRight w:val="0"/>
      <w:marTop w:val="0"/>
      <w:marBottom w:val="0"/>
      <w:divBdr>
        <w:top w:val="none" w:sz="0" w:space="0" w:color="auto"/>
        <w:left w:val="none" w:sz="0" w:space="0" w:color="auto"/>
        <w:bottom w:val="none" w:sz="0" w:space="0" w:color="auto"/>
        <w:right w:val="none" w:sz="0" w:space="0" w:color="auto"/>
      </w:divBdr>
    </w:div>
    <w:div w:id="452359828">
      <w:bodyDiv w:val="1"/>
      <w:marLeft w:val="0"/>
      <w:marRight w:val="0"/>
      <w:marTop w:val="0"/>
      <w:marBottom w:val="0"/>
      <w:divBdr>
        <w:top w:val="none" w:sz="0" w:space="0" w:color="auto"/>
        <w:left w:val="none" w:sz="0" w:space="0" w:color="auto"/>
        <w:bottom w:val="none" w:sz="0" w:space="0" w:color="auto"/>
        <w:right w:val="none" w:sz="0" w:space="0" w:color="auto"/>
      </w:divBdr>
    </w:div>
    <w:div w:id="471288565">
      <w:bodyDiv w:val="1"/>
      <w:marLeft w:val="0"/>
      <w:marRight w:val="0"/>
      <w:marTop w:val="0"/>
      <w:marBottom w:val="0"/>
      <w:divBdr>
        <w:top w:val="none" w:sz="0" w:space="0" w:color="auto"/>
        <w:left w:val="none" w:sz="0" w:space="0" w:color="auto"/>
        <w:bottom w:val="none" w:sz="0" w:space="0" w:color="auto"/>
        <w:right w:val="none" w:sz="0" w:space="0" w:color="auto"/>
      </w:divBdr>
    </w:div>
    <w:div w:id="471604520">
      <w:bodyDiv w:val="1"/>
      <w:marLeft w:val="0"/>
      <w:marRight w:val="0"/>
      <w:marTop w:val="0"/>
      <w:marBottom w:val="0"/>
      <w:divBdr>
        <w:top w:val="none" w:sz="0" w:space="0" w:color="auto"/>
        <w:left w:val="none" w:sz="0" w:space="0" w:color="auto"/>
        <w:bottom w:val="none" w:sz="0" w:space="0" w:color="auto"/>
        <w:right w:val="none" w:sz="0" w:space="0" w:color="auto"/>
      </w:divBdr>
    </w:div>
    <w:div w:id="507644570">
      <w:bodyDiv w:val="1"/>
      <w:marLeft w:val="0"/>
      <w:marRight w:val="0"/>
      <w:marTop w:val="0"/>
      <w:marBottom w:val="0"/>
      <w:divBdr>
        <w:top w:val="none" w:sz="0" w:space="0" w:color="auto"/>
        <w:left w:val="none" w:sz="0" w:space="0" w:color="auto"/>
        <w:bottom w:val="none" w:sz="0" w:space="0" w:color="auto"/>
        <w:right w:val="none" w:sz="0" w:space="0" w:color="auto"/>
      </w:divBdr>
    </w:div>
    <w:div w:id="519274465">
      <w:bodyDiv w:val="1"/>
      <w:marLeft w:val="0"/>
      <w:marRight w:val="0"/>
      <w:marTop w:val="0"/>
      <w:marBottom w:val="0"/>
      <w:divBdr>
        <w:top w:val="none" w:sz="0" w:space="0" w:color="auto"/>
        <w:left w:val="none" w:sz="0" w:space="0" w:color="auto"/>
        <w:bottom w:val="none" w:sz="0" w:space="0" w:color="auto"/>
        <w:right w:val="none" w:sz="0" w:space="0" w:color="auto"/>
      </w:divBdr>
    </w:div>
    <w:div w:id="528179030">
      <w:bodyDiv w:val="1"/>
      <w:marLeft w:val="0"/>
      <w:marRight w:val="0"/>
      <w:marTop w:val="0"/>
      <w:marBottom w:val="0"/>
      <w:divBdr>
        <w:top w:val="none" w:sz="0" w:space="0" w:color="auto"/>
        <w:left w:val="none" w:sz="0" w:space="0" w:color="auto"/>
        <w:bottom w:val="none" w:sz="0" w:space="0" w:color="auto"/>
        <w:right w:val="none" w:sz="0" w:space="0" w:color="auto"/>
      </w:divBdr>
    </w:div>
    <w:div w:id="533537674">
      <w:bodyDiv w:val="1"/>
      <w:marLeft w:val="0"/>
      <w:marRight w:val="0"/>
      <w:marTop w:val="0"/>
      <w:marBottom w:val="0"/>
      <w:divBdr>
        <w:top w:val="none" w:sz="0" w:space="0" w:color="auto"/>
        <w:left w:val="none" w:sz="0" w:space="0" w:color="auto"/>
        <w:bottom w:val="none" w:sz="0" w:space="0" w:color="auto"/>
        <w:right w:val="none" w:sz="0" w:space="0" w:color="auto"/>
      </w:divBdr>
    </w:div>
    <w:div w:id="540829816">
      <w:bodyDiv w:val="1"/>
      <w:marLeft w:val="0"/>
      <w:marRight w:val="0"/>
      <w:marTop w:val="0"/>
      <w:marBottom w:val="0"/>
      <w:divBdr>
        <w:top w:val="none" w:sz="0" w:space="0" w:color="auto"/>
        <w:left w:val="none" w:sz="0" w:space="0" w:color="auto"/>
        <w:bottom w:val="none" w:sz="0" w:space="0" w:color="auto"/>
        <w:right w:val="none" w:sz="0" w:space="0" w:color="auto"/>
      </w:divBdr>
    </w:div>
    <w:div w:id="551499272">
      <w:bodyDiv w:val="1"/>
      <w:marLeft w:val="0"/>
      <w:marRight w:val="0"/>
      <w:marTop w:val="0"/>
      <w:marBottom w:val="0"/>
      <w:divBdr>
        <w:top w:val="none" w:sz="0" w:space="0" w:color="auto"/>
        <w:left w:val="none" w:sz="0" w:space="0" w:color="auto"/>
        <w:bottom w:val="none" w:sz="0" w:space="0" w:color="auto"/>
        <w:right w:val="none" w:sz="0" w:space="0" w:color="auto"/>
      </w:divBdr>
    </w:div>
    <w:div w:id="562983486">
      <w:bodyDiv w:val="1"/>
      <w:marLeft w:val="0"/>
      <w:marRight w:val="0"/>
      <w:marTop w:val="0"/>
      <w:marBottom w:val="0"/>
      <w:divBdr>
        <w:top w:val="none" w:sz="0" w:space="0" w:color="auto"/>
        <w:left w:val="none" w:sz="0" w:space="0" w:color="auto"/>
        <w:bottom w:val="none" w:sz="0" w:space="0" w:color="auto"/>
        <w:right w:val="none" w:sz="0" w:space="0" w:color="auto"/>
      </w:divBdr>
    </w:div>
    <w:div w:id="563881052">
      <w:bodyDiv w:val="1"/>
      <w:marLeft w:val="0"/>
      <w:marRight w:val="0"/>
      <w:marTop w:val="0"/>
      <w:marBottom w:val="0"/>
      <w:divBdr>
        <w:top w:val="none" w:sz="0" w:space="0" w:color="auto"/>
        <w:left w:val="none" w:sz="0" w:space="0" w:color="auto"/>
        <w:bottom w:val="none" w:sz="0" w:space="0" w:color="auto"/>
        <w:right w:val="none" w:sz="0" w:space="0" w:color="auto"/>
      </w:divBdr>
    </w:div>
    <w:div w:id="579173023">
      <w:bodyDiv w:val="1"/>
      <w:marLeft w:val="0"/>
      <w:marRight w:val="0"/>
      <w:marTop w:val="0"/>
      <w:marBottom w:val="0"/>
      <w:divBdr>
        <w:top w:val="none" w:sz="0" w:space="0" w:color="auto"/>
        <w:left w:val="none" w:sz="0" w:space="0" w:color="auto"/>
        <w:bottom w:val="none" w:sz="0" w:space="0" w:color="auto"/>
        <w:right w:val="none" w:sz="0" w:space="0" w:color="auto"/>
      </w:divBdr>
    </w:div>
    <w:div w:id="615672516">
      <w:bodyDiv w:val="1"/>
      <w:marLeft w:val="0"/>
      <w:marRight w:val="0"/>
      <w:marTop w:val="0"/>
      <w:marBottom w:val="0"/>
      <w:divBdr>
        <w:top w:val="none" w:sz="0" w:space="0" w:color="auto"/>
        <w:left w:val="none" w:sz="0" w:space="0" w:color="auto"/>
        <w:bottom w:val="none" w:sz="0" w:space="0" w:color="auto"/>
        <w:right w:val="none" w:sz="0" w:space="0" w:color="auto"/>
      </w:divBdr>
    </w:div>
    <w:div w:id="616914999">
      <w:bodyDiv w:val="1"/>
      <w:marLeft w:val="0"/>
      <w:marRight w:val="0"/>
      <w:marTop w:val="0"/>
      <w:marBottom w:val="0"/>
      <w:divBdr>
        <w:top w:val="none" w:sz="0" w:space="0" w:color="auto"/>
        <w:left w:val="none" w:sz="0" w:space="0" w:color="auto"/>
        <w:bottom w:val="none" w:sz="0" w:space="0" w:color="auto"/>
        <w:right w:val="none" w:sz="0" w:space="0" w:color="auto"/>
      </w:divBdr>
    </w:div>
    <w:div w:id="664548280">
      <w:bodyDiv w:val="1"/>
      <w:marLeft w:val="0"/>
      <w:marRight w:val="0"/>
      <w:marTop w:val="0"/>
      <w:marBottom w:val="0"/>
      <w:divBdr>
        <w:top w:val="none" w:sz="0" w:space="0" w:color="auto"/>
        <w:left w:val="none" w:sz="0" w:space="0" w:color="auto"/>
        <w:bottom w:val="none" w:sz="0" w:space="0" w:color="auto"/>
        <w:right w:val="none" w:sz="0" w:space="0" w:color="auto"/>
      </w:divBdr>
    </w:div>
    <w:div w:id="708728462">
      <w:bodyDiv w:val="1"/>
      <w:marLeft w:val="0"/>
      <w:marRight w:val="0"/>
      <w:marTop w:val="0"/>
      <w:marBottom w:val="0"/>
      <w:divBdr>
        <w:top w:val="none" w:sz="0" w:space="0" w:color="auto"/>
        <w:left w:val="none" w:sz="0" w:space="0" w:color="auto"/>
        <w:bottom w:val="none" w:sz="0" w:space="0" w:color="auto"/>
        <w:right w:val="none" w:sz="0" w:space="0" w:color="auto"/>
      </w:divBdr>
    </w:div>
    <w:div w:id="727873622">
      <w:bodyDiv w:val="1"/>
      <w:marLeft w:val="0"/>
      <w:marRight w:val="0"/>
      <w:marTop w:val="0"/>
      <w:marBottom w:val="0"/>
      <w:divBdr>
        <w:top w:val="none" w:sz="0" w:space="0" w:color="auto"/>
        <w:left w:val="none" w:sz="0" w:space="0" w:color="auto"/>
        <w:bottom w:val="none" w:sz="0" w:space="0" w:color="auto"/>
        <w:right w:val="none" w:sz="0" w:space="0" w:color="auto"/>
      </w:divBdr>
    </w:div>
    <w:div w:id="756561953">
      <w:bodyDiv w:val="1"/>
      <w:marLeft w:val="0"/>
      <w:marRight w:val="0"/>
      <w:marTop w:val="0"/>
      <w:marBottom w:val="0"/>
      <w:divBdr>
        <w:top w:val="none" w:sz="0" w:space="0" w:color="auto"/>
        <w:left w:val="none" w:sz="0" w:space="0" w:color="auto"/>
        <w:bottom w:val="none" w:sz="0" w:space="0" w:color="auto"/>
        <w:right w:val="none" w:sz="0" w:space="0" w:color="auto"/>
      </w:divBdr>
    </w:div>
    <w:div w:id="778793892">
      <w:bodyDiv w:val="1"/>
      <w:marLeft w:val="0"/>
      <w:marRight w:val="0"/>
      <w:marTop w:val="0"/>
      <w:marBottom w:val="0"/>
      <w:divBdr>
        <w:top w:val="none" w:sz="0" w:space="0" w:color="auto"/>
        <w:left w:val="none" w:sz="0" w:space="0" w:color="auto"/>
        <w:bottom w:val="none" w:sz="0" w:space="0" w:color="auto"/>
        <w:right w:val="none" w:sz="0" w:space="0" w:color="auto"/>
      </w:divBdr>
    </w:div>
    <w:div w:id="820344615">
      <w:bodyDiv w:val="1"/>
      <w:marLeft w:val="0"/>
      <w:marRight w:val="0"/>
      <w:marTop w:val="0"/>
      <w:marBottom w:val="0"/>
      <w:divBdr>
        <w:top w:val="none" w:sz="0" w:space="0" w:color="auto"/>
        <w:left w:val="none" w:sz="0" w:space="0" w:color="auto"/>
        <w:bottom w:val="none" w:sz="0" w:space="0" w:color="auto"/>
        <w:right w:val="none" w:sz="0" w:space="0" w:color="auto"/>
      </w:divBdr>
    </w:div>
    <w:div w:id="846285537">
      <w:bodyDiv w:val="1"/>
      <w:marLeft w:val="0"/>
      <w:marRight w:val="0"/>
      <w:marTop w:val="0"/>
      <w:marBottom w:val="0"/>
      <w:divBdr>
        <w:top w:val="none" w:sz="0" w:space="0" w:color="auto"/>
        <w:left w:val="none" w:sz="0" w:space="0" w:color="auto"/>
        <w:bottom w:val="none" w:sz="0" w:space="0" w:color="auto"/>
        <w:right w:val="none" w:sz="0" w:space="0" w:color="auto"/>
      </w:divBdr>
    </w:div>
    <w:div w:id="891237175">
      <w:bodyDiv w:val="1"/>
      <w:marLeft w:val="0"/>
      <w:marRight w:val="0"/>
      <w:marTop w:val="0"/>
      <w:marBottom w:val="0"/>
      <w:divBdr>
        <w:top w:val="none" w:sz="0" w:space="0" w:color="auto"/>
        <w:left w:val="none" w:sz="0" w:space="0" w:color="auto"/>
        <w:bottom w:val="none" w:sz="0" w:space="0" w:color="auto"/>
        <w:right w:val="none" w:sz="0" w:space="0" w:color="auto"/>
      </w:divBdr>
    </w:div>
    <w:div w:id="898712933">
      <w:bodyDiv w:val="1"/>
      <w:marLeft w:val="0"/>
      <w:marRight w:val="0"/>
      <w:marTop w:val="0"/>
      <w:marBottom w:val="0"/>
      <w:divBdr>
        <w:top w:val="none" w:sz="0" w:space="0" w:color="auto"/>
        <w:left w:val="none" w:sz="0" w:space="0" w:color="auto"/>
        <w:bottom w:val="none" w:sz="0" w:space="0" w:color="auto"/>
        <w:right w:val="none" w:sz="0" w:space="0" w:color="auto"/>
      </w:divBdr>
    </w:div>
    <w:div w:id="924266694">
      <w:bodyDiv w:val="1"/>
      <w:marLeft w:val="0"/>
      <w:marRight w:val="0"/>
      <w:marTop w:val="0"/>
      <w:marBottom w:val="0"/>
      <w:divBdr>
        <w:top w:val="none" w:sz="0" w:space="0" w:color="auto"/>
        <w:left w:val="none" w:sz="0" w:space="0" w:color="auto"/>
        <w:bottom w:val="none" w:sz="0" w:space="0" w:color="auto"/>
        <w:right w:val="none" w:sz="0" w:space="0" w:color="auto"/>
      </w:divBdr>
    </w:div>
    <w:div w:id="939141331">
      <w:bodyDiv w:val="1"/>
      <w:marLeft w:val="0"/>
      <w:marRight w:val="0"/>
      <w:marTop w:val="0"/>
      <w:marBottom w:val="0"/>
      <w:divBdr>
        <w:top w:val="none" w:sz="0" w:space="0" w:color="auto"/>
        <w:left w:val="none" w:sz="0" w:space="0" w:color="auto"/>
        <w:bottom w:val="none" w:sz="0" w:space="0" w:color="auto"/>
        <w:right w:val="none" w:sz="0" w:space="0" w:color="auto"/>
      </w:divBdr>
    </w:div>
    <w:div w:id="954212769">
      <w:bodyDiv w:val="1"/>
      <w:marLeft w:val="0"/>
      <w:marRight w:val="0"/>
      <w:marTop w:val="0"/>
      <w:marBottom w:val="0"/>
      <w:divBdr>
        <w:top w:val="none" w:sz="0" w:space="0" w:color="auto"/>
        <w:left w:val="none" w:sz="0" w:space="0" w:color="auto"/>
        <w:bottom w:val="none" w:sz="0" w:space="0" w:color="auto"/>
        <w:right w:val="none" w:sz="0" w:space="0" w:color="auto"/>
      </w:divBdr>
    </w:div>
    <w:div w:id="956254819">
      <w:bodyDiv w:val="1"/>
      <w:marLeft w:val="0"/>
      <w:marRight w:val="0"/>
      <w:marTop w:val="0"/>
      <w:marBottom w:val="0"/>
      <w:divBdr>
        <w:top w:val="none" w:sz="0" w:space="0" w:color="auto"/>
        <w:left w:val="none" w:sz="0" w:space="0" w:color="auto"/>
        <w:bottom w:val="none" w:sz="0" w:space="0" w:color="auto"/>
        <w:right w:val="none" w:sz="0" w:space="0" w:color="auto"/>
      </w:divBdr>
    </w:div>
    <w:div w:id="972171724">
      <w:bodyDiv w:val="1"/>
      <w:marLeft w:val="0"/>
      <w:marRight w:val="0"/>
      <w:marTop w:val="0"/>
      <w:marBottom w:val="0"/>
      <w:divBdr>
        <w:top w:val="none" w:sz="0" w:space="0" w:color="auto"/>
        <w:left w:val="none" w:sz="0" w:space="0" w:color="auto"/>
        <w:bottom w:val="none" w:sz="0" w:space="0" w:color="auto"/>
        <w:right w:val="none" w:sz="0" w:space="0" w:color="auto"/>
      </w:divBdr>
      <w:divsChild>
        <w:div w:id="43144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051289">
      <w:bodyDiv w:val="1"/>
      <w:marLeft w:val="0"/>
      <w:marRight w:val="0"/>
      <w:marTop w:val="0"/>
      <w:marBottom w:val="0"/>
      <w:divBdr>
        <w:top w:val="none" w:sz="0" w:space="0" w:color="auto"/>
        <w:left w:val="none" w:sz="0" w:space="0" w:color="auto"/>
        <w:bottom w:val="none" w:sz="0" w:space="0" w:color="auto"/>
        <w:right w:val="none" w:sz="0" w:space="0" w:color="auto"/>
      </w:divBdr>
    </w:div>
    <w:div w:id="1032343372">
      <w:bodyDiv w:val="1"/>
      <w:marLeft w:val="0"/>
      <w:marRight w:val="0"/>
      <w:marTop w:val="0"/>
      <w:marBottom w:val="0"/>
      <w:divBdr>
        <w:top w:val="none" w:sz="0" w:space="0" w:color="auto"/>
        <w:left w:val="none" w:sz="0" w:space="0" w:color="auto"/>
        <w:bottom w:val="none" w:sz="0" w:space="0" w:color="auto"/>
        <w:right w:val="none" w:sz="0" w:space="0" w:color="auto"/>
      </w:divBdr>
    </w:div>
    <w:div w:id="1060859808">
      <w:bodyDiv w:val="1"/>
      <w:marLeft w:val="0"/>
      <w:marRight w:val="0"/>
      <w:marTop w:val="0"/>
      <w:marBottom w:val="0"/>
      <w:divBdr>
        <w:top w:val="none" w:sz="0" w:space="0" w:color="auto"/>
        <w:left w:val="none" w:sz="0" w:space="0" w:color="auto"/>
        <w:bottom w:val="none" w:sz="0" w:space="0" w:color="auto"/>
        <w:right w:val="none" w:sz="0" w:space="0" w:color="auto"/>
      </w:divBdr>
    </w:div>
    <w:div w:id="1070690482">
      <w:bodyDiv w:val="1"/>
      <w:marLeft w:val="0"/>
      <w:marRight w:val="0"/>
      <w:marTop w:val="0"/>
      <w:marBottom w:val="0"/>
      <w:divBdr>
        <w:top w:val="none" w:sz="0" w:space="0" w:color="auto"/>
        <w:left w:val="none" w:sz="0" w:space="0" w:color="auto"/>
        <w:bottom w:val="none" w:sz="0" w:space="0" w:color="auto"/>
        <w:right w:val="none" w:sz="0" w:space="0" w:color="auto"/>
      </w:divBdr>
    </w:div>
    <w:div w:id="1090546366">
      <w:bodyDiv w:val="1"/>
      <w:marLeft w:val="0"/>
      <w:marRight w:val="0"/>
      <w:marTop w:val="0"/>
      <w:marBottom w:val="0"/>
      <w:divBdr>
        <w:top w:val="none" w:sz="0" w:space="0" w:color="auto"/>
        <w:left w:val="none" w:sz="0" w:space="0" w:color="auto"/>
        <w:bottom w:val="none" w:sz="0" w:space="0" w:color="auto"/>
        <w:right w:val="none" w:sz="0" w:space="0" w:color="auto"/>
      </w:divBdr>
    </w:div>
    <w:div w:id="1095977844">
      <w:bodyDiv w:val="1"/>
      <w:marLeft w:val="0"/>
      <w:marRight w:val="0"/>
      <w:marTop w:val="0"/>
      <w:marBottom w:val="0"/>
      <w:divBdr>
        <w:top w:val="none" w:sz="0" w:space="0" w:color="auto"/>
        <w:left w:val="none" w:sz="0" w:space="0" w:color="auto"/>
        <w:bottom w:val="none" w:sz="0" w:space="0" w:color="auto"/>
        <w:right w:val="none" w:sz="0" w:space="0" w:color="auto"/>
      </w:divBdr>
    </w:div>
    <w:div w:id="1108935335">
      <w:bodyDiv w:val="1"/>
      <w:marLeft w:val="0"/>
      <w:marRight w:val="0"/>
      <w:marTop w:val="0"/>
      <w:marBottom w:val="0"/>
      <w:divBdr>
        <w:top w:val="none" w:sz="0" w:space="0" w:color="auto"/>
        <w:left w:val="none" w:sz="0" w:space="0" w:color="auto"/>
        <w:bottom w:val="none" w:sz="0" w:space="0" w:color="auto"/>
        <w:right w:val="none" w:sz="0" w:space="0" w:color="auto"/>
      </w:divBdr>
    </w:div>
    <w:div w:id="1135299387">
      <w:bodyDiv w:val="1"/>
      <w:marLeft w:val="0"/>
      <w:marRight w:val="0"/>
      <w:marTop w:val="0"/>
      <w:marBottom w:val="0"/>
      <w:divBdr>
        <w:top w:val="none" w:sz="0" w:space="0" w:color="auto"/>
        <w:left w:val="none" w:sz="0" w:space="0" w:color="auto"/>
        <w:bottom w:val="none" w:sz="0" w:space="0" w:color="auto"/>
        <w:right w:val="none" w:sz="0" w:space="0" w:color="auto"/>
      </w:divBdr>
    </w:div>
    <w:div w:id="1182669902">
      <w:bodyDiv w:val="1"/>
      <w:marLeft w:val="0"/>
      <w:marRight w:val="0"/>
      <w:marTop w:val="0"/>
      <w:marBottom w:val="0"/>
      <w:divBdr>
        <w:top w:val="none" w:sz="0" w:space="0" w:color="auto"/>
        <w:left w:val="none" w:sz="0" w:space="0" w:color="auto"/>
        <w:bottom w:val="none" w:sz="0" w:space="0" w:color="auto"/>
        <w:right w:val="none" w:sz="0" w:space="0" w:color="auto"/>
      </w:divBdr>
    </w:div>
    <w:div w:id="1216896138">
      <w:bodyDiv w:val="1"/>
      <w:marLeft w:val="0"/>
      <w:marRight w:val="0"/>
      <w:marTop w:val="0"/>
      <w:marBottom w:val="0"/>
      <w:divBdr>
        <w:top w:val="none" w:sz="0" w:space="0" w:color="auto"/>
        <w:left w:val="none" w:sz="0" w:space="0" w:color="auto"/>
        <w:bottom w:val="none" w:sz="0" w:space="0" w:color="auto"/>
        <w:right w:val="none" w:sz="0" w:space="0" w:color="auto"/>
      </w:divBdr>
    </w:div>
    <w:div w:id="1229341900">
      <w:bodyDiv w:val="1"/>
      <w:marLeft w:val="0"/>
      <w:marRight w:val="0"/>
      <w:marTop w:val="0"/>
      <w:marBottom w:val="0"/>
      <w:divBdr>
        <w:top w:val="none" w:sz="0" w:space="0" w:color="auto"/>
        <w:left w:val="none" w:sz="0" w:space="0" w:color="auto"/>
        <w:bottom w:val="none" w:sz="0" w:space="0" w:color="auto"/>
        <w:right w:val="none" w:sz="0" w:space="0" w:color="auto"/>
      </w:divBdr>
    </w:div>
    <w:div w:id="1235317943">
      <w:bodyDiv w:val="1"/>
      <w:marLeft w:val="0"/>
      <w:marRight w:val="0"/>
      <w:marTop w:val="0"/>
      <w:marBottom w:val="0"/>
      <w:divBdr>
        <w:top w:val="none" w:sz="0" w:space="0" w:color="auto"/>
        <w:left w:val="none" w:sz="0" w:space="0" w:color="auto"/>
        <w:bottom w:val="none" w:sz="0" w:space="0" w:color="auto"/>
        <w:right w:val="none" w:sz="0" w:space="0" w:color="auto"/>
      </w:divBdr>
    </w:div>
    <w:div w:id="1313872001">
      <w:bodyDiv w:val="1"/>
      <w:marLeft w:val="0"/>
      <w:marRight w:val="0"/>
      <w:marTop w:val="0"/>
      <w:marBottom w:val="0"/>
      <w:divBdr>
        <w:top w:val="none" w:sz="0" w:space="0" w:color="auto"/>
        <w:left w:val="none" w:sz="0" w:space="0" w:color="auto"/>
        <w:bottom w:val="none" w:sz="0" w:space="0" w:color="auto"/>
        <w:right w:val="none" w:sz="0" w:space="0" w:color="auto"/>
      </w:divBdr>
      <w:divsChild>
        <w:div w:id="740444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93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152412">
      <w:bodyDiv w:val="1"/>
      <w:marLeft w:val="0"/>
      <w:marRight w:val="0"/>
      <w:marTop w:val="0"/>
      <w:marBottom w:val="0"/>
      <w:divBdr>
        <w:top w:val="none" w:sz="0" w:space="0" w:color="auto"/>
        <w:left w:val="none" w:sz="0" w:space="0" w:color="auto"/>
        <w:bottom w:val="none" w:sz="0" w:space="0" w:color="auto"/>
        <w:right w:val="none" w:sz="0" w:space="0" w:color="auto"/>
      </w:divBdr>
    </w:div>
    <w:div w:id="1320845303">
      <w:bodyDiv w:val="1"/>
      <w:marLeft w:val="0"/>
      <w:marRight w:val="0"/>
      <w:marTop w:val="0"/>
      <w:marBottom w:val="0"/>
      <w:divBdr>
        <w:top w:val="none" w:sz="0" w:space="0" w:color="auto"/>
        <w:left w:val="none" w:sz="0" w:space="0" w:color="auto"/>
        <w:bottom w:val="none" w:sz="0" w:space="0" w:color="auto"/>
        <w:right w:val="none" w:sz="0" w:space="0" w:color="auto"/>
      </w:divBdr>
    </w:div>
    <w:div w:id="1338270374">
      <w:bodyDiv w:val="1"/>
      <w:marLeft w:val="0"/>
      <w:marRight w:val="0"/>
      <w:marTop w:val="0"/>
      <w:marBottom w:val="0"/>
      <w:divBdr>
        <w:top w:val="none" w:sz="0" w:space="0" w:color="auto"/>
        <w:left w:val="none" w:sz="0" w:space="0" w:color="auto"/>
        <w:bottom w:val="none" w:sz="0" w:space="0" w:color="auto"/>
        <w:right w:val="none" w:sz="0" w:space="0" w:color="auto"/>
      </w:divBdr>
    </w:div>
    <w:div w:id="1424688580">
      <w:bodyDiv w:val="1"/>
      <w:marLeft w:val="0"/>
      <w:marRight w:val="0"/>
      <w:marTop w:val="0"/>
      <w:marBottom w:val="0"/>
      <w:divBdr>
        <w:top w:val="none" w:sz="0" w:space="0" w:color="auto"/>
        <w:left w:val="none" w:sz="0" w:space="0" w:color="auto"/>
        <w:bottom w:val="none" w:sz="0" w:space="0" w:color="auto"/>
        <w:right w:val="none" w:sz="0" w:space="0" w:color="auto"/>
      </w:divBdr>
    </w:div>
    <w:div w:id="1478762681">
      <w:bodyDiv w:val="1"/>
      <w:marLeft w:val="0"/>
      <w:marRight w:val="0"/>
      <w:marTop w:val="0"/>
      <w:marBottom w:val="0"/>
      <w:divBdr>
        <w:top w:val="none" w:sz="0" w:space="0" w:color="auto"/>
        <w:left w:val="none" w:sz="0" w:space="0" w:color="auto"/>
        <w:bottom w:val="none" w:sz="0" w:space="0" w:color="auto"/>
        <w:right w:val="none" w:sz="0" w:space="0" w:color="auto"/>
      </w:divBdr>
    </w:div>
    <w:div w:id="1481074736">
      <w:bodyDiv w:val="1"/>
      <w:marLeft w:val="0"/>
      <w:marRight w:val="0"/>
      <w:marTop w:val="0"/>
      <w:marBottom w:val="0"/>
      <w:divBdr>
        <w:top w:val="none" w:sz="0" w:space="0" w:color="auto"/>
        <w:left w:val="none" w:sz="0" w:space="0" w:color="auto"/>
        <w:bottom w:val="none" w:sz="0" w:space="0" w:color="auto"/>
        <w:right w:val="none" w:sz="0" w:space="0" w:color="auto"/>
      </w:divBdr>
    </w:div>
    <w:div w:id="1481076943">
      <w:bodyDiv w:val="1"/>
      <w:marLeft w:val="0"/>
      <w:marRight w:val="0"/>
      <w:marTop w:val="0"/>
      <w:marBottom w:val="0"/>
      <w:divBdr>
        <w:top w:val="none" w:sz="0" w:space="0" w:color="auto"/>
        <w:left w:val="none" w:sz="0" w:space="0" w:color="auto"/>
        <w:bottom w:val="none" w:sz="0" w:space="0" w:color="auto"/>
        <w:right w:val="none" w:sz="0" w:space="0" w:color="auto"/>
      </w:divBdr>
    </w:div>
    <w:div w:id="1489125561">
      <w:bodyDiv w:val="1"/>
      <w:marLeft w:val="0"/>
      <w:marRight w:val="0"/>
      <w:marTop w:val="0"/>
      <w:marBottom w:val="0"/>
      <w:divBdr>
        <w:top w:val="none" w:sz="0" w:space="0" w:color="auto"/>
        <w:left w:val="none" w:sz="0" w:space="0" w:color="auto"/>
        <w:bottom w:val="none" w:sz="0" w:space="0" w:color="auto"/>
        <w:right w:val="none" w:sz="0" w:space="0" w:color="auto"/>
      </w:divBdr>
    </w:div>
    <w:div w:id="1533498471">
      <w:bodyDiv w:val="1"/>
      <w:marLeft w:val="0"/>
      <w:marRight w:val="0"/>
      <w:marTop w:val="0"/>
      <w:marBottom w:val="0"/>
      <w:divBdr>
        <w:top w:val="none" w:sz="0" w:space="0" w:color="auto"/>
        <w:left w:val="none" w:sz="0" w:space="0" w:color="auto"/>
        <w:bottom w:val="none" w:sz="0" w:space="0" w:color="auto"/>
        <w:right w:val="none" w:sz="0" w:space="0" w:color="auto"/>
      </w:divBdr>
    </w:div>
    <w:div w:id="1544487534">
      <w:bodyDiv w:val="1"/>
      <w:marLeft w:val="0"/>
      <w:marRight w:val="0"/>
      <w:marTop w:val="0"/>
      <w:marBottom w:val="0"/>
      <w:divBdr>
        <w:top w:val="none" w:sz="0" w:space="0" w:color="auto"/>
        <w:left w:val="none" w:sz="0" w:space="0" w:color="auto"/>
        <w:bottom w:val="none" w:sz="0" w:space="0" w:color="auto"/>
        <w:right w:val="none" w:sz="0" w:space="0" w:color="auto"/>
      </w:divBdr>
    </w:div>
    <w:div w:id="1566451030">
      <w:bodyDiv w:val="1"/>
      <w:marLeft w:val="0"/>
      <w:marRight w:val="0"/>
      <w:marTop w:val="0"/>
      <w:marBottom w:val="0"/>
      <w:divBdr>
        <w:top w:val="none" w:sz="0" w:space="0" w:color="auto"/>
        <w:left w:val="none" w:sz="0" w:space="0" w:color="auto"/>
        <w:bottom w:val="none" w:sz="0" w:space="0" w:color="auto"/>
        <w:right w:val="none" w:sz="0" w:space="0" w:color="auto"/>
      </w:divBdr>
    </w:div>
    <w:div w:id="1592086183">
      <w:bodyDiv w:val="1"/>
      <w:marLeft w:val="0"/>
      <w:marRight w:val="0"/>
      <w:marTop w:val="0"/>
      <w:marBottom w:val="0"/>
      <w:divBdr>
        <w:top w:val="none" w:sz="0" w:space="0" w:color="auto"/>
        <w:left w:val="none" w:sz="0" w:space="0" w:color="auto"/>
        <w:bottom w:val="none" w:sz="0" w:space="0" w:color="auto"/>
        <w:right w:val="none" w:sz="0" w:space="0" w:color="auto"/>
      </w:divBdr>
    </w:div>
    <w:div w:id="1596984371">
      <w:bodyDiv w:val="1"/>
      <w:marLeft w:val="0"/>
      <w:marRight w:val="0"/>
      <w:marTop w:val="0"/>
      <w:marBottom w:val="0"/>
      <w:divBdr>
        <w:top w:val="none" w:sz="0" w:space="0" w:color="auto"/>
        <w:left w:val="none" w:sz="0" w:space="0" w:color="auto"/>
        <w:bottom w:val="none" w:sz="0" w:space="0" w:color="auto"/>
        <w:right w:val="none" w:sz="0" w:space="0" w:color="auto"/>
      </w:divBdr>
    </w:div>
    <w:div w:id="1607731235">
      <w:bodyDiv w:val="1"/>
      <w:marLeft w:val="0"/>
      <w:marRight w:val="0"/>
      <w:marTop w:val="0"/>
      <w:marBottom w:val="0"/>
      <w:divBdr>
        <w:top w:val="none" w:sz="0" w:space="0" w:color="auto"/>
        <w:left w:val="none" w:sz="0" w:space="0" w:color="auto"/>
        <w:bottom w:val="none" w:sz="0" w:space="0" w:color="auto"/>
        <w:right w:val="none" w:sz="0" w:space="0" w:color="auto"/>
      </w:divBdr>
    </w:div>
    <w:div w:id="1635865986">
      <w:bodyDiv w:val="1"/>
      <w:marLeft w:val="0"/>
      <w:marRight w:val="0"/>
      <w:marTop w:val="0"/>
      <w:marBottom w:val="0"/>
      <w:divBdr>
        <w:top w:val="none" w:sz="0" w:space="0" w:color="auto"/>
        <w:left w:val="none" w:sz="0" w:space="0" w:color="auto"/>
        <w:bottom w:val="none" w:sz="0" w:space="0" w:color="auto"/>
        <w:right w:val="none" w:sz="0" w:space="0" w:color="auto"/>
      </w:divBdr>
    </w:div>
    <w:div w:id="1679697750">
      <w:bodyDiv w:val="1"/>
      <w:marLeft w:val="0"/>
      <w:marRight w:val="0"/>
      <w:marTop w:val="0"/>
      <w:marBottom w:val="0"/>
      <w:divBdr>
        <w:top w:val="none" w:sz="0" w:space="0" w:color="auto"/>
        <w:left w:val="none" w:sz="0" w:space="0" w:color="auto"/>
        <w:bottom w:val="none" w:sz="0" w:space="0" w:color="auto"/>
        <w:right w:val="none" w:sz="0" w:space="0" w:color="auto"/>
      </w:divBdr>
      <w:divsChild>
        <w:div w:id="2033725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897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1616517">
      <w:bodyDiv w:val="1"/>
      <w:marLeft w:val="0"/>
      <w:marRight w:val="0"/>
      <w:marTop w:val="0"/>
      <w:marBottom w:val="0"/>
      <w:divBdr>
        <w:top w:val="none" w:sz="0" w:space="0" w:color="auto"/>
        <w:left w:val="none" w:sz="0" w:space="0" w:color="auto"/>
        <w:bottom w:val="none" w:sz="0" w:space="0" w:color="auto"/>
        <w:right w:val="none" w:sz="0" w:space="0" w:color="auto"/>
      </w:divBdr>
    </w:div>
    <w:div w:id="1690645424">
      <w:bodyDiv w:val="1"/>
      <w:marLeft w:val="0"/>
      <w:marRight w:val="0"/>
      <w:marTop w:val="0"/>
      <w:marBottom w:val="0"/>
      <w:divBdr>
        <w:top w:val="none" w:sz="0" w:space="0" w:color="auto"/>
        <w:left w:val="none" w:sz="0" w:space="0" w:color="auto"/>
        <w:bottom w:val="none" w:sz="0" w:space="0" w:color="auto"/>
        <w:right w:val="none" w:sz="0" w:space="0" w:color="auto"/>
      </w:divBdr>
    </w:div>
    <w:div w:id="1750299676">
      <w:bodyDiv w:val="1"/>
      <w:marLeft w:val="0"/>
      <w:marRight w:val="0"/>
      <w:marTop w:val="0"/>
      <w:marBottom w:val="0"/>
      <w:divBdr>
        <w:top w:val="none" w:sz="0" w:space="0" w:color="auto"/>
        <w:left w:val="none" w:sz="0" w:space="0" w:color="auto"/>
        <w:bottom w:val="none" w:sz="0" w:space="0" w:color="auto"/>
        <w:right w:val="none" w:sz="0" w:space="0" w:color="auto"/>
      </w:divBdr>
    </w:div>
    <w:div w:id="1752581897">
      <w:bodyDiv w:val="1"/>
      <w:marLeft w:val="0"/>
      <w:marRight w:val="0"/>
      <w:marTop w:val="0"/>
      <w:marBottom w:val="0"/>
      <w:divBdr>
        <w:top w:val="none" w:sz="0" w:space="0" w:color="auto"/>
        <w:left w:val="none" w:sz="0" w:space="0" w:color="auto"/>
        <w:bottom w:val="none" w:sz="0" w:space="0" w:color="auto"/>
        <w:right w:val="none" w:sz="0" w:space="0" w:color="auto"/>
      </w:divBdr>
    </w:div>
    <w:div w:id="1772503315">
      <w:bodyDiv w:val="1"/>
      <w:marLeft w:val="0"/>
      <w:marRight w:val="0"/>
      <w:marTop w:val="0"/>
      <w:marBottom w:val="0"/>
      <w:divBdr>
        <w:top w:val="none" w:sz="0" w:space="0" w:color="auto"/>
        <w:left w:val="none" w:sz="0" w:space="0" w:color="auto"/>
        <w:bottom w:val="none" w:sz="0" w:space="0" w:color="auto"/>
        <w:right w:val="none" w:sz="0" w:space="0" w:color="auto"/>
      </w:divBdr>
    </w:div>
    <w:div w:id="1792165441">
      <w:bodyDiv w:val="1"/>
      <w:marLeft w:val="0"/>
      <w:marRight w:val="0"/>
      <w:marTop w:val="0"/>
      <w:marBottom w:val="0"/>
      <w:divBdr>
        <w:top w:val="none" w:sz="0" w:space="0" w:color="auto"/>
        <w:left w:val="none" w:sz="0" w:space="0" w:color="auto"/>
        <w:bottom w:val="none" w:sz="0" w:space="0" w:color="auto"/>
        <w:right w:val="none" w:sz="0" w:space="0" w:color="auto"/>
      </w:divBdr>
      <w:divsChild>
        <w:div w:id="1160582677">
          <w:blockQuote w:val="1"/>
          <w:marLeft w:val="720"/>
          <w:marRight w:val="720"/>
          <w:marTop w:val="100"/>
          <w:marBottom w:val="100"/>
          <w:divBdr>
            <w:top w:val="none" w:sz="0" w:space="0" w:color="auto"/>
            <w:left w:val="none" w:sz="0" w:space="0" w:color="auto"/>
            <w:bottom w:val="none" w:sz="0" w:space="0" w:color="auto"/>
            <w:right w:val="none" w:sz="0" w:space="0" w:color="auto"/>
          </w:divBdr>
        </w:div>
        <w:div w:id="80369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338116">
      <w:bodyDiv w:val="1"/>
      <w:marLeft w:val="0"/>
      <w:marRight w:val="0"/>
      <w:marTop w:val="0"/>
      <w:marBottom w:val="0"/>
      <w:divBdr>
        <w:top w:val="none" w:sz="0" w:space="0" w:color="auto"/>
        <w:left w:val="none" w:sz="0" w:space="0" w:color="auto"/>
        <w:bottom w:val="none" w:sz="0" w:space="0" w:color="auto"/>
        <w:right w:val="none" w:sz="0" w:space="0" w:color="auto"/>
      </w:divBdr>
    </w:div>
    <w:div w:id="1816920073">
      <w:bodyDiv w:val="1"/>
      <w:marLeft w:val="0"/>
      <w:marRight w:val="0"/>
      <w:marTop w:val="0"/>
      <w:marBottom w:val="0"/>
      <w:divBdr>
        <w:top w:val="none" w:sz="0" w:space="0" w:color="auto"/>
        <w:left w:val="none" w:sz="0" w:space="0" w:color="auto"/>
        <w:bottom w:val="none" w:sz="0" w:space="0" w:color="auto"/>
        <w:right w:val="none" w:sz="0" w:space="0" w:color="auto"/>
      </w:divBdr>
    </w:div>
    <w:div w:id="1881898979">
      <w:bodyDiv w:val="1"/>
      <w:marLeft w:val="0"/>
      <w:marRight w:val="0"/>
      <w:marTop w:val="0"/>
      <w:marBottom w:val="0"/>
      <w:divBdr>
        <w:top w:val="none" w:sz="0" w:space="0" w:color="auto"/>
        <w:left w:val="none" w:sz="0" w:space="0" w:color="auto"/>
        <w:bottom w:val="none" w:sz="0" w:space="0" w:color="auto"/>
        <w:right w:val="none" w:sz="0" w:space="0" w:color="auto"/>
      </w:divBdr>
    </w:div>
    <w:div w:id="1928228274">
      <w:bodyDiv w:val="1"/>
      <w:marLeft w:val="0"/>
      <w:marRight w:val="0"/>
      <w:marTop w:val="0"/>
      <w:marBottom w:val="0"/>
      <w:divBdr>
        <w:top w:val="none" w:sz="0" w:space="0" w:color="auto"/>
        <w:left w:val="none" w:sz="0" w:space="0" w:color="auto"/>
        <w:bottom w:val="none" w:sz="0" w:space="0" w:color="auto"/>
        <w:right w:val="none" w:sz="0" w:space="0" w:color="auto"/>
      </w:divBdr>
      <w:divsChild>
        <w:div w:id="534119828">
          <w:blockQuote w:val="1"/>
          <w:marLeft w:val="720"/>
          <w:marRight w:val="720"/>
          <w:marTop w:val="100"/>
          <w:marBottom w:val="100"/>
          <w:divBdr>
            <w:top w:val="none" w:sz="0" w:space="0" w:color="auto"/>
            <w:left w:val="none" w:sz="0" w:space="0" w:color="auto"/>
            <w:bottom w:val="none" w:sz="0" w:space="0" w:color="auto"/>
            <w:right w:val="none" w:sz="0" w:space="0" w:color="auto"/>
          </w:divBdr>
        </w:div>
        <w:div w:id="431704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969045">
      <w:bodyDiv w:val="1"/>
      <w:marLeft w:val="0"/>
      <w:marRight w:val="0"/>
      <w:marTop w:val="0"/>
      <w:marBottom w:val="0"/>
      <w:divBdr>
        <w:top w:val="none" w:sz="0" w:space="0" w:color="auto"/>
        <w:left w:val="none" w:sz="0" w:space="0" w:color="auto"/>
        <w:bottom w:val="none" w:sz="0" w:space="0" w:color="auto"/>
        <w:right w:val="none" w:sz="0" w:space="0" w:color="auto"/>
      </w:divBdr>
    </w:div>
    <w:div w:id="1956253386">
      <w:bodyDiv w:val="1"/>
      <w:marLeft w:val="0"/>
      <w:marRight w:val="0"/>
      <w:marTop w:val="0"/>
      <w:marBottom w:val="0"/>
      <w:divBdr>
        <w:top w:val="none" w:sz="0" w:space="0" w:color="auto"/>
        <w:left w:val="none" w:sz="0" w:space="0" w:color="auto"/>
        <w:bottom w:val="none" w:sz="0" w:space="0" w:color="auto"/>
        <w:right w:val="none" w:sz="0" w:space="0" w:color="auto"/>
      </w:divBdr>
    </w:div>
    <w:div w:id="2034570138">
      <w:bodyDiv w:val="1"/>
      <w:marLeft w:val="0"/>
      <w:marRight w:val="0"/>
      <w:marTop w:val="0"/>
      <w:marBottom w:val="0"/>
      <w:divBdr>
        <w:top w:val="none" w:sz="0" w:space="0" w:color="auto"/>
        <w:left w:val="none" w:sz="0" w:space="0" w:color="auto"/>
        <w:bottom w:val="none" w:sz="0" w:space="0" w:color="auto"/>
        <w:right w:val="none" w:sz="0" w:space="0" w:color="auto"/>
      </w:divBdr>
    </w:div>
    <w:div w:id="2051222252">
      <w:bodyDiv w:val="1"/>
      <w:marLeft w:val="0"/>
      <w:marRight w:val="0"/>
      <w:marTop w:val="0"/>
      <w:marBottom w:val="0"/>
      <w:divBdr>
        <w:top w:val="none" w:sz="0" w:space="0" w:color="auto"/>
        <w:left w:val="none" w:sz="0" w:space="0" w:color="auto"/>
        <w:bottom w:val="none" w:sz="0" w:space="0" w:color="auto"/>
        <w:right w:val="none" w:sz="0" w:space="0" w:color="auto"/>
      </w:divBdr>
      <w:divsChild>
        <w:div w:id="9413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50252">
      <w:bodyDiv w:val="1"/>
      <w:marLeft w:val="0"/>
      <w:marRight w:val="0"/>
      <w:marTop w:val="0"/>
      <w:marBottom w:val="0"/>
      <w:divBdr>
        <w:top w:val="none" w:sz="0" w:space="0" w:color="auto"/>
        <w:left w:val="none" w:sz="0" w:space="0" w:color="auto"/>
        <w:bottom w:val="none" w:sz="0" w:space="0" w:color="auto"/>
        <w:right w:val="none" w:sz="0" w:space="0" w:color="auto"/>
      </w:divBdr>
    </w:div>
    <w:div w:id="2085296209">
      <w:bodyDiv w:val="1"/>
      <w:marLeft w:val="0"/>
      <w:marRight w:val="0"/>
      <w:marTop w:val="0"/>
      <w:marBottom w:val="0"/>
      <w:divBdr>
        <w:top w:val="none" w:sz="0" w:space="0" w:color="auto"/>
        <w:left w:val="none" w:sz="0" w:space="0" w:color="auto"/>
        <w:bottom w:val="none" w:sz="0" w:space="0" w:color="auto"/>
        <w:right w:val="none" w:sz="0" w:space="0" w:color="auto"/>
      </w:divBdr>
    </w:div>
    <w:div w:id="2092583383">
      <w:bodyDiv w:val="1"/>
      <w:marLeft w:val="0"/>
      <w:marRight w:val="0"/>
      <w:marTop w:val="0"/>
      <w:marBottom w:val="0"/>
      <w:divBdr>
        <w:top w:val="none" w:sz="0" w:space="0" w:color="auto"/>
        <w:left w:val="none" w:sz="0" w:space="0" w:color="auto"/>
        <w:bottom w:val="none" w:sz="0" w:space="0" w:color="auto"/>
        <w:right w:val="none" w:sz="0" w:space="0" w:color="auto"/>
      </w:divBdr>
      <w:divsChild>
        <w:div w:id="18587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70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3211133">
      <w:bodyDiv w:val="1"/>
      <w:marLeft w:val="0"/>
      <w:marRight w:val="0"/>
      <w:marTop w:val="0"/>
      <w:marBottom w:val="0"/>
      <w:divBdr>
        <w:top w:val="none" w:sz="0" w:space="0" w:color="auto"/>
        <w:left w:val="none" w:sz="0" w:space="0" w:color="auto"/>
        <w:bottom w:val="none" w:sz="0" w:space="0" w:color="auto"/>
        <w:right w:val="none" w:sz="0" w:space="0" w:color="auto"/>
      </w:divBdr>
    </w:div>
    <w:div w:id="2125494782">
      <w:bodyDiv w:val="1"/>
      <w:marLeft w:val="0"/>
      <w:marRight w:val="0"/>
      <w:marTop w:val="0"/>
      <w:marBottom w:val="0"/>
      <w:divBdr>
        <w:top w:val="none" w:sz="0" w:space="0" w:color="auto"/>
        <w:left w:val="none" w:sz="0" w:space="0" w:color="auto"/>
        <w:bottom w:val="none" w:sz="0" w:space="0" w:color="auto"/>
        <w:right w:val="none" w:sz="0" w:space="0" w:color="auto"/>
      </w:divBdr>
    </w:div>
    <w:div w:id="2128967227">
      <w:bodyDiv w:val="1"/>
      <w:marLeft w:val="0"/>
      <w:marRight w:val="0"/>
      <w:marTop w:val="0"/>
      <w:marBottom w:val="0"/>
      <w:divBdr>
        <w:top w:val="none" w:sz="0" w:space="0" w:color="auto"/>
        <w:left w:val="none" w:sz="0" w:space="0" w:color="auto"/>
        <w:bottom w:val="none" w:sz="0" w:space="0" w:color="auto"/>
        <w:right w:val="none" w:sz="0" w:space="0" w:color="auto"/>
      </w:divBdr>
    </w:div>
    <w:div w:id="2140147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ho.int/publications/i/item/WHO-SDE-PHE-OEH-06.0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17</Pages>
  <Words>4119</Words>
  <Characters>23479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Kh</dc:creator>
  <cp:keywords/>
  <dc:description/>
  <cp:lastModifiedBy>Mariam Kh</cp:lastModifiedBy>
  <cp:revision>35</cp:revision>
  <dcterms:created xsi:type="dcterms:W3CDTF">2025-04-16T08:05:00Z</dcterms:created>
  <dcterms:modified xsi:type="dcterms:W3CDTF">2025-05-06T09:40:00Z</dcterms:modified>
</cp:coreProperties>
</file>