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9B6B7" w14:textId="77777777" w:rsidR="002D3EB4" w:rsidRDefault="002D3EB4" w:rsidP="005963D1">
      <w:pPr>
        <w:spacing w:line="480" w:lineRule="auto"/>
        <w:jc w:val="center"/>
        <w:outlineLvl w:val="0"/>
        <w:rPr>
          <w:color w:val="000000" w:themeColor="text1"/>
          <w:lang w:val="en-CA"/>
        </w:rPr>
      </w:pPr>
    </w:p>
    <w:p w14:paraId="1FDDD4F3" w14:textId="77777777" w:rsidR="005963D1" w:rsidRDefault="005963D1" w:rsidP="005963D1">
      <w:pPr>
        <w:spacing w:line="480" w:lineRule="auto"/>
        <w:jc w:val="center"/>
        <w:outlineLvl w:val="0"/>
        <w:rPr>
          <w:color w:val="000000" w:themeColor="text1"/>
          <w:lang w:val="en-CA"/>
        </w:rPr>
      </w:pPr>
    </w:p>
    <w:p w14:paraId="1C3F4473" w14:textId="77777777" w:rsidR="005963D1" w:rsidRDefault="005963D1" w:rsidP="005963D1">
      <w:pPr>
        <w:spacing w:line="480" w:lineRule="auto"/>
        <w:jc w:val="center"/>
        <w:outlineLvl w:val="0"/>
        <w:rPr>
          <w:color w:val="000000" w:themeColor="text1"/>
          <w:lang w:val="en-CA"/>
        </w:rPr>
      </w:pPr>
    </w:p>
    <w:p w14:paraId="615B4113" w14:textId="77777777" w:rsidR="005963D1" w:rsidRDefault="005963D1" w:rsidP="005963D1">
      <w:pPr>
        <w:spacing w:line="480" w:lineRule="auto"/>
        <w:outlineLvl w:val="0"/>
        <w:rPr>
          <w:color w:val="000000" w:themeColor="text1"/>
          <w:lang w:val="en-CA"/>
        </w:rPr>
      </w:pPr>
    </w:p>
    <w:p w14:paraId="04DC531E" w14:textId="77777777" w:rsidR="005963D1" w:rsidRDefault="005963D1" w:rsidP="005963D1">
      <w:pPr>
        <w:spacing w:line="480" w:lineRule="auto"/>
        <w:jc w:val="center"/>
        <w:outlineLvl w:val="0"/>
        <w:rPr>
          <w:color w:val="000000" w:themeColor="text1"/>
          <w:lang w:val="en-CA"/>
        </w:rPr>
      </w:pPr>
    </w:p>
    <w:p w14:paraId="04AA0DCA" w14:textId="77777777" w:rsidR="005963D1" w:rsidRDefault="005963D1" w:rsidP="005963D1">
      <w:pPr>
        <w:spacing w:line="480" w:lineRule="auto"/>
        <w:jc w:val="center"/>
        <w:outlineLvl w:val="0"/>
        <w:rPr>
          <w:color w:val="000000" w:themeColor="text1"/>
          <w:lang w:val="en-CA"/>
        </w:rPr>
      </w:pPr>
    </w:p>
    <w:p w14:paraId="304C4F1F" w14:textId="77777777" w:rsidR="002D3EB4" w:rsidRDefault="002D3EB4" w:rsidP="005963D1">
      <w:pPr>
        <w:spacing w:line="480" w:lineRule="auto"/>
        <w:jc w:val="center"/>
        <w:outlineLvl w:val="0"/>
        <w:rPr>
          <w:color w:val="000000" w:themeColor="text1"/>
          <w:lang w:val="en-CA"/>
        </w:rPr>
      </w:pPr>
      <w:r w:rsidRPr="006F5B5F">
        <w:rPr>
          <w:color w:val="000000" w:themeColor="text1"/>
          <w:lang w:val="en-CA"/>
        </w:rPr>
        <w:t>Visualizing Diagnostic Accuracy Measures to Improve Patient Care</w:t>
      </w:r>
    </w:p>
    <w:p w14:paraId="43B8F25D" w14:textId="77777777" w:rsidR="005963D1" w:rsidRDefault="005963D1" w:rsidP="005963D1">
      <w:pPr>
        <w:spacing w:line="480" w:lineRule="auto"/>
        <w:outlineLvl w:val="0"/>
        <w:rPr>
          <w:color w:val="000000" w:themeColor="text1"/>
          <w:lang w:val="en-CA"/>
        </w:rPr>
      </w:pPr>
    </w:p>
    <w:p w14:paraId="2936AB9C" w14:textId="77777777" w:rsidR="005963D1" w:rsidRDefault="005963D1" w:rsidP="005963D1">
      <w:pPr>
        <w:spacing w:line="480" w:lineRule="auto"/>
        <w:jc w:val="center"/>
        <w:outlineLvl w:val="0"/>
        <w:rPr>
          <w:color w:val="000000" w:themeColor="text1"/>
          <w:lang w:val="en-CA"/>
        </w:rPr>
      </w:pPr>
    </w:p>
    <w:p w14:paraId="3B18B16A" w14:textId="07F28953" w:rsidR="002D3EB4" w:rsidRDefault="00E871D4" w:rsidP="005963D1">
      <w:pPr>
        <w:spacing w:line="480" w:lineRule="auto"/>
        <w:jc w:val="center"/>
        <w:outlineLvl w:val="0"/>
        <w:rPr>
          <w:color w:val="000000" w:themeColor="text1"/>
          <w:lang w:val="en-CA"/>
        </w:rPr>
      </w:pPr>
      <w:r>
        <w:rPr>
          <w:color w:val="000000" w:themeColor="text1"/>
          <w:lang w:val="en-CA"/>
        </w:rPr>
        <w:t xml:space="preserve">Syeda </w:t>
      </w:r>
      <w:r w:rsidR="002D3EB4">
        <w:rPr>
          <w:color w:val="000000" w:themeColor="text1"/>
          <w:lang w:val="en-CA"/>
        </w:rPr>
        <w:t>K.B. Zaidi</w:t>
      </w:r>
    </w:p>
    <w:p w14:paraId="5141F038" w14:textId="03B7CB33" w:rsidR="002D3EB4" w:rsidRDefault="002D3EB4" w:rsidP="005963D1">
      <w:pPr>
        <w:spacing w:line="480" w:lineRule="auto"/>
        <w:jc w:val="center"/>
        <w:outlineLvl w:val="0"/>
        <w:rPr>
          <w:color w:val="000000" w:themeColor="text1"/>
          <w:lang w:val="en-CA"/>
        </w:rPr>
      </w:pPr>
      <w:r>
        <w:rPr>
          <w:color w:val="000000" w:themeColor="text1"/>
          <w:lang w:val="en-CA"/>
        </w:rPr>
        <w:t>214686</w:t>
      </w:r>
      <w:r w:rsidR="005963D1">
        <w:rPr>
          <w:color w:val="000000" w:themeColor="text1"/>
          <w:lang w:val="en-CA"/>
        </w:rPr>
        <w:t xml:space="preserve">950 </w:t>
      </w:r>
    </w:p>
    <w:p w14:paraId="3D5AF711" w14:textId="77777777" w:rsidR="002D3EB4" w:rsidRDefault="002D3EB4" w:rsidP="005963D1">
      <w:pPr>
        <w:spacing w:line="480" w:lineRule="auto"/>
        <w:jc w:val="center"/>
        <w:outlineLvl w:val="0"/>
        <w:rPr>
          <w:color w:val="000000" w:themeColor="text1"/>
          <w:lang w:val="en-CA"/>
        </w:rPr>
      </w:pPr>
    </w:p>
    <w:p w14:paraId="04904259" w14:textId="77777777" w:rsidR="005963D1" w:rsidRDefault="005963D1" w:rsidP="005963D1">
      <w:pPr>
        <w:spacing w:line="480" w:lineRule="auto"/>
        <w:outlineLvl w:val="0"/>
        <w:rPr>
          <w:color w:val="000000" w:themeColor="text1"/>
          <w:lang w:val="en-CA"/>
        </w:rPr>
      </w:pPr>
    </w:p>
    <w:p w14:paraId="2D4E02C3" w14:textId="77777777" w:rsidR="005963D1" w:rsidRDefault="005963D1" w:rsidP="005963D1">
      <w:pPr>
        <w:spacing w:line="480" w:lineRule="auto"/>
        <w:jc w:val="center"/>
        <w:outlineLvl w:val="0"/>
        <w:rPr>
          <w:color w:val="000000" w:themeColor="text1"/>
          <w:lang w:val="en-CA"/>
        </w:rPr>
      </w:pPr>
    </w:p>
    <w:p w14:paraId="24CCAFAF" w14:textId="77777777" w:rsidR="005963D1" w:rsidRDefault="005963D1" w:rsidP="005963D1">
      <w:pPr>
        <w:spacing w:line="480" w:lineRule="auto"/>
        <w:jc w:val="center"/>
        <w:outlineLvl w:val="0"/>
        <w:rPr>
          <w:color w:val="000000" w:themeColor="text1"/>
          <w:lang w:val="en-CA"/>
        </w:rPr>
      </w:pPr>
    </w:p>
    <w:p w14:paraId="497BD6F3" w14:textId="77777777" w:rsidR="005963D1" w:rsidRDefault="005963D1" w:rsidP="005963D1">
      <w:pPr>
        <w:spacing w:line="480" w:lineRule="auto"/>
        <w:jc w:val="center"/>
        <w:outlineLvl w:val="0"/>
        <w:rPr>
          <w:color w:val="000000" w:themeColor="text1"/>
          <w:lang w:val="en-CA"/>
        </w:rPr>
      </w:pPr>
    </w:p>
    <w:p w14:paraId="2EF2154D" w14:textId="77777777" w:rsidR="005963D1" w:rsidRDefault="005963D1" w:rsidP="005963D1">
      <w:pPr>
        <w:spacing w:line="480" w:lineRule="auto"/>
        <w:jc w:val="center"/>
        <w:outlineLvl w:val="0"/>
        <w:rPr>
          <w:color w:val="000000" w:themeColor="text1"/>
          <w:lang w:val="en-CA"/>
        </w:rPr>
      </w:pPr>
    </w:p>
    <w:p w14:paraId="537FAB6E" w14:textId="18C51C41" w:rsidR="002D3EB4" w:rsidRDefault="002D3EB4" w:rsidP="005963D1">
      <w:pPr>
        <w:spacing w:line="480" w:lineRule="auto"/>
        <w:jc w:val="center"/>
        <w:outlineLvl w:val="0"/>
        <w:rPr>
          <w:color w:val="000000" w:themeColor="text1"/>
          <w:lang w:val="en-CA"/>
        </w:rPr>
      </w:pPr>
      <w:r>
        <w:rPr>
          <w:color w:val="000000" w:themeColor="text1"/>
          <w:lang w:val="en-CA"/>
        </w:rPr>
        <w:t xml:space="preserve">Psyc 6135: Data Visualization </w:t>
      </w:r>
    </w:p>
    <w:p w14:paraId="77873339" w14:textId="22979699" w:rsidR="002D3EB4" w:rsidRDefault="002D3EB4" w:rsidP="005963D1">
      <w:pPr>
        <w:spacing w:line="480" w:lineRule="auto"/>
        <w:jc w:val="center"/>
        <w:outlineLvl w:val="0"/>
        <w:rPr>
          <w:color w:val="000000" w:themeColor="text1"/>
          <w:lang w:val="en-CA"/>
        </w:rPr>
      </w:pPr>
      <w:r>
        <w:rPr>
          <w:color w:val="000000" w:themeColor="text1"/>
          <w:lang w:val="en-CA"/>
        </w:rPr>
        <w:t>Final Term Paper</w:t>
      </w:r>
    </w:p>
    <w:p w14:paraId="6D21EC87" w14:textId="77777777" w:rsidR="005963D1" w:rsidRDefault="005963D1" w:rsidP="005963D1">
      <w:pPr>
        <w:spacing w:line="480" w:lineRule="auto"/>
        <w:outlineLvl w:val="0"/>
        <w:rPr>
          <w:color w:val="000000" w:themeColor="text1"/>
          <w:lang w:val="en-CA"/>
        </w:rPr>
      </w:pPr>
    </w:p>
    <w:p w14:paraId="2C794306" w14:textId="68138E2B" w:rsidR="002D3EB4" w:rsidRPr="006F5B5F" w:rsidRDefault="002D3EB4" w:rsidP="005963D1">
      <w:pPr>
        <w:spacing w:line="480" w:lineRule="auto"/>
        <w:jc w:val="center"/>
        <w:outlineLvl w:val="0"/>
        <w:rPr>
          <w:color w:val="000000" w:themeColor="text1"/>
          <w:lang w:val="en-CA"/>
        </w:rPr>
      </w:pPr>
      <w:r>
        <w:rPr>
          <w:color w:val="000000" w:themeColor="text1"/>
          <w:lang w:val="en-CA"/>
        </w:rPr>
        <w:t>Submitted May 2</w:t>
      </w:r>
      <w:r w:rsidRPr="002D3EB4">
        <w:rPr>
          <w:color w:val="000000" w:themeColor="text1"/>
          <w:vertAlign w:val="superscript"/>
          <w:lang w:val="en-CA"/>
        </w:rPr>
        <w:t>nd</w:t>
      </w:r>
      <w:r>
        <w:rPr>
          <w:color w:val="000000" w:themeColor="text1"/>
          <w:lang w:val="en-CA"/>
        </w:rPr>
        <w:t xml:space="preserve">, 2019 </w:t>
      </w:r>
    </w:p>
    <w:p w14:paraId="40E34320" w14:textId="77777777" w:rsidR="002D3EB4" w:rsidRDefault="002D3EB4" w:rsidP="005963D1">
      <w:pPr>
        <w:spacing w:line="480" w:lineRule="auto"/>
        <w:jc w:val="center"/>
        <w:outlineLvl w:val="0"/>
        <w:rPr>
          <w:color w:val="000000" w:themeColor="text1"/>
          <w:lang w:val="en-CA"/>
        </w:rPr>
      </w:pPr>
    </w:p>
    <w:p w14:paraId="16F7EFAD" w14:textId="136D57E1" w:rsidR="002D3EB4" w:rsidRDefault="005963D1" w:rsidP="005963D1">
      <w:pPr>
        <w:spacing w:line="480" w:lineRule="auto"/>
        <w:rPr>
          <w:color w:val="000000" w:themeColor="text1"/>
          <w:lang w:val="en-CA"/>
        </w:rPr>
      </w:pPr>
      <w:r>
        <w:rPr>
          <w:color w:val="000000" w:themeColor="text1"/>
          <w:lang w:val="en-CA"/>
        </w:rPr>
        <w:br w:type="page"/>
      </w:r>
    </w:p>
    <w:p w14:paraId="5D0EF2E5" w14:textId="64D10C22" w:rsidR="001C570B" w:rsidRPr="006F5B5F" w:rsidRDefault="001C570B" w:rsidP="005963D1">
      <w:pPr>
        <w:spacing w:line="480" w:lineRule="auto"/>
        <w:jc w:val="center"/>
        <w:outlineLvl w:val="0"/>
        <w:rPr>
          <w:color w:val="000000" w:themeColor="text1"/>
          <w:lang w:val="en-CA"/>
        </w:rPr>
      </w:pPr>
      <w:r w:rsidRPr="006F5B5F">
        <w:rPr>
          <w:color w:val="000000" w:themeColor="text1"/>
          <w:lang w:val="en-CA"/>
        </w:rPr>
        <w:lastRenderedPageBreak/>
        <w:t>Visualizing Diagnostic Accuracy Measures to Improve Patient Care</w:t>
      </w:r>
    </w:p>
    <w:p w14:paraId="23DBBB5D" w14:textId="7E38F7DE" w:rsidR="001C570B" w:rsidRPr="002D3EB4" w:rsidRDefault="001C570B" w:rsidP="005963D1">
      <w:pPr>
        <w:spacing w:line="480" w:lineRule="auto"/>
        <w:rPr>
          <w:b/>
          <w:color w:val="000000" w:themeColor="text1"/>
          <w:lang w:val="en-CA"/>
        </w:rPr>
      </w:pPr>
      <w:r w:rsidRPr="002D3EB4">
        <w:rPr>
          <w:b/>
          <w:color w:val="000000" w:themeColor="text1"/>
          <w:lang w:val="en-CA"/>
        </w:rPr>
        <w:t xml:space="preserve">Measures of Diagnostic Accuracy </w:t>
      </w:r>
    </w:p>
    <w:p w14:paraId="19572862" w14:textId="234DE8E3" w:rsidR="00363801" w:rsidRPr="005963D1" w:rsidRDefault="00B120D7" w:rsidP="005963D1">
      <w:pPr>
        <w:spacing w:line="480" w:lineRule="auto"/>
        <w:ind w:firstLine="720"/>
        <w:rPr>
          <w:rFonts w:eastAsia="Times New Roman"/>
          <w:color w:val="000000" w:themeColor="text1"/>
        </w:rPr>
      </w:pPr>
      <w:r w:rsidRPr="006F5B5F">
        <w:rPr>
          <w:rFonts w:eastAsia="Times New Roman"/>
          <w:color w:val="000000" w:themeColor="text1"/>
          <w:shd w:val="clear" w:color="auto" w:fill="FFFFFF"/>
        </w:rPr>
        <w:t>A diagnostic</w:t>
      </w:r>
      <w:r w:rsidRPr="00B120D7">
        <w:rPr>
          <w:rFonts w:eastAsia="Times New Roman"/>
          <w:color w:val="000000" w:themeColor="text1"/>
          <w:shd w:val="clear" w:color="auto" w:fill="FFFFFF"/>
        </w:rPr>
        <w:t xml:space="preserve"> accuracy </w:t>
      </w:r>
      <w:r w:rsidRPr="006F5B5F">
        <w:rPr>
          <w:rFonts w:eastAsia="Times New Roman"/>
          <w:color w:val="000000" w:themeColor="text1"/>
          <w:shd w:val="clear" w:color="auto" w:fill="FFFFFF"/>
        </w:rPr>
        <w:t>test</w:t>
      </w:r>
      <w:r w:rsidRPr="00B120D7">
        <w:rPr>
          <w:rFonts w:eastAsia="Times New Roman"/>
          <w:color w:val="000000" w:themeColor="text1"/>
          <w:shd w:val="clear" w:color="auto" w:fill="FFFFFF"/>
        </w:rPr>
        <w:t xml:space="preserve"> provides evidence on how well a test correctly identifies disease and informs </w:t>
      </w:r>
      <w:r w:rsidRPr="006F5B5F">
        <w:rPr>
          <w:rFonts w:eastAsia="Times New Roman"/>
          <w:color w:val="000000" w:themeColor="text1"/>
          <w:shd w:val="clear" w:color="auto" w:fill="FFFFFF"/>
        </w:rPr>
        <w:t xml:space="preserve">clinicians about </w:t>
      </w:r>
      <w:r w:rsidRPr="00B120D7">
        <w:rPr>
          <w:rFonts w:eastAsia="Times New Roman"/>
          <w:color w:val="000000" w:themeColor="text1"/>
          <w:shd w:val="clear" w:color="auto" w:fill="FFFFFF"/>
        </w:rPr>
        <w:t>subsequent decisions about treatment for patients, and healthcare providers.</w:t>
      </w:r>
      <w:r w:rsidRPr="006F5B5F">
        <w:rPr>
          <w:rFonts w:eastAsia="Times New Roman"/>
          <w:color w:val="000000" w:themeColor="text1"/>
          <w:shd w:val="clear" w:color="auto" w:fill="FFFFFF"/>
        </w:rPr>
        <w:t xml:space="preserve"> </w:t>
      </w:r>
      <w:r w:rsidR="00B730C8" w:rsidRPr="006F5B5F">
        <w:rPr>
          <w:rFonts w:eastAsia="Times New Roman"/>
          <w:color w:val="000000" w:themeColor="text1"/>
          <w:shd w:val="clear" w:color="auto" w:fill="FFFFFF"/>
        </w:rPr>
        <w:t xml:space="preserve">The Standards for Reporting of Diagnostic Accuracy Studies (STARD) statement was developed </w:t>
      </w:r>
      <w:r w:rsidR="007C4B27" w:rsidRPr="006F5B5F">
        <w:rPr>
          <w:rFonts w:eastAsia="Times New Roman"/>
          <w:color w:val="000000" w:themeColor="text1"/>
          <w:shd w:val="clear" w:color="auto" w:fill="FFFFFF"/>
        </w:rPr>
        <w:t xml:space="preserve">in 2015 </w:t>
      </w:r>
      <w:r w:rsidR="00B730C8" w:rsidRPr="006F5B5F">
        <w:rPr>
          <w:rFonts w:eastAsia="Times New Roman"/>
          <w:color w:val="000000" w:themeColor="text1"/>
          <w:shd w:val="clear" w:color="auto" w:fill="FFFFFF"/>
        </w:rPr>
        <w:t>to improve the completeness and transparency of reports of diagnostic accuracy studies</w:t>
      </w:r>
      <w:r w:rsidR="00F12B65">
        <w:rPr>
          <w:rFonts w:eastAsia="Times New Roman"/>
          <w:color w:val="000000" w:themeColor="text1"/>
          <w:shd w:val="clear" w:color="auto" w:fill="FFFFFF"/>
        </w:rPr>
        <w:t>,</w:t>
      </w:r>
      <w:r w:rsidR="00B730C8" w:rsidRPr="006F5B5F">
        <w:rPr>
          <w:rFonts w:eastAsia="Times New Roman"/>
          <w:color w:val="000000" w:themeColor="text1"/>
          <w:shd w:val="clear" w:color="auto" w:fill="FFFFFF"/>
        </w:rPr>
        <w:t xml:space="preserve"> to reduce bias and</w:t>
      </w:r>
      <w:r w:rsidR="0069098A" w:rsidRPr="006F5B5F">
        <w:rPr>
          <w:rFonts w:eastAsia="Times New Roman"/>
          <w:color w:val="000000" w:themeColor="text1"/>
          <w:shd w:val="clear" w:color="auto" w:fill="FFFFFF"/>
        </w:rPr>
        <w:t xml:space="preserve"> improv</w:t>
      </w:r>
      <w:r w:rsidR="00294E55" w:rsidRPr="006F5B5F">
        <w:rPr>
          <w:rFonts w:eastAsia="Times New Roman"/>
          <w:color w:val="000000" w:themeColor="text1"/>
          <w:shd w:val="clear" w:color="auto" w:fill="FFFFFF"/>
        </w:rPr>
        <w:t>e comparison between studies (Cohen et al., 2016</w:t>
      </w:r>
      <w:r w:rsidR="0069098A" w:rsidRPr="006F5B5F">
        <w:rPr>
          <w:rFonts w:eastAsia="Times New Roman"/>
          <w:color w:val="000000" w:themeColor="text1"/>
          <w:shd w:val="clear" w:color="auto" w:fill="FFFFFF"/>
        </w:rPr>
        <w:t>)</w:t>
      </w:r>
      <w:r w:rsidR="00B730C8" w:rsidRPr="006F5B5F">
        <w:rPr>
          <w:rFonts w:eastAsia="Times New Roman"/>
          <w:color w:val="000000" w:themeColor="text1"/>
          <w:shd w:val="clear" w:color="auto" w:fill="FFFFFF"/>
        </w:rPr>
        <w:t>.</w:t>
      </w:r>
      <w:r w:rsidR="007C4B27" w:rsidRPr="006F5B5F">
        <w:rPr>
          <w:rFonts w:eastAsia="Times New Roman"/>
          <w:color w:val="000000" w:themeColor="text1"/>
          <w:shd w:val="clear" w:color="auto" w:fill="FFFFFF"/>
        </w:rPr>
        <w:t xml:space="preserve"> This report includes a list of essential items that should be contained within a report of a diagnostic accuracy study</w:t>
      </w:r>
      <w:r w:rsidR="0069098A" w:rsidRPr="006F5B5F">
        <w:rPr>
          <w:rFonts w:eastAsia="Times New Roman"/>
          <w:color w:val="000000" w:themeColor="text1"/>
          <w:shd w:val="clear" w:color="auto" w:fill="FFFFFF"/>
        </w:rPr>
        <w:t>, including information about</w:t>
      </w:r>
      <w:r w:rsidR="00591B18" w:rsidRPr="006F5B5F">
        <w:rPr>
          <w:rFonts w:eastAsia="Times New Roman"/>
          <w:color w:val="000000" w:themeColor="text1"/>
          <w:shd w:val="clear" w:color="auto" w:fill="FFFFFF"/>
        </w:rPr>
        <w:t xml:space="preserve"> the</w:t>
      </w:r>
      <w:r w:rsidR="00C518D0" w:rsidRPr="006F5B5F">
        <w:rPr>
          <w:rFonts w:eastAsia="Times New Roman"/>
          <w:color w:val="000000" w:themeColor="text1"/>
          <w:shd w:val="clear" w:color="auto" w:fill="FFFFFF"/>
        </w:rPr>
        <w:t xml:space="preserve"> </w:t>
      </w:r>
      <w:r w:rsidR="00690F43" w:rsidRPr="006F5B5F">
        <w:rPr>
          <w:rFonts w:eastAsia="Times New Roman"/>
          <w:color w:val="000000" w:themeColor="text1"/>
          <w:shd w:val="clear" w:color="auto" w:fill="FFFFFF"/>
        </w:rPr>
        <w:t>diagnostic</w:t>
      </w:r>
      <w:r w:rsidR="00C518D0" w:rsidRPr="006F5B5F">
        <w:rPr>
          <w:rFonts w:eastAsia="Times New Roman"/>
          <w:color w:val="000000" w:themeColor="text1"/>
          <w:shd w:val="clear" w:color="auto" w:fill="FFFFFF"/>
        </w:rPr>
        <w:t xml:space="preserve"> test, the rationale for the cut-off scores, and a cross-tabulation of the</w:t>
      </w:r>
      <w:r w:rsidR="00591B18" w:rsidRPr="006F5B5F">
        <w:rPr>
          <w:rFonts w:eastAsia="Times New Roman"/>
          <w:color w:val="000000" w:themeColor="text1"/>
          <w:shd w:val="clear" w:color="auto" w:fill="FFFFFF"/>
        </w:rPr>
        <w:t xml:space="preserve"> distribution of the</w:t>
      </w:r>
      <w:r w:rsidR="00C518D0" w:rsidRPr="006F5B5F">
        <w:rPr>
          <w:rFonts w:eastAsia="Times New Roman"/>
          <w:color w:val="000000" w:themeColor="text1"/>
          <w:shd w:val="clear" w:color="auto" w:fill="FFFFFF"/>
        </w:rPr>
        <w:t xml:space="preserve"> </w:t>
      </w:r>
      <w:r w:rsidR="00690F43" w:rsidRPr="006F5B5F">
        <w:rPr>
          <w:rFonts w:eastAsia="Times New Roman"/>
          <w:color w:val="000000" w:themeColor="text1"/>
          <w:shd w:val="clear" w:color="auto" w:fill="FFFFFF"/>
        </w:rPr>
        <w:t>diagnostic</w:t>
      </w:r>
      <w:r w:rsidR="00C518D0" w:rsidRPr="006F5B5F">
        <w:rPr>
          <w:rFonts w:eastAsia="Times New Roman"/>
          <w:color w:val="000000" w:themeColor="text1"/>
          <w:shd w:val="clear" w:color="auto" w:fill="FFFFFF"/>
        </w:rPr>
        <w:t xml:space="preserve"> test results.</w:t>
      </w:r>
      <w:r w:rsidR="00111AD5" w:rsidRPr="006F5B5F">
        <w:rPr>
          <w:rFonts w:eastAsia="Times New Roman"/>
          <w:color w:val="000000" w:themeColor="text1"/>
          <w:shd w:val="clear" w:color="auto" w:fill="FFFFFF"/>
        </w:rPr>
        <w:t xml:space="preserve"> While the STARD statement allows for comprehensive reporting</w:t>
      </w:r>
      <w:r w:rsidR="006315B2" w:rsidRPr="006F5B5F">
        <w:rPr>
          <w:rFonts w:eastAsia="Times New Roman"/>
          <w:color w:val="000000" w:themeColor="text1"/>
          <w:shd w:val="clear" w:color="auto" w:fill="FFFFFF"/>
        </w:rPr>
        <w:t xml:space="preserve"> and comparisons between studies</w:t>
      </w:r>
      <w:r w:rsidR="00111AD5" w:rsidRPr="006F5B5F">
        <w:rPr>
          <w:rFonts w:eastAsia="Times New Roman"/>
          <w:color w:val="000000" w:themeColor="text1"/>
          <w:shd w:val="clear" w:color="auto" w:fill="FFFFFF"/>
        </w:rPr>
        <w:t xml:space="preserve">, several diagnostic studies do not </w:t>
      </w:r>
      <w:r w:rsidR="006315B2" w:rsidRPr="006F5B5F">
        <w:rPr>
          <w:rFonts w:eastAsia="Times New Roman"/>
          <w:color w:val="000000" w:themeColor="text1"/>
          <w:shd w:val="clear" w:color="auto" w:fill="FFFFFF"/>
        </w:rPr>
        <w:t>go further than simply reporting the test result findings.</w:t>
      </w:r>
      <w:r w:rsidR="00111AD5" w:rsidRPr="006F5B5F">
        <w:rPr>
          <w:rFonts w:eastAsia="Times New Roman"/>
          <w:color w:val="000000" w:themeColor="text1"/>
          <w:shd w:val="clear" w:color="auto" w:fill="FFFFFF"/>
        </w:rPr>
        <w:t xml:space="preserve"> </w:t>
      </w:r>
      <w:r w:rsidR="006315B2" w:rsidRPr="006F5B5F">
        <w:rPr>
          <w:rFonts w:eastAsia="Times New Roman"/>
          <w:color w:val="000000" w:themeColor="text1"/>
          <w:shd w:val="clear" w:color="auto" w:fill="FFFFFF"/>
        </w:rPr>
        <w:t xml:space="preserve">Currently there is a lack of knowledge translation in this field, where diagnostic accuracy studies do not make it past academia and instead remain </w:t>
      </w:r>
      <w:r w:rsidR="00C404F9" w:rsidRPr="006F5B5F">
        <w:rPr>
          <w:rFonts w:eastAsia="Times New Roman"/>
          <w:color w:val="000000" w:themeColor="text1"/>
          <w:shd w:val="clear" w:color="auto" w:fill="FFFFFF"/>
        </w:rPr>
        <w:t>lost in databases</w:t>
      </w:r>
      <w:r w:rsidR="00294E55" w:rsidRPr="006F5B5F">
        <w:rPr>
          <w:rFonts w:eastAsia="Times New Roman"/>
          <w:color w:val="000000" w:themeColor="text1"/>
          <w:shd w:val="clear" w:color="auto" w:fill="FFFFFF"/>
        </w:rPr>
        <w:t xml:space="preserve"> (Reid,</w:t>
      </w:r>
      <w:r w:rsidR="00294E55" w:rsidRPr="006F5B5F">
        <w:rPr>
          <w:rFonts w:eastAsia="Times New Roman"/>
          <w:color w:val="000000" w:themeColor="text1"/>
          <w:shd w:val="clear" w:color="auto" w:fill="FFFFFF"/>
        </w:rPr>
        <w:t xml:space="preserve"> Lane,</w:t>
      </w:r>
      <w:r w:rsidR="00294E55" w:rsidRPr="006F5B5F">
        <w:rPr>
          <w:rFonts w:eastAsia="Times New Roman"/>
          <w:color w:val="000000" w:themeColor="text1"/>
          <w:shd w:val="clear" w:color="auto" w:fill="FFFFFF"/>
        </w:rPr>
        <w:t xml:space="preserve"> &amp; </w:t>
      </w:r>
      <w:r w:rsidR="00294E55" w:rsidRPr="006F5B5F">
        <w:rPr>
          <w:rFonts w:eastAsia="Times New Roman"/>
          <w:color w:val="000000" w:themeColor="text1"/>
          <w:shd w:val="clear" w:color="auto" w:fill="FFFFFF"/>
        </w:rPr>
        <w:t>Feinstein</w:t>
      </w:r>
      <w:r w:rsidR="00294E55" w:rsidRPr="006F5B5F">
        <w:rPr>
          <w:rFonts w:eastAsia="Times New Roman"/>
          <w:color w:val="000000" w:themeColor="text1"/>
          <w:shd w:val="clear" w:color="auto" w:fill="FFFFFF"/>
        </w:rPr>
        <w:t>, 1998)</w:t>
      </w:r>
      <w:r w:rsidR="00C404F9" w:rsidRPr="006F5B5F">
        <w:rPr>
          <w:rFonts w:eastAsia="Times New Roman"/>
          <w:color w:val="000000" w:themeColor="text1"/>
          <w:shd w:val="clear" w:color="auto" w:fill="FFFFFF"/>
        </w:rPr>
        <w:t xml:space="preserve">. </w:t>
      </w:r>
      <w:r w:rsidR="006114B1" w:rsidRPr="006F5B5F">
        <w:rPr>
          <w:rFonts w:eastAsia="Times New Roman"/>
          <w:color w:val="000000" w:themeColor="text1"/>
          <w:shd w:val="clear" w:color="auto" w:fill="FFFFFF"/>
        </w:rPr>
        <w:t>As aforementioned, a diagnostic accuracy test should inform clinicians about decisions on patient treatment and care</w:t>
      </w:r>
      <w:r w:rsidR="001C7E50" w:rsidRPr="006F5B5F">
        <w:rPr>
          <w:rFonts w:eastAsia="Times New Roman"/>
          <w:color w:val="000000" w:themeColor="text1"/>
          <w:shd w:val="clear" w:color="auto" w:fill="FFFFFF"/>
        </w:rPr>
        <w:t xml:space="preserve"> in addition to informing how well a test correctly identifies disease</w:t>
      </w:r>
      <w:r w:rsidR="006114B1" w:rsidRPr="006F5B5F">
        <w:rPr>
          <w:rFonts w:eastAsia="Times New Roman"/>
          <w:color w:val="000000" w:themeColor="text1"/>
          <w:shd w:val="clear" w:color="auto" w:fill="FFFFFF"/>
        </w:rPr>
        <w:t>.</w:t>
      </w:r>
      <w:r w:rsidR="001C7E50" w:rsidRPr="006F5B5F">
        <w:rPr>
          <w:rFonts w:eastAsia="Times New Roman"/>
          <w:color w:val="000000" w:themeColor="text1"/>
          <w:shd w:val="clear" w:color="auto" w:fill="FFFFFF"/>
        </w:rPr>
        <w:t xml:space="preserve"> However, most clinicians do not use </w:t>
      </w:r>
      <w:r w:rsidR="00483946" w:rsidRPr="006F5B5F">
        <w:rPr>
          <w:rFonts w:eastAsia="Times New Roman"/>
          <w:color w:val="000000" w:themeColor="text1"/>
          <w:shd w:val="clear" w:color="auto" w:fill="FFFFFF"/>
        </w:rPr>
        <w:t>the results of these studies and instead continue to use the originally published norms and cut-offs</w:t>
      </w:r>
      <w:r w:rsidR="00294E55" w:rsidRPr="006F5B5F">
        <w:rPr>
          <w:rFonts w:eastAsia="Times New Roman"/>
          <w:color w:val="000000" w:themeColor="text1"/>
          <w:shd w:val="clear" w:color="auto" w:fill="FFFFFF"/>
        </w:rPr>
        <w:t xml:space="preserve"> (</w:t>
      </w:r>
      <w:r w:rsidR="009065E4" w:rsidRPr="006F5B5F">
        <w:rPr>
          <w:rFonts w:eastAsia="Times New Roman"/>
          <w:color w:val="222222"/>
          <w:shd w:val="clear" w:color="auto" w:fill="FFFFFF"/>
        </w:rPr>
        <w:t>Mallett,</w:t>
      </w:r>
      <w:r w:rsidR="009065E4" w:rsidRPr="006F5B5F">
        <w:rPr>
          <w:rFonts w:eastAsia="Times New Roman"/>
          <w:color w:val="222222"/>
          <w:shd w:val="clear" w:color="auto" w:fill="FFFFFF"/>
        </w:rPr>
        <w:t xml:space="preserve"> et al., 2012; </w:t>
      </w:r>
      <w:r w:rsidR="00294E55" w:rsidRPr="006F5B5F">
        <w:rPr>
          <w:rFonts w:eastAsia="Times New Roman"/>
          <w:color w:val="000000" w:themeColor="text1"/>
          <w:shd w:val="clear" w:color="auto" w:fill="FFFFFF"/>
        </w:rPr>
        <w:t>Reid et al., 1998)</w:t>
      </w:r>
      <w:r w:rsidR="00483946" w:rsidRPr="006F5B5F">
        <w:rPr>
          <w:rFonts w:eastAsia="Times New Roman"/>
          <w:color w:val="000000" w:themeColor="text1"/>
          <w:shd w:val="clear" w:color="auto" w:fill="FFFFFF"/>
        </w:rPr>
        <w:t xml:space="preserve">. This is problematic for several reasons. Firstly, many tests norms and cut-off points are based on outdated data which can be decades old. Some norms are based on very small samples sizes and </w:t>
      </w:r>
      <w:r w:rsidR="004E2DBB" w:rsidRPr="006F5B5F">
        <w:rPr>
          <w:rFonts w:eastAsia="Times New Roman"/>
          <w:color w:val="000000" w:themeColor="text1"/>
          <w:shd w:val="clear" w:color="auto" w:fill="FFFFFF"/>
        </w:rPr>
        <w:t xml:space="preserve">are not representative of the population that they are being used for. And lastly, several measures are first designed using a specific clinical population (eg. individuals with Parkinson’s disease) but then are adopted to other clinical populations (eg. individuals with dementia) and continue to use the same norms and test properties as the originally published norms. </w:t>
      </w:r>
      <w:r w:rsidR="00747D63" w:rsidRPr="006F5B5F">
        <w:rPr>
          <w:rFonts w:eastAsia="Times New Roman"/>
          <w:color w:val="000000" w:themeColor="text1"/>
          <w:shd w:val="clear" w:color="auto" w:fill="FFFFFF"/>
        </w:rPr>
        <w:t>Of course,</w:t>
      </w:r>
      <w:r w:rsidR="00FB74B9" w:rsidRPr="006F5B5F">
        <w:rPr>
          <w:rFonts w:eastAsia="Times New Roman"/>
          <w:color w:val="000000" w:themeColor="text1"/>
          <w:shd w:val="clear" w:color="auto" w:fill="FFFFFF"/>
        </w:rPr>
        <w:t xml:space="preserve"> </w:t>
      </w:r>
      <w:r w:rsidR="00747D63" w:rsidRPr="006F5B5F">
        <w:rPr>
          <w:rFonts w:eastAsia="Times New Roman"/>
          <w:color w:val="000000" w:themeColor="text1"/>
          <w:shd w:val="clear" w:color="auto" w:fill="FFFFFF"/>
        </w:rPr>
        <w:t>all these factors</w:t>
      </w:r>
      <w:r w:rsidR="008569D2" w:rsidRPr="006F5B5F">
        <w:rPr>
          <w:rFonts w:eastAsia="Times New Roman"/>
          <w:color w:val="000000" w:themeColor="text1"/>
          <w:shd w:val="clear" w:color="auto" w:fill="FFFFFF"/>
        </w:rPr>
        <w:t xml:space="preserve"> limit</w:t>
      </w:r>
      <w:r w:rsidR="00FB74B9" w:rsidRPr="006F5B5F">
        <w:rPr>
          <w:rFonts w:eastAsia="Times New Roman"/>
          <w:color w:val="000000" w:themeColor="text1"/>
          <w:shd w:val="clear" w:color="auto" w:fill="FFFFFF"/>
        </w:rPr>
        <w:t xml:space="preserve"> the </w:t>
      </w:r>
      <w:r w:rsidR="00690F43" w:rsidRPr="006F5B5F">
        <w:rPr>
          <w:rFonts w:eastAsia="Times New Roman"/>
          <w:color w:val="000000" w:themeColor="text1"/>
          <w:shd w:val="clear" w:color="auto" w:fill="FFFFFF"/>
        </w:rPr>
        <w:t>diagnostic</w:t>
      </w:r>
      <w:r w:rsidR="00FB74B9" w:rsidRPr="006F5B5F">
        <w:rPr>
          <w:rFonts w:eastAsia="Times New Roman"/>
          <w:color w:val="000000" w:themeColor="text1"/>
          <w:shd w:val="clear" w:color="auto" w:fill="FFFFFF"/>
        </w:rPr>
        <w:t xml:space="preserve"> test</w:t>
      </w:r>
      <w:r w:rsidR="004E2DBB" w:rsidRPr="006F5B5F">
        <w:rPr>
          <w:rFonts w:eastAsia="Times New Roman"/>
          <w:color w:val="000000" w:themeColor="text1"/>
          <w:shd w:val="clear" w:color="auto" w:fill="FFFFFF"/>
        </w:rPr>
        <w:t xml:space="preserve">’s accuracy in detecting disease. </w:t>
      </w:r>
      <w:r w:rsidR="00C518D0" w:rsidRPr="006F5B5F">
        <w:rPr>
          <w:rFonts w:eastAsia="Times New Roman"/>
          <w:color w:val="000000" w:themeColor="text1"/>
          <w:shd w:val="clear" w:color="auto" w:fill="FFFFFF"/>
        </w:rPr>
        <w:t>The objective</w:t>
      </w:r>
      <w:r w:rsidR="00483946" w:rsidRPr="006F5B5F">
        <w:rPr>
          <w:rFonts w:eastAsia="Times New Roman"/>
          <w:color w:val="000000" w:themeColor="text1"/>
          <w:shd w:val="clear" w:color="auto" w:fill="FFFFFF"/>
        </w:rPr>
        <w:t xml:space="preserve"> of this paper is to discuss </w:t>
      </w:r>
      <w:r w:rsidR="004E2DBB" w:rsidRPr="006F5B5F">
        <w:rPr>
          <w:rFonts w:eastAsia="Times New Roman"/>
          <w:color w:val="000000" w:themeColor="text1"/>
          <w:shd w:val="clear" w:color="auto" w:fill="FFFFFF"/>
        </w:rPr>
        <w:t xml:space="preserve">how applying data visualization techniques </w:t>
      </w:r>
      <w:r w:rsidR="007E0CF6" w:rsidRPr="006F5B5F">
        <w:rPr>
          <w:rFonts w:eastAsia="Times New Roman"/>
          <w:color w:val="000000" w:themeColor="text1"/>
          <w:shd w:val="clear" w:color="auto" w:fill="FFFFFF"/>
        </w:rPr>
        <w:t xml:space="preserve">can facilitate the knowledge translation process to help diagnostic accuracy </w:t>
      </w:r>
      <w:r w:rsidR="008569D2" w:rsidRPr="006F5B5F">
        <w:rPr>
          <w:rFonts w:eastAsia="Times New Roman"/>
          <w:color w:val="000000" w:themeColor="text1"/>
          <w:shd w:val="clear" w:color="auto" w:fill="FFFFFF"/>
        </w:rPr>
        <w:t xml:space="preserve">measures </w:t>
      </w:r>
      <w:r w:rsidR="00AE4D9D" w:rsidRPr="006F5B5F">
        <w:rPr>
          <w:rFonts w:eastAsia="Times New Roman"/>
          <w:color w:val="000000" w:themeColor="text1"/>
          <w:shd w:val="clear" w:color="auto" w:fill="FFFFFF"/>
        </w:rPr>
        <w:t>be applicable and informative for clinicians and patient care. Specifically, this paper will discuss common statistics reported in diagnostic accuracy reports,</w:t>
      </w:r>
      <w:r w:rsidR="00BB5E63" w:rsidRPr="006F5B5F">
        <w:rPr>
          <w:rFonts w:eastAsia="Times New Roman"/>
          <w:color w:val="000000" w:themeColor="text1"/>
          <w:shd w:val="clear" w:color="auto" w:fill="FFFFFF"/>
        </w:rPr>
        <w:t xml:space="preserve"> data visualization techniques specific for these statistics, and lastly </w:t>
      </w:r>
      <w:r w:rsidR="00440235" w:rsidRPr="006F5B5F">
        <w:rPr>
          <w:rFonts w:eastAsia="Times New Roman"/>
          <w:color w:val="000000" w:themeColor="text1"/>
          <w:shd w:val="clear" w:color="auto" w:fill="FFFFFF"/>
        </w:rPr>
        <w:t>the potential outco</w:t>
      </w:r>
      <w:r w:rsidR="00294E55" w:rsidRPr="006F5B5F">
        <w:rPr>
          <w:rFonts w:eastAsia="Times New Roman"/>
          <w:color w:val="000000" w:themeColor="text1"/>
          <w:shd w:val="clear" w:color="auto" w:fill="FFFFFF"/>
        </w:rPr>
        <w:t>mes of presenting data visually to facilitate the use of diagnostic accuracy measure by clinicians in the health care setting</w:t>
      </w:r>
      <w:r w:rsidR="00440235" w:rsidRPr="006F5B5F">
        <w:rPr>
          <w:rFonts w:eastAsia="Times New Roman"/>
          <w:color w:val="000000" w:themeColor="text1"/>
          <w:shd w:val="clear" w:color="auto" w:fill="FFFFFF"/>
        </w:rPr>
        <w:t xml:space="preserve">. </w:t>
      </w:r>
    </w:p>
    <w:p w14:paraId="6ADE9E3F" w14:textId="42CB5370" w:rsidR="00054A05" w:rsidRPr="005963D1" w:rsidRDefault="00054A05" w:rsidP="005963D1">
      <w:pPr>
        <w:spacing w:line="480" w:lineRule="auto"/>
        <w:rPr>
          <w:b/>
          <w:color w:val="000000" w:themeColor="text1"/>
          <w:lang w:val="en-CA"/>
        </w:rPr>
      </w:pPr>
      <w:r w:rsidRPr="002D3EB4">
        <w:rPr>
          <w:b/>
          <w:color w:val="000000" w:themeColor="text1"/>
          <w:lang w:val="en-CA"/>
        </w:rPr>
        <w:t xml:space="preserve">Diagnostic Accuracy Statistics </w:t>
      </w:r>
    </w:p>
    <w:p w14:paraId="71CB10CE" w14:textId="763C02B4" w:rsidR="00F963B0" w:rsidRPr="006F5B5F" w:rsidRDefault="003812EB" w:rsidP="005963D1">
      <w:pPr>
        <w:spacing w:line="480" w:lineRule="auto"/>
        <w:ind w:firstLine="720"/>
        <w:rPr>
          <w:rFonts w:eastAsia="Times New Roman"/>
          <w:color w:val="000000" w:themeColor="text1"/>
          <w:shd w:val="clear" w:color="auto" w:fill="FFFFFF"/>
        </w:rPr>
      </w:pPr>
      <w:r w:rsidRPr="003812EB">
        <w:rPr>
          <w:rFonts w:eastAsia="Times New Roman"/>
          <w:color w:val="000000" w:themeColor="text1"/>
          <w:shd w:val="clear" w:color="auto" w:fill="FFFFFF"/>
        </w:rPr>
        <w:t>Diagnostic accuracy is not a fixed property of a test. A test's accuracy in identifying patients with the target condition typically varies between settings, patient groups</w:t>
      </w:r>
      <w:r w:rsidR="00294E55" w:rsidRPr="006F5B5F">
        <w:rPr>
          <w:rFonts w:eastAsia="Times New Roman"/>
          <w:color w:val="000000" w:themeColor="text1"/>
          <w:shd w:val="clear" w:color="auto" w:fill="FFFFFF"/>
        </w:rPr>
        <w:t xml:space="preserve"> and depending on prior testing (</w:t>
      </w:r>
      <w:r w:rsidR="009065E4" w:rsidRPr="006F5B5F">
        <w:rPr>
          <w:rFonts w:eastAsia="Times New Roman"/>
          <w:color w:val="000000" w:themeColor="text1"/>
          <w:shd w:val="clear" w:color="auto" w:fill="FFFFFF"/>
        </w:rPr>
        <w:t xml:space="preserve">Parikh et al., 2008). </w:t>
      </w:r>
      <w:r w:rsidRPr="003812EB">
        <w:rPr>
          <w:rFonts w:eastAsia="Times New Roman"/>
          <w:color w:val="000000" w:themeColor="text1"/>
          <w:shd w:val="clear" w:color="auto" w:fill="FFFFFF"/>
        </w:rPr>
        <w:t>These sources of variation in diagnostic accuracy are relevant for those who want to apply the findings of a diagnostic accuracy study to answer a specific question about adopting the test in his or her environment</w:t>
      </w:r>
      <w:r w:rsidRPr="006F5B5F">
        <w:rPr>
          <w:rFonts w:eastAsia="Times New Roman"/>
          <w:color w:val="000000" w:themeColor="text1"/>
          <w:shd w:val="clear" w:color="auto" w:fill="FFFFFF"/>
        </w:rPr>
        <w:t>.</w:t>
      </w:r>
      <w:r w:rsidR="000E4F79" w:rsidRPr="006F5B5F">
        <w:rPr>
          <w:rFonts w:eastAsia="Times New Roman"/>
          <w:color w:val="000000" w:themeColor="text1"/>
          <w:shd w:val="clear" w:color="auto" w:fill="FFFFFF"/>
        </w:rPr>
        <w:t xml:space="preserve"> </w:t>
      </w:r>
      <w:r w:rsidR="00054A05" w:rsidRPr="006F5B5F">
        <w:rPr>
          <w:rFonts w:eastAsia="Times New Roman"/>
          <w:color w:val="000000" w:themeColor="text1"/>
          <w:shd w:val="clear" w:color="auto" w:fill="FFFFFF"/>
        </w:rPr>
        <w:t xml:space="preserve">This is important to keep in mind when interpreting any diagnostic accuracy statistic of a test. The most common statistics reported in most diagnostic accuracy studies are the test’s sensitivity, specificity, positive and negative predictive values, and positive and negative likelihood </w:t>
      </w:r>
      <w:r w:rsidR="009065E4" w:rsidRPr="006F5B5F">
        <w:rPr>
          <w:rFonts w:eastAsia="Times New Roman"/>
          <w:color w:val="000000" w:themeColor="text1"/>
          <w:shd w:val="clear" w:color="auto" w:fill="FFFFFF"/>
        </w:rPr>
        <w:t xml:space="preserve">ratios (Cohen et al., 2016; Parikh et al., 2008). </w:t>
      </w:r>
      <w:r w:rsidR="00054A05" w:rsidRPr="006F5B5F">
        <w:rPr>
          <w:rFonts w:eastAsia="Times New Roman"/>
          <w:color w:val="000000" w:themeColor="text1"/>
          <w:shd w:val="clear" w:color="auto" w:fill="FFFFFF"/>
        </w:rPr>
        <w:t xml:space="preserve">If the </w:t>
      </w:r>
      <w:r w:rsidR="009B6835">
        <w:rPr>
          <w:rFonts w:eastAsia="Times New Roman"/>
          <w:color w:val="000000" w:themeColor="text1"/>
          <w:shd w:val="clear" w:color="auto" w:fill="FFFFFF"/>
        </w:rPr>
        <w:t>statistical</w:t>
      </w:r>
      <w:r w:rsidR="00054A05" w:rsidRPr="006F5B5F">
        <w:rPr>
          <w:rFonts w:eastAsia="Times New Roman"/>
          <w:color w:val="000000" w:themeColor="text1"/>
          <w:shd w:val="clear" w:color="auto" w:fill="FFFFFF"/>
        </w:rPr>
        <w:t xml:space="preserve"> analysis of receiver operator characteristics (ROC) curves is used, then it is common to report the area under the curve value. Each of these statistical measures is explained in detail in the following section. </w:t>
      </w:r>
    </w:p>
    <w:p w14:paraId="425F4A85" w14:textId="0D4CB66C" w:rsidR="009065E4" w:rsidRPr="005963D1" w:rsidRDefault="00F963B0" w:rsidP="005963D1">
      <w:pPr>
        <w:spacing w:line="480" w:lineRule="auto"/>
        <w:rPr>
          <w:rFonts w:eastAsia="Times New Roman"/>
          <w:b/>
          <w:color w:val="000000" w:themeColor="text1"/>
          <w:shd w:val="clear" w:color="auto" w:fill="FFFFFF"/>
        </w:rPr>
      </w:pPr>
      <w:r w:rsidRPr="002D3EB4">
        <w:rPr>
          <w:rFonts w:eastAsia="Times New Roman"/>
          <w:b/>
          <w:color w:val="000000" w:themeColor="text1"/>
          <w:shd w:val="clear" w:color="auto" w:fill="FFFFFF"/>
        </w:rPr>
        <w:t>Gold Standard</w:t>
      </w:r>
    </w:p>
    <w:p w14:paraId="0165CF8B" w14:textId="798CA343" w:rsidR="00054A05" w:rsidRPr="005963D1" w:rsidRDefault="002D3EB4" w:rsidP="005963D1">
      <w:pPr>
        <w:spacing w:line="480" w:lineRule="auto"/>
        <w:rPr>
          <w:rFonts w:eastAsia="Times New Roman"/>
          <w:color w:val="000000" w:themeColor="text1"/>
        </w:rPr>
      </w:pPr>
      <w:r>
        <w:rPr>
          <w:rFonts w:eastAsia="Times New Roman"/>
          <w:color w:val="000000" w:themeColor="text1"/>
          <w:shd w:val="clear" w:color="auto" w:fill="FFFFFF"/>
        </w:rPr>
        <w:t xml:space="preserve"> </w:t>
      </w:r>
      <w:r>
        <w:rPr>
          <w:rFonts w:eastAsia="Times New Roman"/>
          <w:color w:val="000000" w:themeColor="text1"/>
          <w:shd w:val="clear" w:color="auto" w:fill="FFFFFF"/>
        </w:rPr>
        <w:tab/>
      </w:r>
      <w:r w:rsidR="00F963B0" w:rsidRPr="006F5B5F">
        <w:rPr>
          <w:rFonts w:eastAsia="Times New Roman"/>
          <w:color w:val="000000" w:themeColor="text1"/>
          <w:shd w:val="clear" w:color="auto" w:fill="FFFFFF"/>
        </w:rPr>
        <w:t>The gold standard is the best single test (or a combination of tests) that is considered the current preferred method of diagnosing a particular disease</w:t>
      </w:r>
      <w:r w:rsidR="009065E4" w:rsidRPr="006F5B5F">
        <w:rPr>
          <w:rFonts w:eastAsia="Times New Roman"/>
          <w:color w:val="000000" w:themeColor="text1"/>
          <w:shd w:val="clear" w:color="auto" w:fill="FFFFFF"/>
        </w:rPr>
        <w:t xml:space="preserve"> (Parikh et al., 2008). </w:t>
      </w:r>
      <w:r w:rsidR="00F963B0" w:rsidRPr="006F5B5F">
        <w:rPr>
          <w:rFonts w:eastAsia="Times New Roman"/>
          <w:color w:val="000000" w:themeColor="text1"/>
          <w:shd w:val="clear" w:color="auto" w:fill="FFFFFF"/>
        </w:rPr>
        <w:t xml:space="preserve">All other methods of diagnosing the disease, including any new test, need to be compared against this ′gold′ standard. The gold standard is different for different diseases. For simplicity, this paper will focus on detection of dementia. The gold standard for diagnosing dementia is a comprehensive neuropsychological assessment with a focus on assessing memory decline. If an individual performs poorly on the neuropsychological assessment, performing below their expected level, then clinicians may have evidence based on the gold standard neuropsychological assessment to diagnose the individual with dementia. However, the gold standard comprehensive assessment is both costly and </w:t>
      </w:r>
      <w:r w:rsidR="00AA5FCB" w:rsidRPr="006F5B5F">
        <w:rPr>
          <w:rFonts w:eastAsia="Times New Roman"/>
          <w:color w:val="000000" w:themeColor="text1"/>
          <w:shd w:val="clear" w:color="auto" w:fill="FFFFFF"/>
        </w:rPr>
        <w:t>time consuming,</w:t>
      </w:r>
      <w:r w:rsidR="009B6835">
        <w:rPr>
          <w:rFonts w:eastAsia="Times New Roman"/>
          <w:color w:val="000000" w:themeColor="text1"/>
          <w:shd w:val="clear" w:color="auto" w:fill="FFFFFF"/>
        </w:rPr>
        <w:t xml:space="preserve"> and</w:t>
      </w:r>
      <w:r w:rsidR="00AA5FCB" w:rsidRPr="006F5B5F">
        <w:rPr>
          <w:rFonts w:eastAsia="Times New Roman"/>
          <w:color w:val="000000" w:themeColor="text1"/>
          <w:shd w:val="clear" w:color="auto" w:fill="FFFFFF"/>
        </w:rPr>
        <w:t xml:space="preserve"> often not </w:t>
      </w:r>
      <w:r w:rsidR="0055463F" w:rsidRPr="006F5B5F">
        <w:rPr>
          <w:rFonts w:eastAsia="Times New Roman"/>
          <w:color w:val="000000" w:themeColor="text1"/>
          <w:shd w:val="clear" w:color="auto" w:fill="FFFFFF"/>
        </w:rPr>
        <w:t>practical</w:t>
      </w:r>
      <w:r w:rsidR="00AA5FCB" w:rsidRPr="006F5B5F">
        <w:rPr>
          <w:rFonts w:eastAsia="Times New Roman"/>
          <w:color w:val="000000" w:themeColor="text1"/>
          <w:shd w:val="clear" w:color="auto" w:fill="FFFFFF"/>
        </w:rPr>
        <w:t xml:space="preserve"> for every individual who comes to the clinic with </w:t>
      </w:r>
      <w:r w:rsidR="009B6835">
        <w:rPr>
          <w:rFonts w:eastAsia="Times New Roman"/>
          <w:color w:val="000000" w:themeColor="text1"/>
          <w:shd w:val="clear" w:color="auto" w:fill="FFFFFF"/>
        </w:rPr>
        <w:t>memory complaints. This led</w:t>
      </w:r>
      <w:r w:rsidR="00AA5FCB" w:rsidRPr="006F5B5F">
        <w:rPr>
          <w:rFonts w:eastAsia="Times New Roman"/>
          <w:color w:val="000000" w:themeColor="text1"/>
          <w:shd w:val="clear" w:color="auto" w:fill="FFFFFF"/>
        </w:rPr>
        <w:t xml:space="preserve"> to the development of qui</w:t>
      </w:r>
      <w:r w:rsidR="009B6835">
        <w:rPr>
          <w:rFonts w:eastAsia="Times New Roman"/>
          <w:color w:val="000000" w:themeColor="text1"/>
          <w:shd w:val="clear" w:color="auto" w:fill="FFFFFF"/>
        </w:rPr>
        <w:t>ck cognitive screening measures</w:t>
      </w:r>
      <w:r w:rsidR="00AA5FCB" w:rsidRPr="006F5B5F">
        <w:rPr>
          <w:rFonts w:eastAsia="Times New Roman"/>
          <w:color w:val="000000" w:themeColor="text1"/>
          <w:shd w:val="clear" w:color="auto" w:fill="FFFFFF"/>
        </w:rPr>
        <w:t xml:space="preserve"> to assess whether an individual is showing some concern for a referral to a more comprehensive assessment. In order to determine the accuracy of the screening measures, they need to</w:t>
      </w:r>
      <w:r w:rsidR="0055463F" w:rsidRPr="006F5B5F">
        <w:rPr>
          <w:rFonts w:eastAsia="Times New Roman"/>
          <w:color w:val="000000" w:themeColor="text1"/>
          <w:shd w:val="clear" w:color="auto" w:fill="FFFFFF"/>
        </w:rPr>
        <w:t xml:space="preserve"> be</w:t>
      </w:r>
      <w:r w:rsidR="00AA5FCB" w:rsidRPr="006F5B5F">
        <w:rPr>
          <w:rFonts w:eastAsia="Times New Roman"/>
          <w:color w:val="000000" w:themeColor="text1"/>
          <w:shd w:val="clear" w:color="auto" w:fill="FFFFFF"/>
        </w:rPr>
        <w:t xml:space="preserve"> compared to </w:t>
      </w:r>
      <w:r w:rsidR="00580C42" w:rsidRPr="006F5B5F">
        <w:rPr>
          <w:rFonts w:eastAsia="Times New Roman"/>
          <w:color w:val="000000" w:themeColor="text1"/>
          <w:shd w:val="clear" w:color="auto" w:fill="FFFFFF"/>
        </w:rPr>
        <w:t xml:space="preserve">and validated against </w:t>
      </w:r>
      <w:r w:rsidR="00AA5FCB" w:rsidRPr="006F5B5F">
        <w:rPr>
          <w:rFonts w:eastAsia="Times New Roman"/>
          <w:color w:val="000000" w:themeColor="text1"/>
          <w:shd w:val="clear" w:color="auto" w:fill="FFFFFF"/>
        </w:rPr>
        <w:t xml:space="preserve">the gold standard measure of </w:t>
      </w:r>
      <w:r w:rsidR="0055463F" w:rsidRPr="006F5B5F">
        <w:rPr>
          <w:rFonts w:eastAsia="Times New Roman"/>
          <w:color w:val="000000" w:themeColor="text1"/>
          <w:shd w:val="clear" w:color="auto" w:fill="FFFFFF"/>
        </w:rPr>
        <w:t xml:space="preserve">a neuropsychological assessment. This comparison gives us information about how well the test is performing in accurately identifying the disease. </w:t>
      </w:r>
    </w:p>
    <w:p w14:paraId="2A963255" w14:textId="63439FD1" w:rsidR="00780451" w:rsidRPr="005963D1" w:rsidRDefault="00780451" w:rsidP="005963D1">
      <w:pPr>
        <w:spacing w:line="480" w:lineRule="auto"/>
        <w:rPr>
          <w:rFonts w:eastAsia="Times New Roman"/>
          <w:b/>
          <w:color w:val="000000" w:themeColor="text1"/>
          <w:shd w:val="clear" w:color="auto" w:fill="FFFFFF"/>
        </w:rPr>
      </w:pPr>
      <w:r w:rsidRPr="002D3EB4">
        <w:rPr>
          <w:rFonts w:eastAsia="Times New Roman"/>
          <w:b/>
          <w:color w:val="000000" w:themeColor="text1"/>
          <w:shd w:val="clear" w:color="auto" w:fill="FFFFFF"/>
        </w:rPr>
        <w:t>Sensitivity and Specificity</w:t>
      </w:r>
    </w:p>
    <w:p w14:paraId="36BA77E4" w14:textId="0A82580E" w:rsidR="00780451" w:rsidRPr="006F5B5F" w:rsidRDefault="002D3EB4" w:rsidP="005963D1">
      <w:pPr>
        <w:spacing w:line="480" w:lineRule="auto"/>
        <w:rPr>
          <w:rFonts w:eastAsia="Times New Roman"/>
          <w:color w:val="000000" w:themeColor="text1"/>
          <w:shd w:val="clear" w:color="auto" w:fill="FFFFFF"/>
        </w:rPr>
      </w:pPr>
      <w:r>
        <w:rPr>
          <w:rFonts w:eastAsia="Times New Roman"/>
          <w:color w:val="000000" w:themeColor="text1"/>
          <w:shd w:val="clear" w:color="auto" w:fill="FFFFFF"/>
        </w:rPr>
        <w:t xml:space="preserve"> </w:t>
      </w:r>
      <w:r>
        <w:rPr>
          <w:rFonts w:eastAsia="Times New Roman"/>
          <w:color w:val="000000" w:themeColor="text1"/>
          <w:shd w:val="clear" w:color="auto" w:fill="FFFFFF"/>
        </w:rPr>
        <w:tab/>
      </w:r>
      <w:r w:rsidR="009654F2" w:rsidRPr="009654F2">
        <w:rPr>
          <w:rFonts w:eastAsia="Times New Roman"/>
          <w:color w:val="000000" w:themeColor="text1"/>
          <w:shd w:val="clear" w:color="auto" w:fill="FFFFFF"/>
        </w:rPr>
        <w:t>Sensitivity</w:t>
      </w:r>
      <w:r w:rsidR="00115ED5" w:rsidRPr="006F5B5F">
        <w:rPr>
          <w:rFonts w:eastAsia="Times New Roman"/>
          <w:color w:val="000000" w:themeColor="text1"/>
          <w:shd w:val="clear" w:color="auto" w:fill="FFFFFF"/>
        </w:rPr>
        <w:t xml:space="preserve"> is t</w:t>
      </w:r>
      <w:r w:rsidR="009654F2" w:rsidRPr="009654F2">
        <w:rPr>
          <w:rFonts w:eastAsia="Times New Roman"/>
          <w:color w:val="000000" w:themeColor="text1"/>
          <w:shd w:val="clear" w:color="auto" w:fill="FFFFFF"/>
        </w:rPr>
        <w:t>he ability of a test to correctly classify an individual as ′diseased′</w:t>
      </w:r>
      <w:r w:rsidR="009B6835">
        <w:rPr>
          <w:rFonts w:eastAsia="Times New Roman"/>
          <w:color w:val="000000" w:themeColor="text1"/>
          <w:shd w:val="clear" w:color="auto" w:fill="FFFFFF"/>
        </w:rPr>
        <w:t>, or positive test result</w:t>
      </w:r>
      <w:r w:rsidR="00190FB4" w:rsidRPr="006F5B5F">
        <w:rPr>
          <w:rFonts w:eastAsia="Times New Roman"/>
          <w:color w:val="000000" w:themeColor="text1"/>
          <w:shd w:val="clear" w:color="auto" w:fill="FFFFFF"/>
        </w:rPr>
        <w:t>.</w:t>
      </w:r>
      <w:r w:rsidR="00115ED5" w:rsidRPr="006F5B5F">
        <w:rPr>
          <w:rFonts w:eastAsia="Times New Roman"/>
          <w:color w:val="000000" w:themeColor="text1"/>
        </w:rPr>
        <w:t xml:space="preserve"> </w:t>
      </w:r>
      <w:r w:rsidR="00115ED5" w:rsidRPr="006F5B5F">
        <w:rPr>
          <w:rFonts w:eastAsia="Times New Roman"/>
          <w:color w:val="000000" w:themeColor="text1"/>
          <w:shd w:val="clear" w:color="auto" w:fill="FFFFFF"/>
        </w:rPr>
        <w:t>Specificity is t</w:t>
      </w:r>
      <w:r w:rsidR="00190FB4" w:rsidRPr="00190FB4">
        <w:rPr>
          <w:rFonts w:eastAsia="Times New Roman"/>
          <w:color w:val="000000" w:themeColor="text1"/>
          <w:shd w:val="clear" w:color="auto" w:fill="FFFFFF"/>
        </w:rPr>
        <w:t>he ability of a test to correctly classify an individual as </w:t>
      </w:r>
      <w:r w:rsidR="00190FB4" w:rsidRPr="002D3EB4">
        <w:rPr>
          <w:rFonts w:eastAsia="Times New Roman"/>
          <w:iCs/>
          <w:color w:val="000000" w:themeColor="text1"/>
          <w:shd w:val="clear" w:color="auto" w:fill="FFFFFF"/>
        </w:rPr>
        <w:t>disease- free</w:t>
      </w:r>
      <w:r w:rsidR="009B6835">
        <w:rPr>
          <w:rFonts w:eastAsia="Times New Roman"/>
          <w:color w:val="000000" w:themeColor="text1"/>
          <w:shd w:val="clear" w:color="auto" w:fill="FFFFFF"/>
        </w:rPr>
        <w:t xml:space="preserve"> or negative test result</w:t>
      </w:r>
      <w:r w:rsidR="00190FB4" w:rsidRPr="002D3EB4">
        <w:rPr>
          <w:rFonts w:eastAsia="Times New Roman"/>
          <w:color w:val="000000" w:themeColor="text1"/>
          <w:shd w:val="clear" w:color="auto" w:fill="FFFFFF"/>
        </w:rPr>
        <w:t xml:space="preserve">. </w:t>
      </w:r>
      <w:r w:rsidR="00115ED5" w:rsidRPr="002D3EB4">
        <w:rPr>
          <w:rFonts w:eastAsia="Times New Roman"/>
          <w:color w:val="000000" w:themeColor="text1"/>
          <w:shd w:val="clear" w:color="auto" w:fill="FFFFFF"/>
        </w:rPr>
        <w:t>Sensitivity and specificity are inversely proportion</w:t>
      </w:r>
      <w:r w:rsidR="00115ED5" w:rsidRPr="006F5B5F">
        <w:rPr>
          <w:rFonts w:eastAsia="Times New Roman"/>
          <w:color w:val="000000" w:themeColor="text1"/>
          <w:shd w:val="clear" w:color="auto" w:fill="FFFFFF"/>
        </w:rPr>
        <w:t>al, meaning that as the sensitivity increases, the specificity decrease</w:t>
      </w:r>
      <w:r w:rsidR="009065E4" w:rsidRPr="006F5B5F">
        <w:rPr>
          <w:rFonts w:eastAsia="Times New Roman"/>
          <w:color w:val="000000" w:themeColor="text1"/>
          <w:shd w:val="clear" w:color="auto" w:fill="FFFFFF"/>
        </w:rPr>
        <w:t xml:space="preserve">s and vice versa (McGee, 2002; Parikh et al., 2008). </w:t>
      </w:r>
    </w:p>
    <w:p w14:paraId="2BA39474" w14:textId="34E42358" w:rsidR="00780451" w:rsidRPr="005963D1" w:rsidRDefault="00780451" w:rsidP="005963D1">
      <w:pPr>
        <w:spacing w:line="480" w:lineRule="auto"/>
        <w:rPr>
          <w:rFonts w:eastAsia="Times New Roman"/>
          <w:b/>
          <w:color w:val="000000" w:themeColor="text1"/>
          <w:shd w:val="clear" w:color="auto" w:fill="FFFFFF"/>
        </w:rPr>
      </w:pPr>
      <w:r w:rsidRPr="002D3EB4">
        <w:rPr>
          <w:rFonts w:eastAsia="Times New Roman"/>
          <w:b/>
          <w:color w:val="000000" w:themeColor="text1"/>
          <w:shd w:val="clear" w:color="auto" w:fill="FFFFFF"/>
        </w:rPr>
        <w:t>Predictive Values</w:t>
      </w:r>
    </w:p>
    <w:p w14:paraId="29109CA3" w14:textId="4721E294" w:rsidR="00780451" w:rsidRPr="006F5B5F" w:rsidRDefault="002D3EB4" w:rsidP="005963D1">
      <w:pPr>
        <w:spacing w:line="480" w:lineRule="auto"/>
        <w:rPr>
          <w:rFonts w:eastAsia="Times New Roman"/>
          <w:color w:val="000000" w:themeColor="text1"/>
          <w:shd w:val="clear" w:color="auto" w:fill="FFFFFF"/>
        </w:rPr>
      </w:pPr>
      <w:r>
        <w:rPr>
          <w:rFonts w:eastAsia="Times New Roman"/>
          <w:color w:val="000000" w:themeColor="text1"/>
          <w:shd w:val="clear" w:color="auto" w:fill="FFFFFF"/>
        </w:rPr>
        <w:t xml:space="preserve"> </w:t>
      </w:r>
      <w:r>
        <w:rPr>
          <w:rFonts w:eastAsia="Times New Roman"/>
          <w:color w:val="000000" w:themeColor="text1"/>
          <w:shd w:val="clear" w:color="auto" w:fill="FFFFFF"/>
        </w:rPr>
        <w:tab/>
      </w:r>
      <w:r w:rsidR="00115ED5" w:rsidRPr="006F5B5F">
        <w:rPr>
          <w:rFonts w:eastAsia="Times New Roman"/>
          <w:color w:val="000000" w:themeColor="text1"/>
          <w:shd w:val="clear" w:color="auto" w:fill="FFFFFF"/>
        </w:rPr>
        <w:t>Positive predictive value</w:t>
      </w:r>
      <w:r w:rsidR="00780451" w:rsidRPr="006F5B5F">
        <w:rPr>
          <w:rFonts w:eastAsia="Times New Roman"/>
          <w:color w:val="000000" w:themeColor="text1"/>
          <w:shd w:val="clear" w:color="auto" w:fill="FFFFFF"/>
        </w:rPr>
        <w:t xml:space="preserve"> (PPV)</w:t>
      </w:r>
      <w:r w:rsidR="00115ED5" w:rsidRPr="006F5B5F">
        <w:rPr>
          <w:rFonts w:eastAsia="Times New Roman"/>
          <w:color w:val="000000" w:themeColor="text1"/>
          <w:shd w:val="clear" w:color="auto" w:fill="FFFFFF"/>
        </w:rPr>
        <w:t xml:space="preserve"> is the percentage of patients with a positive tes</w:t>
      </w:r>
      <w:r w:rsidR="00561068" w:rsidRPr="006F5B5F">
        <w:rPr>
          <w:rFonts w:eastAsia="Times New Roman"/>
          <w:color w:val="000000" w:themeColor="text1"/>
          <w:shd w:val="clear" w:color="auto" w:fill="FFFFFF"/>
        </w:rPr>
        <w:t xml:space="preserve">t who actually have the disease, </w:t>
      </w:r>
      <w:r w:rsidR="009B6835">
        <w:rPr>
          <w:rFonts w:eastAsia="Times New Roman"/>
          <w:color w:val="000000" w:themeColor="text1"/>
          <w:shd w:val="clear" w:color="auto" w:fill="FFFFFF"/>
        </w:rPr>
        <w:t>or the number of</w:t>
      </w:r>
      <w:r w:rsidR="00561068" w:rsidRPr="006F5B5F">
        <w:rPr>
          <w:rFonts w:eastAsia="Times New Roman"/>
          <w:color w:val="000000" w:themeColor="text1"/>
          <w:shd w:val="clear" w:color="auto" w:fill="FFFFFF"/>
        </w:rPr>
        <w:t xml:space="preserve"> true positives.</w:t>
      </w:r>
      <w:r w:rsidR="00115ED5" w:rsidRPr="006F5B5F">
        <w:rPr>
          <w:rFonts w:eastAsia="Times New Roman"/>
          <w:color w:val="000000" w:themeColor="text1"/>
          <w:shd w:val="clear" w:color="auto" w:fill="FFFFFF"/>
        </w:rPr>
        <w:t xml:space="preserve"> Negative predictive value</w:t>
      </w:r>
      <w:r w:rsidR="00780451" w:rsidRPr="006F5B5F">
        <w:rPr>
          <w:rFonts w:eastAsia="Times New Roman"/>
          <w:color w:val="000000" w:themeColor="text1"/>
          <w:shd w:val="clear" w:color="auto" w:fill="FFFFFF"/>
        </w:rPr>
        <w:t xml:space="preserve"> (NPV)</w:t>
      </w:r>
      <w:r w:rsidR="00115ED5" w:rsidRPr="006F5B5F">
        <w:rPr>
          <w:rFonts w:eastAsia="Times New Roman"/>
          <w:color w:val="000000" w:themeColor="text1"/>
          <w:shd w:val="clear" w:color="auto" w:fill="FFFFFF"/>
        </w:rPr>
        <w:t xml:space="preserve"> is the percentage of patients with a negative t</w:t>
      </w:r>
      <w:r w:rsidR="00561068" w:rsidRPr="006F5B5F">
        <w:rPr>
          <w:rFonts w:eastAsia="Times New Roman"/>
          <w:color w:val="000000" w:themeColor="text1"/>
          <w:shd w:val="clear" w:color="auto" w:fill="FFFFFF"/>
        </w:rPr>
        <w:t>est who do not have the disease, or the number of true negatives.</w:t>
      </w:r>
      <w:r w:rsidR="00780451" w:rsidRPr="006F5B5F">
        <w:rPr>
          <w:rFonts w:eastAsia="Times New Roman"/>
          <w:color w:val="000000" w:themeColor="text1"/>
          <w:shd w:val="clear" w:color="auto" w:fill="FFFFFF"/>
        </w:rPr>
        <w:t xml:space="preserve"> Positive and negative predictive values are directly related to the prevalence of the disease in the population. Assuming all other factors remain constant, the PPV will incr</w:t>
      </w:r>
      <w:r w:rsidR="00A84A20" w:rsidRPr="006F5B5F">
        <w:rPr>
          <w:rFonts w:eastAsia="Times New Roman"/>
          <w:color w:val="000000" w:themeColor="text1"/>
          <w:shd w:val="clear" w:color="auto" w:fill="FFFFFF"/>
        </w:rPr>
        <w:t>ease with increasing prevalence</w:t>
      </w:r>
      <w:r w:rsidR="00780451" w:rsidRPr="006F5B5F">
        <w:rPr>
          <w:rFonts w:eastAsia="Times New Roman"/>
          <w:color w:val="000000" w:themeColor="text1"/>
          <w:shd w:val="clear" w:color="auto" w:fill="FFFFFF"/>
        </w:rPr>
        <w:t xml:space="preserve"> and NPV decrea</w:t>
      </w:r>
      <w:r w:rsidR="009065E4" w:rsidRPr="006F5B5F">
        <w:rPr>
          <w:rFonts w:eastAsia="Times New Roman"/>
          <w:color w:val="000000" w:themeColor="text1"/>
          <w:shd w:val="clear" w:color="auto" w:fill="FFFFFF"/>
        </w:rPr>
        <w:t xml:space="preserve">ses with increase in prevalence </w:t>
      </w:r>
      <w:r w:rsidR="009065E4" w:rsidRPr="006F5B5F">
        <w:rPr>
          <w:rFonts w:eastAsia="Times New Roman"/>
          <w:color w:val="000000" w:themeColor="text1"/>
          <w:shd w:val="clear" w:color="auto" w:fill="FFFFFF"/>
        </w:rPr>
        <w:t>(McGee, 2002; Parikh et al., 2008)</w:t>
      </w:r>
      <w:r w:rsidR="009065E4" w:rsidRPr="006F5B5F">
        <w:rPr>
          <w:rFonts w:eastAsia="Times New Roman"/>
          <w:color w:val="000000" w:themeColor="text1"/>
          <w:shd w:val="clear" w:color="auto" w:fill="FFFFFF"/>
        </w:rPr>
        <w:t>.</w:t>
      </w:r>
    </w:p>
    <w:p w14:paraId="46839CCC" w14:textId="0987FF0C" w:rsidR="00C6644E" w:rsidRPr="005963D1" w:rsidRDefault="00B41D49" w:rsidP="005963D1">
      <w:pPr>
        <w:spacing w:line="480" w:lineRule="auto"/>
        <w:rPr>
          <w:rFonts w:eastAsia="Times New Roman"/>
          <w:b/>
          <w:color w:val="000000" w:themeColor="text1"/>
        </w:rPr>
      </w:pPr>
      <w:r w:rsidRPr="002D3EB4">
        <w:rPr>
          <w:rFonts w:eastAsia="Times New Roman"/>
          <w:b/>
          <w:color w:val="000000" w:themeColor="text1"/>
        </w:rPr>
        <w:t>Likelihood</w:t>
      </w:r>
      <w:r w:rsidR="00C6644E" w:rsidRPr="002D3EB4">
        <w:rPr>
          <w:rFonts w:eastAsia="Times New Roman"/>
          <w:b/>
          <w:color w:val="000000" w:themeColor="text1"/>
        </w:rPr>
        <w:t xml:space="preserve"> Ratios</w:t>
      </w:r>
    </w:p>
    <w:p w14:paraId="22600CDF" w14:textId="41501F17" w:rsidR="00C6644E" w:rsidRPr="00C6644E" w:rsidRDefault="002D3EB4" w:rsidP="005963D1">
      <w:pPr>
        <w:spacing w:line="480" w:lineRule="auto"/>
        <w:rPr>
          <w:rFonts w:eastAsia="Times New Roman"/>
          <w:color w:val="000000" w:themeColor="text1"/>
        </w:rPr>
      </w:pPr>
      <w:r>
        <w:rPr>
          <w:rFonts w:eastAsia="Times New Roman"/>
          <w:color w:val="000000" w:themeColor="text1"/>
          <w:shd w:val="clear" w:color="auto" w:fill="FFFFFF"/>
        </w:rPr>
        <w:t xml:space="preserve"> </w:t>
      </w:r>
      <w:r>
        <w:rPr>
          <w:rFonts w:eastAsia="Times New Roman"/>
          <w:color w:val="000000" w:themeColor="text1"/>
          <w:shd w:val="clear" w:color="auto" w:fill="FFFFFF"/>
        </w:rPr>
        <w:tab/>
      </w:r>
      <w:r w:rsidR="00C6644E" w:rsidRPr="00C6644E">
        <w:rPr>
          <w:rFonts w:eastAsia="Times New Roman"/>
          <w:color w:val="000000" w:themeColor="text1"/>
          <w:shd w:val="clear" w:color="auto" w:fill="FFFFFF"/>
        </w:rPr>
        <w:t xml:space="preserve">The </w:t>
      </w:r>
      <w:r w:rsidR="00C117F5" w:rsidRPr="006F5B5F">
        <w:rPr>
          <w:rFonts w:eastAsia="Times New Roman"/>
          <w:color w:val="000000" w:themeColor="text1"/>
          <w:shd w:val="clear" w:color="auto" w:fill="FFFFFF"/>
        </w:rPr>
        <w:t xml:space="preserve">Likelihood </w:t>
      </w:r>
      <w:r w:rsidR="00C6644E" w:rsidRPr="00C6644E">
        <w:rPr>
          <w:rFonts w:eastAsia="Times New Roman"/>
          <w:color w:val="000000" w:themeColor="text1"/>
          <w:shd w:val="clear" w:color="auto" w:fill="FFFFFF"/>
        </w:rPr>
        <w:t>R</w:t>
      </w:r>
      <w:r w:rsidR="00C117F5" w:rsidRPr="006F5B5F">
        <w:rPr>
          <w:rFonts w:eastAsia="Times New Roman"/>
          <w:color w:val="000000" w:themeColor="text1"/>
          <w:shd w:val="clear" w:color="auto" w:fill="FFFFFF"/>
        </w:rPr>
        <w:t>atio (LR)</w:t>
      </w:r>
      <w:r w:rsidR="00C6644E" w:rsidRPr="00C6644E">
        <w:rPr>
          <w:rFonts w:eastAsia="Times New Roman"/>
          <w:color w:val="000000" w:themeColor="text1"/>
          <w:shd w:val="clear" w:color="auto" w:fill="FFFFFF"/>
        </w:rPr>
        <w:t xml:space="preserve"> of any clinical finding is the probability of that finding in patients with disease divided by the probability of the same finding in patients without disease</w:t>
      </w:r>
      <w:r w:rsidR="00C6644E" w:rsidRPr="006F5B5F">
        <w:rPr>
          <w:rFonts w:eastAsia="Times New Roman"/>
          <w:color w:val="000000" w:themeColor="text1"/>
          <w:shd w:val="clear" w:color="auto" w:fill="FFFFFF"/>
        </w:rPr>
        <w:t>. Findings with LRs greater than 1 argue for the diagnosis of interest; the bigger the number, the more convincingly the finding suggests that disease. Findings whose LRs lie between 0 and 1 argue against the diagnosis of interest; the closer the LR is to 0, the less likely the disease. Findings whose LRs equal 1 lack diagnostic value</w:t>
      </w:r>
      <w:r w:rsidR="009065E4" w:rsidRPr="006F5B5F">
        <w:rPr>
          <w:rFonts w:eastAsia="Times New Roman"/>
          <w:color w:val="000000" w:themeColor="text1"/>
          <w:shd w:val="clear" w:color="auto" w:fill="FFFFFF"/>
        </w:rPr>
        <w:t xml:space="preserve"> </w:t>
      </w:r>
      <w:r w:rsidR="009065E4" w:rsidRPr="006F5B5F">
        <w:rPr>
          <w:rFonts w:eastAsia="Times New Roman"/>
          <w:color w:val="000000" w:themeColor="text1"/>
          <w:shd w:val="clear" w:color="auto" w:fill="FFFFFF"/>
        </w:rPr>
        <w:t>(McGee, 2002; Parikh et al., 2008)</w:t>
      </w:r>
      <w:r w:rsidR="00C6644E" w:rsidRPr="006F5B5F">
        <w:rPr>
          <w:rFonts w:eastAsia="Times New Roman"/>
          <w:color w:val="000000" w:themeColor="text1"/>
          <w:shd w:val="clear" w:color="auto" w:fill="FFFFFF"/>
        </w:rPr>
        <w:t>.</w:t>
      </w:r>
    </w:p>
    <w:p w14:paraId="71C64A87" w14:textId="39C583E2" w:rsidR="00873F25" w:rsidRPr="005963D1" w:rsidRDefault="00873F25" w:rsidP="005963D1">
      <w:pPr>
        <w:spacing w:line="480" w:lineRule="auto"/>
        <w:rPr>
          <w:rFonts w:eastAsia="Times New Roman"/>
          <w:b/>
          <w:color w:val="000000" w:themeColor="text1"/>
        </w:rPr>
      </w:pPr>
      <w:r w:rsidRPr="002D3EB4">
        <w:rPr>
          <w:rFonts w:eastAsia="Times New Roman"/>
          <w:b/>
          <w:color w:val="000000" w:themeColor="text1"/>
        </w:rPr>
        <w:t xml:space="preserve">Area Under the Curve </w:t>
      </w:r>
    </w:p>
    <w:p w14:paraId="1C655731" w14:textId="0D9C4BCE" w:rsidR="002D3EB4" w:rsidRDefault="002D3EB4" w:rsidP="005963D1">
      <w:pPr>
        <w:spacing w:line="480" w:lineRule="auto"/>
        <w:rPr>
          <w:rFonts w:eastAsia="Times New Roman"/>
          <w:color w:val="000000" w:themeColor="text1"/>
          <w:shd w:val="clear" w:color="auto" w:fill="FFFFFF"/>
        </w:rPr>
      </w:pPr>
      <w:r>
        <w:rPr>
          <w:rFonts w:eastAsia="Times New Roman"/>
          <w:color w:val="000000" w:themeColor="text1"/>
          <w:shd w:val="clear" w:color="auto" w:fill="FFFFFF"/>
        </w:rPr>
        <w:t xml:space="preserve"> </w:t>
      </w:r>
      <w:r>
        <w:rPr>
          <w:rFonts w:eastAsia="Times New Roman"/>
          <w:color w:val="000000" w:themeColor="text1"/>
          <w:shd w:val="clear" w:color="auto" w:fill="FFFFFF"/>
        </w:rPr>
        <w:tab/>
      </w:r>
      <w:r w:rsidR="00B27544" w:rsidRPr="00B27544">
        <w:rPr>
          <w:rFonts w:eastAsia="Times New Roman"/>
          <w:color w:val="000000" w:themeColor="text1"/>
          <w:shd w:val="clear" w:color="auto" w:fill="FFFFFF"/>
        </w:rPr>
        <w:t>Accuracy is measured by the area under the ROC curve. An area</w:t>
      </w:r>
      <w:r w:rsidR="00B27544" w:rsidRPr="006F5B5F">
        <w:rPr>
          <w:rFonts w:eastAsia="Times New Roman"/>
          <w:color w:val="000000" w:themeColor="text1"/>
          <w:shd w:val="clear" w:color="auto" w:fill="FFFFFF"/>
        </w:rPr>
        <w:t xml:space="preserve"> of 1 represents a perfect test where as</w:t>
      </w:r>
      <w:r w:rsidR="00B27544" w:rsidRPr="00B27544">
        <w:rPr>
          <w:rFonts w:eastAsia="Times New Roman"/>
          <w:color w:val="000000" w:themeColor="text1"/>
          <w:shd w:val="clear" w:color="auto" w:fill="FFFFFF"/>
        </w:rPr>
        <w:t xml:space="preserve"> an area of .5 represents a worthless test.</w:t>
      </w:r>
      <w:r w:rsidR="00B27544" w:rsidRPr="006F5B5F">
        <w:rPr>
          <w:rFonts w:eastAsia="Times New Roman"/>
          <w:color w:val="000000" w:themeColor="text1"/>
          <w:shd w:val="clear" w:color="auto" w:fill="FFFFFF"/>
        </w:rPr>
        <w:t xml:space="preserve"> The area measures </w:t>
      </w:r>
      <w:r w:rsidR="00B27544" w:rsidRPr="006F5B5F">
        <w:rPr>
          <w:rFonts w:eastAsia="Times New Roman"/>
          <w:bCs/>
          <w:color w:val="000000" w:themeColor="text1"/>
          <w:shd w:val="clear" w:color="auto" w:fill="FFFFFF"/>
        </w:rPr>
        <w:t>discrimination</w:t>
      </w:r>
      <w:r w:rsidR="00B27544" w:rsidRPr="006F5B5F">
        <w:rPr>
          <w:rFonts w:eastAsia="Times New Roman"/>
          <w:color w:val="000000" w:themeColor="text1"/>
          <w:shd w:val="clear" w:color="auto" w:fill="FFFFFF"/>
        </w:rPr>
        <w:t>, that is, the ability of the test to correctly classify those with and without the disease</w:t>
      </w:r>
      <w:r w:rsidR="009065E4" w:rsidRPr="006F5B5F">
        <w:rPr>
          <w:rFonts w:eastAsia="Times New Roman"/>
          <w:color w:val="000000" w:themeColor="text1"/>
          <w:shd w:val="clear" w:color="auto" w:fill="FFFFFF"/>
        </w:rPr>
        <w:t xml:space="preserve"> </w:t>
      </w:r>
      <w:r w:rsidR="009065E4" w:rsidRPr="006F5B5F">
        <w:rPr>
          <w:rFonts w:eastAsia="Times New Roman"/>
          <w:color w:val="000000" w:themeColor="text1"/>
          <w:shd w:val="clear" w:color="auto" w:fill="FFFFFF"/>
        </w:rPr>
        <w:t>(McGee, 2002; Parikh et al., 2008)</w:t>
      </w:r>
      <w:r w:rsidR="00B27544" w:rsidRPr="006F5B5F">
        <w:rPr>
          <w:rFonts w:eastAsia="Times New Roman"/>
          <w:color w:val="000000" w:themeColor="text1"/>
          <w:shd w:val="clear" w:color="auto" w:fill="FFFFFF"/>
        </w:rPr>
        <w:t>.</w:t>
      </w:r>
      <w:r w:rsidR="005963D1">
        <w:rPr>
          <w:rFonts w:eastAsia="Times New Roman"/>
          <w:color w:val="000000" w:themeColor="text1"/>
          <w:shd w:val="clear" w:color="auto" w:fill="FFFFFF"/>
        </w:rPr>
        <w:t xml:space="preserve"> Figure 1 represents area under the curve of a given test showing excellent, good and worthless values. </w:t>
      </w:r>
    </w:p>
    <w:p w14:paraId="76CEA680" w14:textId="3B1AC8F6" w:rsidR="002D3EB4" w:rsidRPr="005963D1" w:rsidRDefault="002D3EB4" w:rsidP="005963D1">
      <w:pPr>
        <w:spacing w:line="480" w:lineRule="auto"/>
        <w:ind w:firstLine="720"/>
        <w:rPr>
          <w:rFonts w:eastAsia="Times New Roman"/>
          <w:b/>
          <w:color w:val="000000" w:themeColor="text1"/>
        </w:rPr>
      </w:pPr>
      <w:r w:rsidRPr="005963D1">
        <w:rPr>
          <w:rFonts w:eastAsia="Times New Roman"/>
          <w:b/>
          <w:color w:val="000000" w:themeColor="text1"/>
          <w:shd w:val="clear" w:color="auto" w:fill="FFFFFF"/>
        </w:rPr>
        <w:t>Figure 1.</w:t>
      </w:r>
      <w:r w:rsidR="005963D1">
        <w:rPr>
          <w:rFonts w:eastAsia="Times New Roman"/>
          <w:b/>
          <w:color w:val="000000" w:themeColor="text1"/>
          <w:shd w:val="clear" w:color="auto" w:fill="FFFFFF"/>
        </w:rPr>
        <w:t xml:space="preserve"> </w:t>
      </w:r>
    </w:p>
    <w:p w14:paraId="11C15ECD" w14:textId="0C3E61BD" w:rsidR="00B27544" w:rsidRPr="006F5B5F" w:rsidRDefault="00B27544" w:rsidP="005963D1">
      <w:pPr>
        <w:spacing w:line="480" w:lineRule="auto"/>
        <w:rPr>
          <w:rFonts w:eastAsia="Times New Roman"/>
          <w:color w:val="000000" w:themeColor="text1"/>
        </w:rPr>
      </w:pPr>
    </w:p>
    <w:p w14:paraId="132779C5" w14:textId="516F6FA4" w:rsidR="0055463F" w:rsidRPr="005963D1" w:rsidRDefault="00083ADD" w:rsidP="005963D1">
      <w:pPr>
        <w:spacing w:line="480" w:lineRule="auto"/>
        <w:jc w:val="center"/>
        <w:rPr>
          <w:rFonts w:eastAsia="Times New Roman"/>
          <w:color w:val="000000" w:themeColor="text1"/>
        </w:rPr>
      </w:pPr>
      <w:r w:rsidRPr="006F5B5F">
        <w:rPr>
          <w:rFonts w:eastAsia="Times New Roman"/>
          <w:noProof/>
          <w:color w:val="000000" w:themeColor="text1"/>
        </w:rPr>
        <w:drawing>
          <wp:inline distT="0" distB="0" distL="0" distR="0" wp14:anchorId="4AE39F38" wp14:editId="00FBCD9C">
            <wp:extent cx="2860675" cy="2860675"/>
            <wp:effectExtent l="0" t="0" r="9525" b="9525"/>
            <wp:docPr id="1" name="Picture 1" descr="http://gim.unmc.edu/dxtests/roc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m.unmc.edu/dxtests/rocco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7B72A87B" w14:textId="4014C76C" w:rsidR="001C570B" w:rsidRPr="005963D1" w:rsidRDefault="006F5B5F" w:rsidP="005963D1">
      <w:pPr>
        <w:spacing w:line="480" w:lineRule="auto"/>
        <w:rPr>
          <w:b/>
          <w:color w:val="000000" w:themeColor="text1"/>
          <w:lang w:val="en-CA"/>
        </w:rPr>
      </w:pPr>
      <w:r w:rsidRPr="002D3EB4">
        <w:rPr>
          <w:b/>
          <w:color w:val="000000" w:themeColor="text1"/>
          <w:lang w:val="en-CA"/>
        </w:rPr>
        <w:t xml:space="preserve">Visualization to Improve Data Practicality  </w:t>
      </w:r>
    </w:p>
    <w:p w14:paraId="77A98A60" w14:textId="22BE471E" w:rsidR="00EA7BED" w:rsidRPr="005963D1" w:rsidRDefault="002D3EB4" w:rsidP="005963D1">
      <w:pPr>
        <w:spacing w:line="480" w:lineRule="auto"/>
        <w:rPr>
          <w:rFonts w:eastAsia="Times New Roman"/>
          <w:color w:val="000000" w:themeColor="text1"/>
        </w:rPr>
      </w:pPr>
      <w:r>
        <w:rPr>
          <w:color w:val="000000" w:themeColor="text1"/>
          <w:lang w:val="en-CA"/>
        </w:rPr>
        <w:t xml:space="preserve"> </w:t>
      </w:r>
      <w:r>
        <w:rPr>
          <w:color w:val="000000" w:themeColor="text1"/>
          <w:lang w:val="en-CA"/>
        </w:rPr>
        <w:tab/>
      </w:r>
      <w:r w:rsidR="00BC009E" w:rsidRPr="006F5B5F">
        <w:rPr>
          <w:color w:val="000000" w:themeColor="text1"/>
          <w:lang w:val="en-CA"/>
        </w:rPr>
        <w:t xml:space="preserve">These formal recommended quantitative methods for reporting diagnostic accuracy statistics are regularly reviewed in undergraduate textbooks, graduate courses and postgraduate medical examinations, as well as on several certifying examinations for clinicians, practitioners and other health care providers. However, despite the rigorous review of these methods, </w:t>
      </w:r>
      <w:r w:rsidR="00BC009E" w:rsidRPr="006F5B5F">
        <w:rPr>
          <w:rFonts w:eastAsia="Times New Roman"/>
          <w:color w:val="000000" w:themeColor="text1"/>
          <w:shd w:val="clear" w:color="auto" w:fill="FFFFFF"/>
        </w:rPr>
        <w:t>there is</w:t>
      </w:r>
      <w:r w:rsidR="00C1291C" w:rsidRPr="00C1291C">
        <w:rPr>
          <w:rFonts w:eastAsia="Times New Roman"/>
          <w:color w:val="000000" w:themeColor="text1"/>
          <w:shd w:val="clear" w:color="auto" w:fill="FFFFFF"/>
        </w:rPr>
        <w:t xml:space="preserve"> evidence that many clinicians find it difficult to extract usable probabilistic information from diagnostic test accuracy results in the way that they are typically reporte</w:t>
      </w:r>
      <w:r w:rsidR="009065E4" w:rsidRPr="006F5B5F">
        <w:rPr>
          <w:rFonts w:eastAsia="Times New Roman"/>
          <w:color w:val="000000" w:themeColor="text1"/>
          <w:shd w:val="clear" w:color="auto" w:fill="FFFFFF"/>
        </w:rPr>
        <w:t xml:space="preserve">d (Reid et al., 1998; </w:t>
      </w:r>
      <w:r w:rsidR="009065E4" w:rsidRPr="006F5B5F">
        <w:rPr>
          <w:rFonts w:eastAsia="Times New Roman"/>
          <w:color w:val="222222"/>
          <w:shd w:val="clear" w:color="auto" w:fill="FFFFFF"/>
        </w:rPr>
        <w:t xml:space="preserve">Steurer, </w:t>
      </w:r>
      <w:r w:rsidR="009065E4" w:rsidRPr="006F5B5F">
        <w:rPr>
          <w:rFonts w:eastAsia="Times New Roman"/>
          <w:color w:val="222222"/>
          <w:shd w:val="clear" w:color="auto" w:fill="FFFFFF"/>
        </w:rPr>
        <w:t xml:space="preserve">et al., </w:t>
      </w:r>
      <w:r w:rsidR="009065E4" w:rsidRPr="006F5B5F">
        <w:rPr>
          <w:rFonts w:eastAsia="Times New Roman"/>
          <w:color w:val="222222"/>
          <w:shd w:val="clear" w:color="auto" w:fill="FFFFFF"/>
        </w:rPr>
        <w:t>2002).</w:t>
      </w:r>
      <w:r w:rsidR="009065E4" w:rsidRPr="006F5B5F">
        <w:rPr>
          <w:rFonts w:eastAsia="Times New Roman"/>
          <w:color w:val="000000" w:themeColor="text1"/>
          <w:shd w:val="clear" w:color="auto" w:fill="FFFFFF"/>
        </w:rPr>
        <w:t xml:space="preserve"> </w:t>
      </w:r>
      <w:r w:rsidR="00592CF3" w:rsidRPr="006F5B5F">
        <w:rPr>
          <w:rFonts w:eastAsia="Times New Roman"/>
          <w:color w:val="000000" w:themeColor="text1"/>
          <w:shd w:val="clear" w:color="auto" w:fill="FFFFFF"/>
        </w:rPr>
        <w:t>For example, Reid</w:t>
      </w:r>
      <w:r w:rsidR="008710E3" w:rsidRPr="006F5B5F">
        <w:rPr>
          <w:rFonts w:eastAsia="Times New Roman"/>
          <w:color w:val="000000" w:themeColor="text1"/>
          <w:shd w:val="clear" w:color="auto" w:fill="FFFFFF"/>
        </w:rPr>
        <w:t>,</w:t>
      </w:r>
      <w:r w:rsidR="00592CF3" w:rsidRPr="006F5B5F">
        <w:rPr>
          <w:rFonts w:eastAsia="Times New Roman"/>
          <w:color w:val="000000" w:themeColor="text1"/>
          <w:shd w:val="clear" w:color="auto" w:fill="FFFFFF"/>
        </w:rPr>
        <w:t xml:space="preserve"> Lane, and Feinstein (1998) surveyed the opinion of 300 physicians to assess how often they use the recommended quantitative methods</w:t>
      </w:r>
      <w:r w:rsidR="00047A29" w:rsidRPr="006F5B5F">
        <w:rPr>
          <w:rFonts w:eastAsia="Times New Roman"/>
          <w:color w:val="000000" w:themeColor="text1"/>
          <w:shd w:val="clear" w:color="auto" w:fill="FFFFFF"/>
        </w:rPr>
        <w:t xml:space="preserve"> when appraising tests’ diagnosis accuracy</w:t>
      </w:r>
      <w:r w:rsidR="00592CF3" w:rsidRPr="006F5B5F">
        <w:rPr>
          <w:rFonts w:eastAsia="Times New Roman"/>
          <w:color w:val="000000" w:themeColor="text1"/>
          <w:shd w:val="clear" w:color="auto" w:fill="FFFFFF"/>
        </w:rPr>
        <w:t xml:space="preserve"> including </w:t>
      </w:r>
      <w:r w:rsidR="00AA62C3" w:rsidRPr="006F5B5F">
        <w:rPr>
          <w:rFonts w:eastAsia="Times New Roman"/>
          <w:color w:val="000000" w:themeColor="text1"/>
          <w:shd w:val="clear" w:color="auto" w:fill="FFFFFF"/>
        </w:rPr>
        <w:t xml:space="preserve">the use of </w:t>
      </w:r>
      <w:r w:rsidR="00592CF3" w:rsidRPr="006F5B5F">
        <w:rPr>
          <w:rFonts w:eastAsia="Times New Roman"/>
          <w:color w:val="000000" w:themeColor="text1"/>
          <w:shd w:val="clear" w:color="auto" w:fill="FFFFFF"/>
        </w:rPr>
        <w:t>measures</w:t>
      </w:r>
      <w:r w:rsidR="00AA62C3" w:rsidRPr="006F5B5F">
        <w:rPr>
          <w:rFonts w:eastAsia="Times New Roman"/>
          <w:color w:val="000000" w:themeColor="text1"/>
          <w:shd w:val="clear" w:color="auto" w:fill="FFFFFF"/>
        </w:rPr>
        <w:t xml:space="preserve"> of</w:t>
      </w:r>
      <w:r w:rsidR="00592CF3" w:rsidRPr="006F5B5F">
        <w:rPr>
          <w:rFonts w:eastAsia="Times New Roman"/>
          <w:color w:val="000000" w:themeColor="text1"/>
          <w:shd w:val="clear" w:color="auto" w:fill="FFFFFF"/>
        </w:rPr>
        <w:t xml:space="preserve"> </w:t>
      </w:r>
      <w:r w:rsidR="00047A29" w:rsidRPr="006F5B5F">
        <w:rPr>
          <w:rFonts w:eastAsia="Times New Roman"/>
          <w:color w:val="000000" w:themeColor="text1"/>
          <w:shd w:val="clear" w:color="auto" w:fill="FFFFFF"/>
        </w:rPr>
        <w:t>sensitivity</w:t>
      </w:r>
      <w:r w:rsidR="00592CF3" w:rsidRPr="006F5B5F">
        <w:rPr>
          <w:rFonts w:eastAsia="Times New Roman"/>
          <w:color w:val="000000" w:themeColor="text1"/>
          <w:shd w:val="clear" w:color="auto" w:fill="FFFFFF"/>
        </w:rPr>
        <w:t>, specificity, likelihood ratios, and ROC curves.</w:t>
      </w:r>
      <w:r w:rsidR="00047A29" w:rsidRPr="006F5B5F">
        <w:rPr>
          <w:rFonts w:eastAsia="Times New Roman"/>
          <w:color w:val="000000" w:themeColor="text1"/>
          <w:shd w:val="clear" w:color="auto" w:fill="FFFFFF"/>
        </w:rPr>
        <w:t xml:space="preserve"> </w:t>
      </w:r>
      <w:r w:rsidR="007D17F0" w:rsidRPr="006F5B5F">
        <w:rPr>
          <w:rFonts w:eastAsia="Times New Roman"/>
          <w:color w:val="000000" w:themeColor="text1"/>
          <w:shd w:val="clear" w:color="auto" w:fill="FFFFFF"/>
        </w:rPr>
        <w:t xml:space="preserve">The authors found that less than 5% of the physicians used formal methods in their practice and 95% reported that this was due to impracticality or non-familiarity with the reported statistics. </w:t>
      </w:r>
      <w:r w:rsidR="008D12A0" w:rsidRPr="006F5B5F">
        <w:rPr>
          <w:rFonts w:eastAsia="Times New Roman"/>
          <w:color w:val="000000" w:themeColor="text1"/>
          <w:shd w:val="clear" w:color="auto" w:fill="FFFFFF"/>
        </w:rPr>
        <w:t>This is an interesting finding given the amount of exposure to these statistics most clinical professionals have had in their training before being able to practice.</w:t>
      </w:r>
      <w:r w:rsidR="00E2189B" w:rsidRPr="006F5B5F">
        <w:rPr>
          <w:rFonts w:eastAsia="Times New Roman"/>
          <w:color w:val="000000" w:themeColor="text1"/>
          <w:shd w:val="clear" w:color="auto" w:fill="FFFFFF"/>
        </w:rPr>
        <w:t xml:space="preserve"> As such, Steurer et al., (2002) were interested in examining different forms of presenting test accuracy data to physicians and how this affected their estimates of the probability of disease. </w:t>
      </w:r>
      <w:r w:rsidR="008B54EE" w:rsidRPr="006F5B5F">
        <w:rPr>
          <w:rFonts w:eastAsia="Times New Roman"/>
          <w:color w:val="000000" w:themeColor="text1"/>
          <w:shd w:val="clear" w:color="auto" w:fill="FFFFFF"/>
        </w:rPr>
        <w:t>They</w:t>
      </w:r>
      <w:r w:rsidR="009B6835">
        <w:rPr>
          <w:rFonts w:eastAsia="Times New Roman"/>
          <w:color w:val="000000" w:themeColor="text1"/>
          <w:shd w:val="clear" w:color="auto" w:fill="FFFFFF"/>
        </w:rPr>
        <w:t xml:space="preserve"> compared presenting a multiple-</w:t>
      </w:r>
      <w:r w:rsidR="008B54EE" w:rsidRPr="006F5B5F">
        <w:rPr>
          <w:rFonts w:eastAsia="Times New Roman"/>
          <w:color w:val="000000" w:themeColor="text1"/>
          <w:shd w:val="clear" w:color="auto" w:fill="FFFFFF"/>
        </w:rPr>
        <w:t xml:space="preserve">choice question with straight values of </w:t>
      </w:r>
      <w:r w:rsidR="00CD652F" w:rsidRPr="006F5B5F">
        <w:rPr>
          <w:rFonts w:eastAsia="Times New Roman"/>
          <w:color w:val="000000" w:themeColor="text1"/>
          <w:shd w:val="clear" w:color="auto" w:fill="FFFFFF"/>
        </w:rPr>
        <w:t>diagnostic accuracy statistics, and then presenting them in a vignette form as a case study. The results found that when the informatio</w:t>
      </w:r>
      <w:r w:rsidR="001B7FA2" w:rsidRPr="006F5B5F">
        <w:rPr>
          <w:rFonts w:eastAsia="Times New Roman"/>
          <w:color w:val="000000" w:themeColor="text1"/>
          <w:shd w:val="clear" w:color="auto" w:fill="FFFFFF"/>
        </w:rPr>
        <w:t xml:space="preserve">n was presented as a case study 48% of the doctor’s answered the question correctly, in comparison to only 22% when presented as statistical numbers only. This finding suggests that the form in which information is presented to clinicians can drastically impact their understanding of the available data. </w:t>
      </w:r>
      <w:r w:rsidR="008D12A0" w:rsidRPr="006F5B5F">
        <w:rPr>
          <w:rFonts w:eastAsia="Times New Roman"/>
          <w:color w:val="000000" w:themeColor="text1"/>
          <w:shd w:val="clear" w:color="auto" w:fill="FFFFFF"/>
        </w:rPr>
        <w:t xml:space="preserve">As such, </w:t>
      </w:r>
      <w:r w:rsidR="00DD02E7" w:rsidRPr="006F5B5F">
        <w:rPr>
          <w:rFonts w:eastAsia="Times New Roman"/>
          <w:color w:val="000000" w:themeColor="text1"/>
          <w:shd w:val="clear" w:color="auto" w:fill="FFFFFF"/>
        </w:rPr>
        <w:t xml:space="preserve">one possible solution </w:t>
      </w:r>
      <w:r w:rsidR="001B7FA2" w:rsidRPr="006F5B5F">
        <w:rPr>
          <w:rFonts w:eastAsia="Times New Roman"/>
          <w:color w:val="000000" w:themeColor="text1"/>
          <w:shd w:val="clear" w:color="auto" w:fill="FFFFFF"/>
        </w:rPr>
        <w:t>to the lack of data applicability in health care settings could be tackled by</w:t>
      </w:r>
      <w:r w:rsidR="00DD02E7" w:rsidRPr="006F5B5F">
        <w:rPr>
          <w:rFonts w:eastAsia="Times New Roman"/>
          <w:color w:val="000000" w:themeColor="text1"/>
          <w:shd w:val="clear" w:color="auto" w:fill="FFFFFF"/>
        </w:rPr>
        <w:t xml:space="preserve"> present</w:t>
      </w:r>
      <w:r w:rsidR="001B7FA2" w:rsidRPr="006F5B5F">
        <w:rPr>
          <w:rFonts w:eastAsia="Times New Roman"/>
          <w:color w:val="000000" w:themeColor="text1"/>
          <w:shd w:val="clear" w:color="auto" w:fill="FFFFFF"/>
        </w:rPr>
        <w:t>ing</w:t>
      </w:r>
      <w:r w:rsidR="008D12A0" w:rsidRPr="006F5B5F">
        <w:rPr>
          <w:rFonts w:eastAsia="Times New Roman"/>
          <w:color w:val="000000" w:themeColor="text1"/>
          <w:shd w:val="clear" w:color="auto" w:fill="FFFFFF"/>
        </w:rPr>
        <w:t xml:space="preserve"> data</w:t>
      </w:r>
      <w:r w:rsidR="00DD02E7" w:rsidRPr="006F5B5F">
        <w:rPr>
          <w:rFonts w:eastAsia="Times New Roman"/>
          <w:color w:val="000000" w:themeColor="text1"/>
          <w:shd w:val="clear" w:color="auto" w:fill="FFFFFF"/>
        </w:rPr>
        <w:t xml:space="preserve"> in a visually appealing manner</w:t>
      </w:r>
      <w:r w:rsidR="001B7FA2" w:rsidRPr="006F5B5F">
        <w:rPr>
          <w:rFonts w:eastAsia="Times New Roman"/>
          <w:color w:val="000000" w:themeColor="text1"/>
          <w:shd w:val="clear" w:color="auto" w:fill="FFFFFF"/>
        </w:rPr>
        <w:t xml:space="preserve">. </w:t>
      </w:r>
      <w:r w:rsidR="00A42509" w:rsidRPr="006F5B5F">
        <w:rPr>
          <w:rFonts w:eastAsia="Times New Roman"/>
          <w:color w:val="000000" w:themeColor="text1"/>
          <w:shd w:val="clear" w:color="auto" w:fill="FFFFFF"/>
        </w:rPr>
        <w:t>Allowing for a role of visual aids when presenting diagnostic accuracy information can</w:t>
      </w:r>
      <w:r w:rsidR="00B13819" w:rsidRPr="006F5B5F">
        <w:rPr>
          <w:rFonts w:eastAsia="Times New Roman"/>
          <w:color w:val="000000" w:themeColor="text1"/>
          <w:shd w:val="clear" w:color="auto" w:fill="FFFFFF"/>
        </w:rPr>
        <w:t xml:space="preserve"> </w:t>
      </w:r>
      <w:r w:rsidR="006D0C1B" w:rsidRPr="006F5B5F">
        <w:rPr>
          <w:rFonts w:eastAsia="Times New Roman"/>
          <w:color w:val="000000" w:themeColor="text1"/>
          <w:shd w:val="clear" w:color="auto" w:fill="FFFFFF"/>
        </w:rPr>
        <w:t>facilitate better understanding</w:t>
      </w:r>
      <w:r w:rsidR="00B13819" w:rsidRPr="006F5B5F">
        <w:rPr>
          <w:rFonts w:eastAsia="Times New Roman"/>
          <w:color w:val="000000" w:themeColor="text1"/>
          <w:shd w:val="clear" w:color="auto" w:fill="FFFFFF"/>
        </w:rPr>
        <w:t xml:space="preserve"> for physicians</w:t>
      </w:r>
      <w:r w:rsidR="006D0C1B" w:rsidRPr="006F5B5F">
        <w:rPr>
          <w:rFonts w:eastAsia="Times New Roman"/>
          <w:color w:val="000000" w:themeColor="text1"/>
          <w:shd w:val="clear" w:color="auto" w:fill="FFFFFF"/>
        </w:rPr>
        <w:t>,</w:t>
      </w:r>
      <w:r w:rsidR="00B13819" w:rsidRPr="006F5B5F">
        <w:rPr>
          <w:rFonts w:eastAsia="Times New Roman"/>
          <w:color w:val="000000" w:themeColor="text1"/>
          <w:shd w:val="clear" w:color="auto" w:fill="FFFFFF"/>
        </w:rPr>
        <w:t xml:space="preserve"> increase the use of the data</w:t>
      </w:r>
      <w:r w:rsidR="00A42509" w:rsidRPr="006F5B5F">
        <w:rPr>
          <w:rFonts w:eastAsia="Times New Roman"/>
          <w:color w:val="000000" w:themeColor="text1"/>
          <w:shd w:val="clear" w:color="auto" w:fill="FFFFFF"/>
        </w:rPr>
        <w:t xml:space="preserve"> when making decisions</w:t>
      </w:r>
      <w:r w:rsidR="00B13819" w:rsidRPr="006F5B5F">
        <w:rPr>
          <w:rFonts w:eastAsia="Times New Roman"/>
          <w:color w:val="000000" w:themeColor="text1"/>
          <w:shd w:val="clear" w:color="auto" w:fill="FFFFFF"/>
        </w:rPr>
        <w:t>,</w:t>
      </w:r>
      <w:r w:rsidR="006D0C1B" w:rsidRPr="006F5B5F">
        <w:rPr>
          <w:rFonts w:eastAsia="Times New Roman"/>
          <w:color w:val="000000" w:themeColor="text1"/>
          <w:shd w:val="clear" w:color="auto" w:fill="FFFFFF"/>
        </w:rPr>
        <w:t xml:space="preserve"> and ultimately improve patient care. </w:t>
      </w:r>
    </w:p>
    <w:p w14:paraId="0EDE40AC" w14:textId="63165B1E" w:rsidR="00A42509" w:rsidRPr="005963D1" w:rsidRDefault="008D12A0" w:rsidP="005963D1">
      <w:pPr>
        <w:spacing w:line="480" w:lineRule="auto"/>
        <w:rPr>
          <w:b/>
          <w:color w:val="000000" w:themeColor="text1"/>
          <w:lang w:val="en-CA"/>
        </w:rPr>
      </w:pPr>
      <w:r w:rsidRPr="002D3EB4">
        <w:rPr>
          <w:b/>
          <w:color w:val="000000" w:themeColor="text1"/>
          <w:lang w:val="en-CA"/>
        </w:rPr>
        <w:t>Visualization</w:t>
      </w:r>
      <w:r w:rsidR="004C410F" w:rsidRPr="002D3EB4">
        <w:rPr>
          <w:b/>
          <w:color w:val="000000" w:themeColor="text1"/>
          <w:lang w:val="en-CA"/>
        </w:rPr>
        <w:t xml:space="preserve"> of Diagnostic Accuracies</w:t>
      </w:r>
      <w:r w:rsidRPr="002D3EB4">
        <w:rPr>
          <w:b/>
          <w:color w:val="000000" w:themeColor="text1"/>
          <w:lang w:val="en-CA"/>
        </w:rPr>
        <w:t xml:space="preserve"> </w:t>
      </w:r>
    </w:p>
    <w:p w14:paraId="4CD1779F" w14:textId="2D0A873A" w:rsidR="00AB4298" w:rsidRPr="006F5B5F" w:rsidRDefault="002D3EB4" w:rsidP="005963D1">
      <w:pPr>
        <w:spacing w:line="480" w:lineRule="auto"/>
        <w:rPr>
          <w:color w:val="000000" w:themeColor="text1"/>
          <w:lang w:val="en-CA"/>
        </w:rPr>
      </w:pPr>
      <w:r>
        <w:rPr>
          <w:color w:val="000000" w:themeColor="text1"/>
          <w:lang w:val="en-CA"/>
        </w:rPr>
        <w:t xml:space="preserve"> </w:t>
      </w:r>
      <w:r>
        <w:rPr>
          <w:color w:val="000000" w:themeColor="text1"/>
          <w:lang w:val="en-CA"/>
        </w:rPr>
        <w:tab/>
      </w:r>
      <w:r w:rsidR="00BF0594" w:rsidRPr="006F5B5F">
        <w:rPr>
          <w:color w:val="000000" w:themeColor="text1"/>
          <w:lang w:val="en-CA"/>
        </w:rPr>
        <w:t>There are several methods that could be applied to present diagnostic accuracy statistics in a visual way. For example</w:t>
      </w:r>
      <w:r w:rsidR="00AB4298" w:rsidRPr="006F5B5F">
        <w:rPr>
          <w:color w:val="000000" w:themeColor="text1"/>
          <w:lang w:val="en-CA"/>
        </w:rPr>
        <w:t>,</w:t>
      </w:r>
      <w:r w:rsidR="00BF0594" w:rsidRPr="006F5B5F">
        <w:rPr>
          <w:color w:val="000000" w:themeColor="text1"/>
          <w:lang w:val="en-CA"/>
        </w:rPr>
        <w:t xml:space="preserve"> a simple pie chart can communicate the test’</w:t>
      </w:r>
      <w:r w:rsidR="00AB4298" w:rsidRPr="006F5B5F">
        <w:rPr>
          <w:color w:val="000000" w:themeColor="text1"/>
          <w:lang w:val="en-CA"/>
        </w:rPr>
        <w:t xml:space="preserve">s accuracy for a given population. This could also allow comparison of a single test with different populations. For example, how a cognitive screening test performs with individuals with Parkinson’s disease and then another pie chart to represent how the test performs with individuals with dementia. Using graphs and images to represent data can also be useful in this field to better communicate the message and make it easier to understand for clinicians. The presentation of the distribution of results is also useful and a requirement of the STARD </w:t>
      </w:r>
      <w:r w:rsidR="008D244E" w:rsidRPr="006F5B5F">
        <w:rPr>
          <w:color w:val="000000" w:themeColor="text1"/>
          <w:lang w:val="en-CA"/>
        </w:rPr>
        <w:t>recommendations</w:t>
      </w:r>
      <w:r w:rsidR="009065E4" w:rsidRPr="006F5B5F">
        <w:rPr>
          <w:color w:val="000000" w:themeColor="text1"/>
          <w:lang w:val="en-CA"/>
        </w:rPr>
        <w:t xml:space="preserve"> (Cohen at al., 2016).</w:t>
      </w:r>
      <w:r w:rsidR="00AB4298" w:rsidRPr="006F5B5F">
        <w:rPr>
          <w:color w:val="000000" w:themeColor="text1"/>
          <w:lang w:val="en-CA"/>
        </w:rPr>
        <w:t xml:space="preserve"> By showing the </w:t>
      </w:r>
      <w:r w:rsidR="008D244E" w:rsidRPr="006F5B5F">
        <w:rPr>
          <w:color w:val="000000" w:themeColor="text1"/>
          <w:lang w:val="en-CA"/>
        </w:rPr>
        <w:t>distribution</w:t>
      </w:r>
      <w:r w:rsidR="00AB4298" w:rsidRPr="006F5B5F">
        <w:rPr>
          <w:color w:val="000000" w:themeColor="text1"/>
          <w:lang w:val="en-CA"/>
        </w:rPr>
        <w:t xml:space="preserve"> of your sample the reader can better understand what each cut-point on a test represents. For example</w:t>
      </w:r>
      <w:r w:rsidR="00E737AE" w:rsidRPr="006F5B5F">
        <w:rPr>
          <w:color w:val="000000" w:themeColor="text1"/>
          <w:lang w:val="en-CA"/>
        </w:rPr>
        <w:t>,</w:t>
      </w:r>
      <w:r>
        <w:rPr>
          <w:color w:val="000000" w:themeColor="text1"/>
          <w:lang w:val="en-CA"/>
        </w:rPr>
        <w:t xml:space="preserve"> figure 2</w:t>
      </w:r>
      <w:r w:rsidR="00AB4298" w:rsidRPr="006F5B5F">
        <w:rPr>
          <w:color w:val="000000" w:themeColor="text1"/>
          <w:lang w:val="en-CA"/>
        </w:rPr>
        <w:t xml:space="preserve"> shows the distribution of the number of people who received a certain score on the diagnostic test</w:t>
      </w:r>
      <w:r w:rsidR="00E871D4">
        <w:rPr>
          <w:color w:val="000000" w:themeColor="text1"/>
          <w:lang w:val="en-CA"/>
        </w:rPr>
        <w:t xml:space="preserve"> MoCA</w:t>
      </w:r>
      <w:r w:rsidR="00AB4298" w:rsidRPr="006F5B5F">
        <w:rPr>
          <w:color w:val="000000" w:themeColor="text1"/>
          <w:lang w:val="en-CA"/>
        </w:rPr>
        <w:t>, and whether those individuals were impaired o</w:t>
      </w:r>
      <w:r w:rsidR="00E871D4">
        <w:rPr>
          <w:color w:val="000000" w:themeColor="text1"/>
          <w:lang w:val="en-CA"/>
        </w:rPr>
        <w:t>r intact on the gold standard neuropsychological battery.</w:t>
      </w:r>
      <w:r w:rsidR="00AB4298" w:rsidRPr="006F5B5F">
        <w:rPr>
          <w:color w:val="000000" w:themeColor="text1"/>
          <w:lang w:val="en-CA"/>
        </w:rPr>
        <w:t xml:space="preserve"> This allows to directly compare the performance of the screening test in comparison to the gold standard battery. </w:t>
      </w:r>
      <w:r w:rsidR="00E871D4">
        <w:rPr>
          <w:color w:val="000000" w:themeColor="text1"/>
          <w:lang w:val="en-CA"/>
        </w:rPr>
        <w:t xml:space="preserve">The colour coded rows represent cut-points with high sensitivity, high specificity and a middle range of scores that are not in the high sensitivity or specificity range. </w:t>
      </w:r>
    </w:p>
    <w:p w14:paraId="7569EA91" w14:textId="77777777" w:rsidR="002D3EB4" w:rsidRPr="005963D1" w:rsidRDefault="002D3EB4" w:rsidP="005963D1">
      <w:pPr>
        <w:spacing w:line="480" w:lineRule="auto"/>
        <w:ind w:firstLine="720"/>
        <w:rPr>
          <w:b/>
          <w:color w:val="000000" w:themeColor="text1"/>
          <w:lang w:val="en-CA"/>
        </w:rPr>
      </w:pPr>
      <w:r w:rsidRPr="005963D1">
        <w:rPr>
          <w:b/>
          <w:color w:val="000000" w:themeColor="text1"/>
          <w:lang w:val="en-CA"/>
        </w:rPr>
        <w:t>Figure 2.</w:t>
      </w:r>
    </w:p>
    <w:p w14:paraId="5647B266" w14:textId="389E342D" w:rsidR="00AB4298" w:rsidRPr="006F5B5F" w:rsidRDefault="002D3EB4" w:rsidP="005963D1">
      <w:pPr>
        <w:spacing w:line="480" w:lineRule="auto"/>
        <w:jc w:val="center"/>
        <w:rPr>
          <w:color w:val="000000" w:themeColor="text1"/>
          <w:lang w:val="en-CA"/>
        </w:rPr>
      </w:pPr>
      <w:r>
        <w:rPr>
          <w:noProof/>
          <w:color w:val="000000" w:themeColor="text1"/>
        </w:rPr>
        <w:drawing>
          <wp:inline distT="0" distB="0" distL="0" distR="0" wp14:anchorId="26E6F98D" wp14:editId="69DA43DA">
            <wp:extent cx="3213435" cy="3662566"/>
            <wp:effectExtent l="0" t="0" r="0" b="0"/>
            <wp:docPr id="2" name="Picture 2" descr="../Desktop/Screen%20Shot%202019-05-01%20at%2011.58.55%20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5-01%20at%2011.58.55%20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0064" cy="3681519"/>
                    </a:xfrm>
                    <a:prstGeom prst="rect">
                      <a:avLst/>
                    </a:prstGeom>
                    <a:noFill/>
                    <a:ln>
                      <a:noFill/>
                    </a:ln>
                  </pic:spPr>
                </pic:pic>
              </a:graphicData>
            </a:graphic>
          </wp:inline>
        </w:drawing>
      </w:r>
    </w:p>
    <w:p w14:paraId="763E37D3" w14:textId="1F27A94B" w:rsidR="00B16081" w:rsidRPr="006F5B5F" w:rsidRDefault="005963D1" w:rsidP="005963D1">
      <w:pPr>
        <w:spacing w:line="480" w:lineRule="auto"/>
        <w:rPr>
          <w:rFonts w:eastAsia="Times New Roman"/>
          <w:color w:val="000000" w:themeColor="text1"/>
        </w:rPr>
      </w:pPr>
      <w:r>
        <w:rPr>
          <w:color w:val="000000" w:themeColor="text1"/>
          <w:lang w:val="en-CA"/>
        </w:rPr>
        <w:t xml:space="preserve"> </w:t>
      </w:r>
      <w:r>
        <w:rPr>
          <w:color w:val="000000" w:themeColor="text1"/>
          <w:lang w:val="en-CA"/>
        </w:rPr>
        <w:tab/>
      </w:r>
      <w:r w:rsidR="00B16081" w:rsidRPr="006F5B5F">
        <w:rPr>
          <w:color w:val="000000" w:themeColor="text1"/>
          <w:lang w:val="en-CA"/>
        </w:rPr>
        <w:t>In addition, some authors have recommended the use of interactive tools for diagnostic accuracy studies to help visualize and better understand the data</w:t>
      </w:r>
      <w:r w:rsidR="009065E4" w:rsidRPr="006F5B5F">
        <w:rPr>
          <w:color w:val="000000" w:themeColor="text1"/>
          <w:lang w:val="en-CA"/>
        </w:rPr>
        <w:t xml:space="preserve"> (Fanshawe et al., 2018)</w:t>
      </w:r>
      <w:r w:rsidR="00B16081" w:rsidRPr="006F5B5F">
        <w:rPr>
          <w:color w:val="000000" w:themeColor="text1"/>
          <w:lang w:val="en-CA"/>
        </w:rPr>
        <w:t xml:space="preserve">. The tools are created with the use of the Shiny application in R Studio and are titled ‘Test Accuracy’ </w:t>
      </w:r>
      <w:r w:rsidR="00B16081" w:rsidRPr="006F5B5F">
        <w:rPr>
          <w:rFonts w:eastAsia="Times New Roman"/>
          <w:color w:val="000000" w:themeColor="text1"/>
          <w:shd w:val="clear" w:color="auto" w:fill="FFFFFF"/>
        </w:rPr>
        <w:t>(</w:t>
      </w:r>
      <w:hyperlink r:id="rId8" w:history="1">
        <w:r w:rsidR="00B16081" w:rsidRPr="006F5B5F">
          <w:rPr>
            <w:rStyle w:val="Hyperlink"/>
            <w:rFonts w:eastAsia="Times New Roman"/>
            <w:color w:val="000000" w:themeColor="text1"/>
            <w:shd w:val="clear" w:color="auto" w:fill="FFFFFF"/>
          </w:rPr>
          <w:t>https://micncltools.shinyapps.io/TestAccuracy</w:t>
        </w:r>
        <w:r w:rsidR="00B16081" w:rsidRPr="006F5B5F">
          <w:rPr>
            <w:rStyle w:val="Hyperlink"/>
            <w:color w:val="000000" w:themeColor="text1"/>
            <w:lang w:val="en-CA"/>
          </w:rPr>
          <w:t>)</w:t>
        </w:r>
      </w:hyperlink>
      <w:r w:rsidR="00B16081" w:rsidRPr="006F5B5F">
        <w:rPr>
          <w:color w:val="000000" w:themeColor="text1"/>
          <w:lang w:val="en-CA"/>
        </w:rPr>
        <w:t xml:space="preserve"> and ‘Clinical Accuracy and Utility’ (</w:t>
      </w:r>
      <w:hyperlink r:id="rId9" w:history="1">
        <w:r w:rsidR="00B16081" w:rsidRPr="006F5B5F">
          <w:rPr>
            <w:rStyle w:val="Hyperlink"/>
            <w:rFonts w:eastAsia="Times New Roman"/>
            <w:color w:val="000000" w:themeColor="text1"/>
            <w:shd w:val="clear" w:color="auto" w:fill="FFFFFF"/>
          </w:rPr>
          <w:t>https://micncltools.shinyapps.io/ClinicalAccuracyAndUtility</w:t>
        </w:r>
        <w:r w:rsidR="00B16081" w:rsidRPr="006F5B5F">
          <w:rPr>
            <w:rStyle w:val="Hyperlink"/>
            <w:rFonts w:eastAsia="Times New Roman"/>
            <w:color w:val="000000" w:themeColor="text1"/>
          </w:rPr>
          <w:t>)</w:t>
        </w:r>
      </w:hyperlink>
      <w:r w:rsidR="00B16081" w:rsidRPr="006F5B5F">
        <w:rPr>
          <w:rFonts w:eastAsia="Times New Roman"/>
          <w:color w:val="000000" w:themeColor="text1"/>
        </w:rPr>
        <w:t xml:space="preserve">. </w:t>
      </w:r>
      <w:r w:rsidR="00B16081" w:rsidRPr="006F5B5F">
        <w:rPr>
          <w:rFonts w:eastAsia="Times New Roman"/>
          <w:color w:val="000000" w:themeColor="text1"/>
          <w:shd w:val="clear" w:color="auto" w:fill="FFFFFF"/>
        </w:rPr>
        <w:t>The first of these provides a clear interface for displaying and visualizing measures of diagnostic accuracy, such as, sensitivity and specificity. It does so by showing the natural frequencies of true positive, true negatives, false positives and false negatives that would result for a given prevalence and sample size.</w:t>
      </w:r>
      <w:r>
        <w:rPr>
          <w:rFonts w:eastAsia="Times New Roman"/>
          <w:color w:val="000000" w:themeColor="text1"/>
          <w:shd w:val="clear" w:color="auto" w:fill="FFFFFF"/>
        </w:rPr>
        <w:t xml:space="preserve"> Where</w:t>
      </w:r>
      <w:r w:rsidR="00B16081" w:rsidRPr="006F5B5F">
        <w:rPr>
          <w:rFonts w:eastAsia="Times New Roman"/>
          <w:color w:val="000000" w:themeColor="text1"/>
          <w:shd w:val="clear" w:color="auto" w:fill="FFFFFF"/>
        </w:rPr>
        <w:t>as the second tool is designed to help users to interpret pre-test and post-test probabilities of disease in relation to clinical decision thresholds. Additionally, predictive probabilities are shown across the full range of possible prevalences from 0% to 100% to show the user the relationship between these two parameters. While these interactive tools may not be useful in informing clinicians about quick decisions during a check-up with a patient, they are practically useful for clinicians</w:t>
      </w:r>
      <w:r w:rsidR="00143EE1">
        <w:rPr>
          <w:rFonts w:eastAsia="Times New Roman"/>
          <w:color w:val="000000" w:themeColor="text1"/>
          <w:shd w:val="clear" w:color="auto" w:fill="FFFFFF"/>
        </w:rPr>
        <w:t>’</w:t>
      </w:r>
      <w:r w:rsidR="00B16081" w:rsidRPr="006F5B5F">
        <w:rPr>
          <w:rFonts w:eastAsia="Times New Roman"/>
          <w:color w:val="000000" w:themeColor="text1"/>
          <w:shd w:val="clear" w:color="auto" w:fill="FFFFFF"/>
        </w:rPr>
        <w:t xml:space="preserve"> own use in better understand</w:t>
      </w:r>
      <w:r w:rsidR="009278DA">
        <w:rPr>
          <w:rFonts w:eastAsia="Times New Roman"/>
          <w:color w:val="000000" w:themeColor="text1"/>
          <w:shd w:val="clear" w:color="auto" w:fill="FFFFFF"/>
        </w:rPr>
        <w:t>ing</w:t>
      </w:r>
      <w:r w:rsidR="00B16081" w:rsidRPr="006F5B5F">
        <w:rPr>
          <w:rFonts w:eastAsia="Times New Roman"/>
          <w:color w:val="000000" w:themeColor="text1"/>
          <w:shd w:val="clear" w:color="auto" w:fill="FFFFFF"/>
        </w:rPr>
        <w:t xml:space="preserve"> the applicability of the statistics</w:t>
      </w:r>
      <w:r w:rsidR="009065E4" w:rsidRPr="006F5B5F">
        <w:rPr>
          <w:rFonts w:eastAsia="Times New Roman"/>
          <w:color w:val="000000" w:themeColor="text1"/>
          <w:shd w:val="clear" w:color="auto" w:fill="FFFFFF"/>
        </w:rPr>
        <w:t xml:space="preserve"> (Fanshawe et al., 2018)</w:t>
      </w:r>
      <w:r w:rsidR="00B16081" w:rsidRPr="006F5B5F">
        <w:rPr>
          <w:rFonts w:eastAsia="Times New Roman"/>
          <w:color w:val="000000" w:themeColor="text1"/>
          <w:shd w:val="clear" w:color="auto" w:fill="FFFFFF"/>
        </w:rPr>
        <w:t xml:space="preserve">. </w:t>
      </w:r>
    </w:p>
    <w:p w14:paraId="633E1340" w14:textId="48688F07" w:rsidR="005963D1" w:rsidRPr="005963D1" w:rsidRDefault="005963D1" w:rsidP="005963D1">
      <w:pPr>
        <w:spacing w:line="480" w:lineRule="auto"/>
        <w:rPr>
          <w:rFonts w:eastAsia="Times New Roman"/>
          <w:b/>
          <w:color w:val="000000" w:themeColor="text1"/>
          <w:shd w:val="clear" w:color="auto" w:fill="FFFFFF"/>
        </w:rPr>
      </w:pPr>
      <w:r w:rsidRPr="005963D1">
        <w:rPr>
          <w:rFonts w:eastAsia="Times New Roman"/>
          <w:b/>
          <w:color w:val="000000" w:themeColor="text1"/>
          <w:shd w:val="clear" w:color="auto" w:fill="FFFFFF"/>
        </w:rPr>
        <w:t>Usefulness of Visual Aids</w:t>
      </w:r>
    </w:p>
    <w:p w14:paraId="70F21F0A" w14:textId="6315B4DF" w:rsidR="00A56EC6" w:rsidRDefault="00A42509" w:rsidP="005963D1">
      <w:pPr>
        <w:spacing w:line="480" w:lineRule="auto"/>
        <w:ind w:firstLine="720"/>
        <w:rPr>
          <w:rFonts w:eastAsia="Times New Roman"/>
          <w:color w:val="000000" w:themeColor="text1"/>
          <w:shd w:val="clear" w:color="auto" w:fill="FFFFFF"/>
        </w:rPr>
      </w:pPr>
      <w:r w:rsidRPr="006F5B5F">
        <w:rPr>
          <w:rFonts w:eastAsia="Times New Roman"/>
          <w:color w:val="000000" w:themeColor="text1"/>
          <w:shd w:val="clear" w:color="auto" w:fill="FFFFFF"/>
        </w:rPr>
        <w:t>From several studies examin</w:t>
      </w:r>
      <w:r w:rsidR="00B16081" w:rsidRPr="006F5B5F">
        <w:rPr>
          <w:rFonts w:eastAsia="Times New Roman"/>
          <w:color w:val="000000" w:themeColor="text1"/>
          <w:shd w:val="clear" w:color="auto" w:fill="FFFFFF"/>
        </w:rPr>
        <w:t>in</w:t>
      </w:r>
      <w:r w:rsidRPr="006F5B5F">
        <w:rPr>
          <w:rFonts w:eastAsia="Times New Roman"/>
          <w:color w:val="000000" w:themeColor="text1"/>
          <w:shd w:val="clear" w:color="auto" w:fill="FFFFFF"/>
        </w:rPr>
        <w:t>g the use of visual data, researchers conclude that v</w:t>
      </w:r>
      <w:r w:rsidRPr="00A42509">
        <w:rPr>
          <w:rFonts w:eastAsia="Times New Roman"/>
          <w:color w:val="000000" w:themeColor="text1"/>
          <w:shd w:val="clear" w:color="auto" w:fill="FFFFFF"/>
        </w:rPr>
        <w:t>isual aids tend to be most effective when they are </w:t>
      </w:r>
      <w:r w:rsidRPr="00A42509">
        <w:rPr>
          <w:rFonts w:eastAsia="Times New Roman"/>
          <w:iCs/>
          <w:color w:val="000000" w:themeColor="text1"/>
          <w:shd w:val="clear" w:color="auto" w:fill="FFFFFF"/>
        </w:rPr>
        <w:t>transparent</w:t>
      </w:r>
      <w:r w:rsidRPr="00A42509">
        <w:rPr>
          <w:rFonts w:eastAsia="Times New Roman"/>
          <w:color w:val="000000" w:themeColor="text1"/>
          <w:shd w:val="clear" w:color="auto" w:fill="FFFFFF"/>
        </w:rPr>
        <w:t>—when their elements are well defined and they accurately and clearly represent the relevant information by making part-to-whole relationships in the data visually available</w:t>
      </w:r>
      <w:r w:rsidR="009065E4" w:rsidRPr="006F5B5F">
        <w:rPr>
          <w:rFonts w:eastAsia="Times New Roman"/>
          <w:color w:val="000000" w:themeColor="text1"/>
          <w:shd w:val="clear" w:color="auto" w:fill="FFFFFF"/>
        </w:rPr>
        <w:t xml:space="preserve"> (</w:t>
      </w:r>
      <w:r w:rsidR="009065E4" w:rsidRPr="006F5B5F">
        <w:rPr>
          <w:rFonts w:eastAsia="Times New Roman"/>
          <w:color w:val="222222"/>
          <w:shd w:val="clear" w:color="auto" w:fill="FFFFFF"/>
        </w:rPr>
        <w:t xml:space="preserve">Puhan, Steurer, Bachmann,  &amp; Ter Riet, </w:t>
      </w:r>
      <w:r w:rsidR="009065E4" w:rsidRPr="006F5B5F">
        <w:rPr>
          <w:rFonts w:eastAsia="Times New Roman"/>
          <w:color w:val="222222"/>
          <w:shd w:val="clear" w:color="auto" w:fill="FFFFFF"/>
        </w:rPr>
        <w:t>2005)</w:t>
      </w:r>
      <w:r w:rsidR="00B16081" w:rsidRPr="006F5B5F">
        <w:rPr>
          <w:rFonts w:eastAsia="Times New Roman"/>
          <w:color w:val="000000" w:themeColor="text1"/>
          <w:shd w:val="clear" w:color="auto" w:fill="FFFFFF"/>
        </w:rPr>
        <w:t>. This is particularly important to keep in mind when the audience is academic clinicians who likely have a good understanding of some of the elements that are presented. Appropriately designed visual aids can improve comprehension of risks associated with different medical treatments, screenings, and lifestyles. It has also been found that risk information presented visually is judged as easier to understand and recall, and requires less viewing time than the same information presented numerically (</w:t>
      </w:r>
      <w:hyperlink r:id="rId10" w:history="1">
        <w:r w:rsidR="00B16081" w:rsidRPr="006F5B5F">
          <w:rPr>
            <w:rFonts w:eastAsia="Times New Roman"/>
            <w:color w:val="000000" w:themeColor="text1"/>
            <w:shd w:val="clear" w:color="auto" w:fill="FFFFFF"/>
          </w:rPr>
          <w:t>Feldman-Stewart, Brundage, &amp; Zotov, 2007</w:t>
        </w:r>
      </w:hyperlink>
      <w:r w:rsidR="00B16081" w:rsidRPr="006F5B5F">
        <w:rPr>
          <w:rFonts w:eastAsia="Times New Roman"/>
          <w:color w:val="000000" w:themeColor="text1"/>
          <w:shd w:val="clear" w:color="auto" w:fill="FFFFFF"/>
        </w:rPr>
        <w:t>; </w:t>
      </w:r>
      <w:hyperlink r:id="rId11" w:history="1">
        <w:r w:rsidR="00B16081" w:rsidRPr="006F5B5F">
          <w:rPr>
            <w:rFonts w:eastAsia="Times New Roman"/>
            <w:color w:val="000000" w:themeColor="text1"/>
            <w:shd w:val="clear" w:color="auto" w:fill="FFFFFF"/>
          </w:rPr>
          <w:t>Gaissmaier et al., 2012</w:t>
        </w:r>
      </w:hyperlink>
      <w:r w:rsidR="00B16081" w:rsidRPr="006F5B5F">
        <w:rPr>
          <w:rFonts w:eastAsia="Times New Roman"/>
          <w:color w:val="000000" w:themeColor="text1"/>
          <w:shd w:val="clear" w:color="auto" w:fill="FFFFFF"/>
        </w:rPr>
        <w:t xml:space="preserve">). </w:t>
      </w:r>
      <w:r w:rsidR="00E23A95" w:rsidRPr="006F5B5F">
        <w:rPr>
          <w:rFonts w:eastAsia="Times New Roman"/>
          <w:color w:val="000000" w:themeColor="text1"/>
          <w:shd w:val="clear" w:color="auto" w:fill="FFFFFF"/>
        </w:rPr>
        <w:t>While most doctors and clini</w:t>
      </w:r>
      <w:r w:rsidR="001A0C4D" w:rsidRPr="006F5B5F">
        <w:rPr>
          <w:rFonts w:eastAsia="Times New Roman"/>
          <w:color w:val="000000" w:themeColor="text1"/>
          <w:shd w:val="clear" w:color="auto" w:fill="FFFFFF"/>
        </w:rPr>
        <w:t>cian</w:t>
      </w:r>
      <w:r w:rsidR="00E23A95" w:rsidRPr="006F5B5F">
        <w:rPr>
          <w:rFonts w:eastAsia="Times New Roman"/>
          <w:color w:val="000000" w:themeColor="text1"/>
          <w:shd w:val="clear" w:color="auto" w:fill="FFFFFF"/>
        </w:rPr>
        <w:t xml:space="preserve">s are numerical and graph literate, the use of visual aids can help them remember the information so they can readily apply this in their everyday practice. </w:t>
      </w:r>
    </w:p>
    <w:p w14:paraId="00A27927" w14:textId="77777777" w:rsidR="00FA26C7" w:rsidRDefault="00FA26C7" w:rsidP="005963D1">
      <w:pPr>
        <w:spacing w:line="480" w:lineRule="auto"/>
        <w:ind w:firstLine="720"/>
        <w:rPr>
          <w:rFonts w:eastAsia="Times New Roman"/>
          <w:color w:val="000000" w:themeColor="text1"/>
          <w:shd w:val="clear" w:color="auto" w:fill="FFFFFF"/>
        </w:rPr>
      </w:pPr>
    </w:p>
    <w:p w14:paraId="740E7B3F" w14:textId="77777777" w:rsidR="00FA26C7" w:rsidRPr="006F5B5F" w:rsidRDefault="00FA26C7" w:rsidP="005963D1">
      <w:pPr>
        <w:spacing w:line="480" w:lineRule="auto"/>
        <w:ind w:firstLine="720"/>
        <w:rPr>
          <w:rFonts w:eastAsia="Times New Roman"/>
          <w:color w:val="000000" w:themeColor="text1"/>
          <w:shd w:val="clear" w:color="auto" w:fill="FFFFFF"/>
        </w:rPr>
      </w:pPr>
      <w:bookmarkStart w:id="0" w:name="_GoBack"/>
      <w:bookmarkEnd w:id="0"/>
    </w:p>
    <w:p w14:paraId="25682794" w14:textId="52C8B67D" w:rsidR="00A56EC6" w:rsidRPr="005963D1" w:rsidRDefault="00A56EC6" w:rsidP="005963D1">
      <w:pPr>
        <w:spacing w:line="480" w:lineRule="auto"/>
        <w:jc w:val="center"/>
        <w:rPr>
          <w:rFonts w:eastAsia="Times New Roman"/>
          <w:b/>
          <w:color w:val="000000" w:themeColor="text1"/>
          <w:shd w:val="clear" w:color="auto" w:fill="FFFFFF"/>
        </w:rPr>
      </w:pPr>
      <w:r w:rsidRPr="002D3EB4">
        <w:rPr>
          <w:rFonts w:eastAsia="Times New Roman"/>
          <w:b/>
          <w:color w:val="000000" w:themeColor="text1"/>
          <w:shd w:val="clear" w:color="auto" w:fill="FFFFFF"/>
        </w:rPr>
        <w:t>Conclusion</w:t>
      </w:r>
    </w:p>
    <w:p w14:paraId="51FC7D65" w14:textId="67AA5C41" w:rsidR="00A56EC6" w:rsidRPr="006F5B5F" w:rsidRDefault="002D3EB4" w:rsidP="005963D1">
      <w:pPr>
        <w:spacing w:line="480" w:lineRule="auto"/>
        <w:rPr>
          <w:rFonts w:eastAsia="Times New Roman"/>
          <w:color w:val="000000" w:themeColor="text1"/>
        </w:rPr>
      </w:pPr>
      <w:r>
        <w:rPr>
          <w:rFonts w:eastAsia="Times New Roman"/>
          <w:color w:val="000000" w:themeColor="text1"/>
          <w:shd w:val="clear" w:color="auto" w:fill="FFFFFF"/>
        </w:rPr>
        <w:t xml:space="preserve"> </w:t>
      </w:r>
      <w:r>
        <w:rPr>
          <w:rFonts w:eastAsia="Times New Roman"/>
          <w:color w:val="000000" w:themeColor="text1"/>
          <w:shd w:val="clear" w:color="auto" w:fill="FFFFFF"/>
        </w:rPr>
        <w:tab/>
      </w:r>
      <w:r w:rsidR="00A56EC6" w:rsidRPr="00A56EC6">
        <w:rPr>
          <w:rFonts w:eastAsia="Times New Roman"/>
          <w:color w:val="000000" w:themeColor="text1"/>
          <w:shd w:val="clear" w:color="auto" w:fill="FFFFFF"/>
        </w:rPr>
        <w:t>Quantifying diagnostic accuracy is an important first step in assessing whether a new diagnostic device is suitable for implementation into clinical practice.</w:t>
      </w:r>
      <w:r w:rsidR="00A56EC6" w:rsidRPr="006F5B5F">
        <w:rPr>
          <w:rFonts w:eastAsia="Times New Roman"/>
          <w:color w:val="000000" w:themeColor="text1"/>
          <w:shd w:val="clear" w:color="auto" w:fill="FFFFFF"/>
        </w:rPr>
        <w:t xml:space="preserve"> To many clinicians and researchers, statistical measures of diagnostic accuracy are not intuitive, </w:t>
      </w:r>
      <w:r w:rsidR="00BE1372" w:rsidRPr="006F5B5F">
        <w:rPr>
          <w:rFonts w:eastAsia="Times New Roman"/>
          <w:color w:val="000000" w:themeColor="text1"/>
          <w:shd w:val="clear" w:color="auto" w:fill="FFFFFF"/>
        </w:rPr>
        <w:t xml:space="preserve">cumbersome to remember, </w:t>
      </w:r>
      <w:r w:rsidR="00A56EC6" w:rsidRPr="006F5B5F">
        <w:rPr>
          <w:rFonts w:eastAsia="Times New Roman"/>
          <w:color w:val="000000" w:themeColor="text1"/>
          <w:shd w:val="clear" w:color="auto" w:fill="FFFFFF"/>
        </w:rPr>
        <w:t xml:space="preserve">or may seem impractical when trying to make judgements in their practice. To overcome this concern, the use of </w:t>
      </w:r>
      <w:r w:rsidR="00BE1372" w:rsidRPr="006F5B5F">
        <w:rPr>
          <w:rFonts w:eastAsia="Times New Roman"/>
          <w:color w:val="000000" w:themeColor="text1"/>
          <w:shd w:val="clear" w:color="auto" w:fill="FFFFFF"/>
        </w:rPr>
        <w:t xml:space="preserve">data that is visually presented </w:t>
      </w:r>
      <w:r w:rsidR="00A56EC6" w:rsidRPr="006F5B5F">
        <w:rPr>
          <w:rFonts w:eastAsia="Times New Roman"/>
          <w:color w:val="000000" w:themeColor="text1"/>
          <w:shd w:val="clear" w:color="auto" w:fill="FFFFFF"/>
        </w:rPr>
        <w:t>and visual aids should be readily used in studies and reports of diagnostic accuracies. The use of visual aids is judged as easier to understand and recall and has shown to requires less cognitive demand when interpreting data.</w:t>
      </w:r>
      <w:r w:rsidR="00BE1372" w:rsidRPr="006F5B5F">
        <w:rPr>
          <w:rFonts w:eastAsia="Times New Roman"/>
          <w:color w:val="000000" w:themeColor="text1"/>
          <w:shd w:val="clear" w:color="auto" w:fill="FFFFFF"/>
        </w:rPr>
        <w:t xml:space="preserve"> In addition</w:t>
      </w:r>
      <w:r w:rsidR="00141D5E">
        <w:rPr>
          <w:rFonts w:eastAsia="Times New Roman"/>
          <w:color w:val="000000" w:themeColor="text1"/>
          <w:shd w:val="clear" w:color="auto" w:fill="FFFFFF"/>
        </w:rPr>
        <w:t>,</w:t>
      </w:r>
      <w:r w:rsidR="00BE1372" w:rsidRPr="006F5B5F">
        <w:rPr>
          <w:rFonts w:eastAsia="Times New Roman"/>
          <w:color w:val="000000" w:themeColor="text1"/>
          <w:shd w:val="clear" w:color="auto" w:fill="FFFFFF"/>
        </w:rPr>
        <w:t xml:space="preserve"> past research demonstrates that more meaningful formats of presenting information can drastically reduce errors made by physicians when judging probabilities of disease outcomes.</w:t>
      </w:r>
      <w:r w:rsidR="00A56EC6" w:rsidRPr="006F5B5F">
        <w:rPr>
          <w:rFonts w:eastAsia="Times New Roman"/>
          <w:color w:val="000000" w:themeColor="text1"/>
          <w:shd w:val="clear" w:color="auto" w:fill="FFFFFF"/>
        </w:rPr>
        <w:t xml:space="preserve"> This addition of visual aids in clinical training and practice can then help to facilitate knowledge trans</w:t>
      </w:r>
      <w:r w:rsidR="00BE1372" w:rsidRPr="006F5B5F">
        <w:rPr>
          <w:rFonts w:eastAsia="Times New Roman"/>
          <w:color w:val="000000" w:themeColor="text1"/>
          <w:shd w:val="clear" w:color="auto" w:fill="FFFFFF"/>
        </w:rPr>
        <w:t>lation from research to clinic</w:t>
      </w:r>
      <w:r w:rsidR="00A56EC6" w:rsidRPr="006F5B5F">
        <w:rPr>
          <w:rFonts w:eastAsia="Times New Roman"/>
          <w:color w:val="000000" w:themeColor="text1"/>
          <w:shd w:val="clear" w:color="auto" w:fill="FFFFFF"/>
        </w:rPr>
        <w:t xml:space="preserve"> and help clinicians use diagnostic accuracy statistics to inform their </w:t>
      </w:r>
      <w:r w:rsidR="00CA07BE" w:rsidRPr="006F5B5F">
        <w:rPr>
          <w:rFonts w:eastAsia="Times New Roman"/>
          <w:color w:val="000000" w:themeColor="text1"/>
          <w:shd w:val="clear" w:color="auto" w:fill="FFFFFF"/>
        </w:rPr>
        <w:t xml:space="preserve">everyday </w:t>
      </w:r>
      <w:r w:rsidR="00A56EC6" w:rsidRPr="006F5B5F">
        <w:rPr>
          <w:rFonts w:eastAsia="Times New Roman"/>
          <w:color w:val="000000" w:themeColor="text1"/>
          <w:shd w:val="clear" w:color="auto" w:fill="FFFFFF"/>
        </w:rPr>
        <w:t xml:space="preserve">clinical judgements. </w:t>
      </w:r>
    </w:p>
    <w:p w14:paraId="42387029" w14:textId="0A33BBDA" w:rsidR="00A56EC6" w:rsidRPr="00A56EC6" w:rsidRDefault="00A56EC6" w:rsidP="005963D1">
      <w:pPr>
        <w:spacing w:line="480" w:lineRule="auto"/>
        <w:rPr>
          <w:rFonts w:eastAsia="Times New Roman"/>
          <w:color w:val="000000" w:themeColor="text1"/>
        </w:rPr>
      </w:pPr>
    </w:p>
    <w:p w14:paraId="03E133DC" w14:textId="77777777" w:rsidR="00A56EC6" w:rsidRPr="006F5B5F" w:rsidRDefault="00A56EC6" w:rsidP="005963D1">
      <w:pPr>
        <w:spacing w:line="480" w:lineRule="auto"/>
        <w:rPr>
          <w:rFonts w:eastAsia="Times New Roman"/>
          <w:color w:val="000000" w:themeColor="text1"/>
        </w:rPr>
      </w:pPr>
    </w:p>
    <w:p w14:paraId="78B67323" w14:textId="760D8B35" w:rsidR="001C570B" w:rsidRPr="00FA26C7" w:rsidRDefault="005963D1" w:rsidP="00FA26C7">
      <w:pPr>
        <w:rPr>
          <w:rFonts w:eastAsia="Times New Roman"/>
          <w:color w:val="000000" w:themeColor="text1"/>
        </w:rPr>
      </w:pPr>
      <w:r>
        <w:rPr>
          <w:rFonts w:eastAsia="Times New Roman"/>
          <w:color w:val="000000" w:themeColor="text1"/>
        </w:rPr>
        <w:br w:type="page"/>
      </w:r>
    </w:p>
    <w:p w14:paraId="25F52809" w14:textId="5450A559" w:rsidR="00B41D49" w:rsidRPr="005963D1" w:rsidRDefault="00B41D49" w:rsidP="005963D1">
      <w:pPr>
        <w:spacing w:line="480" w:lineRule="auto"/>
        <w:jc w:val="center"/>
        <w:rPr>
          <w:b/>
          <w:color w:val="000000" w:themeColor="text1"/>
          <w:lang w:val="en-CA"/>
        </w:rPr>
      </w:pPr>
      <w:r w:rsidRPr="002D3EB4">
        <w:rPr>
          <w:b/>
          <w:color w:val="000000" w:themeColor="text1"/>
          <w:lang w:val="en-CA"/>
        </w:rPr>
        <w:t>References</w:t>
      </w:r>
    </w:p>
    <w:p w14:paraId="537E5CC2" w14:textId="3FF15197" w:rsidR="00294E55" w:rsidRPr="005963D1" w:rsidRDefault="00294E55" w:rsidP="005963D1">
      <w:pPr>
        <w:spacing w:line="480" w:lineRule="auto"/>
        <w:ind w:left="720" w:hanging="720"/>
        <w:rPr>
          <w:rFonts w:eastAsia="Times New Roman"/>
        </w:rPr>
      </w:pPr>
      <w:r w:rsidRPr="006F5B5F">
        <w:rPr>
          <w:rFonts w:eastAsia="Times New Roman"/>
          <w:color w:val="222222"/>
          <w:shd w:val="clear" w:color="auto" w:fill="FFFFFF"/>
        </w:rPr>
        <w:t>Cohen, J. F., Korevaar, D. A., Altman, D. G., Bruns, D. E., Gatsonis, C. A., Hooft, L., ... &amp; Bossuyt, P. M. (2016). STARD 2015 guidelines for reporting diagnostic accuracy studies: explanation and elaboration. </w:t>
      </w:r>
      <w:r w:rsidR="002D3EB4">
        <w:rPr>
          <w:rFonts w:eastAsia="Times New Roman"/>
          <w:i/>
          <w:iCs/>
          <w:color w:val="222222"/>
          <w:shd w:val="clear" w:color="auto" w:fill="FFFFFF"/>
        </w:rPr>
        <w:t>BMJ O</w:t>
      </w:r>
      <w:r w:rsidRPr="006F5B5F">
        <w:rPr>
          <w:rFonts w:eastAsia="Times New Roman"/>
          <w:i/>
          <w:iCs/>
          <w:color w:val="222222"/>
          <w:shd w:val="clear" w:color="auto" w:fill="FFFFFF"/>
        </w:rPr>
        <w:t>pen</w:t>
      </w:r>
      <w:r w:rsidRPr="006F5B5F">
        <w:rPr>
          <w:rFonts w:eastAsia="Times New Roman"/>
          <w:color w:val="222222"/>
          <w:shd w:val="clear" w:color="auto" w:fill="FFFFFF"/>
        </w:rPr>
        <w:t>, </w:t>
      </w:r>
      <w:r w:rsidRPr="006F5B5F">
        <w:rPr>
          <w:rFonts w:eastAsia="Times New Roman"/>
          <w:i/>
          <w:iCs/>
          <w:color w:val="222222"/>
          <w:shd w:val="clear" w:color="auto" w:fill="FFFFFF"/>
        </w:rPr>
        <w:t>6</w:t>
      </w:r>
      <w:r w:rsidRPr="006F5B5F">
        <w:rPr>
          <w:rFonts w:eastAsia="Times New Roman"/>
          <w:color w:val="222222"/>
          <w:shd w:val="clear" w:color="auto" w:fill="FFFFFF"/>
        </w:rPr>
        <w:t>(11), e012799.</w:t>
      </w:r>
    </w:p>
    <w:p w14:paraId="3E5F9770" w14:textId="27D3E872" w:rsidR="002D3EB4" w:rsidRDefault="00294E55" w:rsidP="005963D1">
      <w:pPr>
        <w:spacing w:line="480" w:lineRule="auto"/>
        <w:ind w:left="720" w:hanging="720"/>
        <w:rPr>
          <w:rFonts w:eastAsia="Times New Roman"/>
          <w:color w:val="222222"/>
          <w:shd w:val="clear" w:color="auto" w:fill="FFFFFF"/>
        </w:rPr>
      </w:pPr>
      <w:r w:rsidRPr="00294E55">
        <w:rPr>
          <w:rFonts w:eastAsia="Times New Roman"/>
          <w:color w:val="222222"/>
          <w:shd w:val="clear" w:color="auto" w:fill="FFFFFF"/>
        </w:rPr>
        <w:t>Fanshawe, T. R., Power, M., Graziadio, S., Ordóñez-Mena, J. M., Simpson, J., &amp; Allen, J. (2018). Interactive visualisation for interpreting diagnostic test accuracy study results. </w:t>
      </w:r>
      <w:r w:rsidRPr="00294E55">
        <w:rPr>
          <w:rFonts w:eastAsia="Times New Roman"/>
          <w:i/>
          <w:iCs/>
          <w:color w:val="222222"/>
          <w:shd w:val="clear" w:color="auto" w:fill="FFFFFF"/>
        </w:rPr>
        <w:t>BMJ evidence-based medicine</w:t>
      </w:r>
      <w:r w:rsidRPr="00294E55">
        <w:rPr>
          <w:rFonts w:eastAsia="Times New Roman"/>
          <w:color w:val="222222"/>
          <w:shd w:val="clear" w:color="auto" w:fill="FFFFFF"/>
        </w:rPr>
        <w:t>, </w:t>
      </w:r>
      <w:r w:rsidRPr="00294E55">
        <w:rPr>
          <w:rFonts w:eastAsia="Times New Roman"/>
          <w:i/>
          <w:iCs/>
          <w:color w:val="222222"/>
          <w:shd w:val="clear" w:color="auto" w:fill="FFFFFF"/>
        </w:rPr>
        <w:t>23</w:t>
      </w:r>
      <w:r w:rsidRPr="00294E55">
        <w:rPr>
          <w:rFonts w:eastAsia="Times New Roman"/>
          <w:color w:val="222222"/>
          <w:shd w:val="clear" w:color="auto" w:fill="FFFFFF"/>
        </w:rPr>
        <w:t>(1), 13-16.</w:t>
      </w:r>
    </w:p>
    <w:p w14:paraId="1D27A0B7" w14:textId="0789280C" w:rsidR="002D3EB4" w:rsidRDefault="00294E55" w:rsidP="005963D1">
      <w:pPr>
        <w:spacing w:line="480" w:lineRule="auto"/>
        <w:ind w:left="720" w:hanging="720"/>
        <w:rPr>
          <w:rFonts w:eastAsia="Times New Roman"/>
          <w:color w:val="222222"/>
          <w:shd w:val="clear" w:color="auto" w:fill="FFFFFF"/>
        </w:rPr>
      </w:pPr>
      <w:r w:rsidRPr="006F5B5F">
        <w:rPr>
          <w:rFonts w:eastAsia="Times New Roman"/>
          <w:color w:val="333333"/>
        </w:rPr>
        <w:t>Feldman-Stewart, D., Brennenstuhl, S., McIsaac, K., Austoker, J., Charvet, A., Hewitson, P., Whelan, T. (</w:t>
      </w:r>
      <w:r w:rsidRPr="006F5B5F">
        <w:rPr>
          <w:rStyle w:val="nlmyear"/>
          <w:rFonts w:eastAsia="Times New Roman"/>
          <w:color w:val="333333"/>
        </w:rPr>
        <w:t>2007</w:t>
      </w:r>
      <w:r w:rsidRPr="006F5B5F">
        <w:rPr>
          <w:rFonts w:eastAsia="Times New Roman"/>
          <w:color w:val="333333"/>
        </w:rPr>
        <w:t>). </w:t>
      </w:r>
      <w:r w:rsidRPr="006F5B5F">
        <w:rPr>
          <w:rStyle w:val="nlmarticle-title"/>
          <w:rFonts w:eastAsia="Times New Roman"/>
          <w:color w:val="333333"/>
        </w:rPr>
        <w:t>A systematic review of information in decision aids</w:t>
      </w:r>
      <w:r w:rsidRPr="006F5B5F">
        <w:rPr>
          <w:rFonts w:eastAsia="Times New Roman"/>
          <w:color w:val="333333"/>
        </w:rPr>
        <w:t xml:space="preserve">. </w:t>
      </w:r>
      <w:r w:rsidRPr="002D3EB4">
        <w:rPr>
          <w:rFonts w:eastAsia="Times New Roman"/>
          <w:i/>
          <w:color w:val="333333"/>
        </w:rPr>
        <w:t>Health Expectations</w:t>
      </w:r>
      <w:r w:rsidRPr="006F5B5F">
        <w:rPr>
          <w:rFonts w:eastAsia="Times New Roman"/>
          <w:color w:val="333333"/>
        </w:rPr>
        <w:t>, 10, </w:t>
      </w:r>
      <w:r w:rsidRPr="006F5B5F">
        <w:rPr>
          <w:rStyle w:val="nlmfpage"/>
          <w:rFonts w:eastAsia="Times New Roman"/>
          <w:color w:val="333333"/>
        </w:rPr>
        <w:t>46</w:t>
      </w:r>
      <w:r w:rsidRPr="006F5B5F">
        <w:rPr>
          <w:rFonts w:eastAsia="Times New Roman"/>
          <w:color w:val="333333"/>
        </w:rPr>
        <w:t>–</w:t>
      </w:r>
      <w:r w:rsidRPr="006F5B5F">
        <w:rPr>
          <w:rStyle w:val="nlmlpage"/>
          <w:rFonts w:eastAsia="Times New Roman"/>
          <w:color w:val="333333"/>
        </w:rPr>
        <w:t>61</w:t>
      </w:r>
      <w:r w:rsidRPr="006F5B5F">
        <w:rPr>
          <w:rFonts w:eastAsia="Times New Roman"/>
          <w:color w:val="333333"/>
        </w:rPr>
        <w:t>. </w:t>
      </w:r>
    </w:p>
    <w:p w14:paraId="45E9CB2A" w14:textId="33D2048A" w:rsidR="002D3EB4" w:rsidRDefault="00294E55" w:rsidP="005963D1">
      <w:pPr>
        <w:spacing w:line="480" w:lineRule="auto"/>
        <w:ind w:left="720" w:hanging="720"/>
        <w:rPr>
          <w:rFonts w:eastAsia="Times New Roman"/>
          <w:color w:val="222222"/>
          <w:shd w:val="clear" w:color="auto" w:fill="FFFFFF"/>
        </w:rPr>
      </w:pPr>
      <w:r w:rsidRPr="006F5B5F">
        <w:rPr>
          <w:rFonts w:eastAsia="Times New Roman"/>
          <w:color w:val="333333"/>
          <w:shd w:val="clear" w:color="auto" w:fill="FFFFFF"/>
        </w:rPr>
        <w:t>Gaissmaier, W., Wegwarth, O., Skopec, D., Müller, A., Broschinski, S., Politi, M. C. (</w:t>
      </w:r>
      <w:r w:rsidRPr="006F5B5F">
        <w:rPr>
          <w:rStyle w:val="nlmyear"/>
          <w:rFonts w:eastAsia="Times New Roman"/>
          <w:color w:val="333333"/>
          <w:shd w:val="clear" w:color="auto" w:fill="FFFFFF"/>
        </w:rPr>
        <w:t>2012</w:t>
      </w:r>
      <w:r w:rsidRPr="006F5B5F">
        <w:rPr>
          <w:rFonts w:eastAsia="Times New Roman"/>
          <w:color w:val="333333"/>
          <w:shd w:val="clear" w:color="auto" w:fill="FFFFFF"/>
        </w:rPr>
        <w:t>). </w:t>
      </w:r>
      <w:r w:rsidRPr="006F5B5F">
        <w:rPr>
          <w:rStyle w:val="nlmarticle-title"/>
          <w:rFonts w:eastAsia="Times New Roman"/>
          <w:color w:val="333333"/>
          <w:shd w:val="clear" w:color="auto" w:fill="FFFFFF"/>
        </w:rPr>
        <w:t>Numbers can be worth a thousand pictures: Individual differences in understanding graphical and numerical representations of health-related information</w:t>
      </w:r>
      <w:r w:rsidRPr="006F5B5F">
        <w:rPr>
          <w:rFonts w:eastAsia="Times New Roman"/>
          <w:color w:val="333333"/>
          <w:shd w:val="clear" w:color="auto" w:fill="FFFFFF"/>
        </w:rPr>
        <w:t xml:space="preserve">. </w:t>
      </w:r>
      <w:r w:rsidRPr="002D3EB4">
        <w:rPr>
          <w:rFonts w:eastAsia="Times New Roman"/>
          <w:i/>
          <w:color w:val="333333"/>
          <w:shd w:val="clear" w:color="auto" w:fill="FFFFFF"/>
        </w:rPr>
        <w:t>Health Psychology</w:t>
      </w:r>
      <w:r w:rsidRPr="006F5B5F">
        <w:rPr>
          <w:rFonts w:eastAsia="Times New Roman"/>
          <w:color w:val="333333"/>
          <w:shd w:val="clear" w:color="auto" w:fill="FFFFFF"/>
        </w:rPr>
        <w:t>, 31, </w:t>
      </w:r>
      <w:r w:rsidRPr="006F5B5F">
        <w:rPr>
          <w:rStyle w:val="nlmfpage"/>
          <w:rFonts w:eastAsia="Times New Roman"/>
          <w:color w:val="333333"/>
          <w:shd w:val="clear" w:color="auto" w:fill="FFFFFF"/>
        </w:rPr>
        <w:t>286</w:t>
      </w:r>
      <w:r w:rsidRPr="006F5B5F">
        <w:rPr>
          <w:rFonts w:eastAsia="Times New Roman"/>
          <w:color w:val="333333"/>
          <w:shd w:val="clear" w:color="auto" w:fill="FFFFFF"/>
        </w:rPr>
        <w:t>–</w:t>
      </w:r>
      <w:r w:rsidRPr="006F5B5F">
        <w:rPr>
          <w:rStyle w:val="nlmlpage"/>
          <w:rFonts w:eastAsia="Times New Roman"/>
          <w:color w:val="333333"/>
          <w:shd w:val="clear" w:color="auto" w:fill="FFFFFF"/>
        </w:rPr>
        <w:t>296</w:t>
      </w:r>
      <w:r w:rsidRPr="006F5B5F">
        <w:rPr>
          <w:rFonts w:eastAsia="Times New Roman"/>
          <w:color w:val="333333"/>
          <w:shd w:val="clear" w:color="auto" w:fill="FFFFFF"/>
        </w:rPr>
        <w:t>. </w:t>
      </w:r>
    </w:p>
    <w:p w14:paraId="3D7789F3" w14:textId="1B04F41B" w:rsidR="002D3EB4" w:rsidRDefault="00294E55" w:rsidP="005963D1">
      <w:pPr>
        <w:spacing w:line="480" w:lineRule="auto"/>
        <w:ind w:left="720" w:hanging="720"/>
        <w:rPr>
          <w:rFonts w:eastAsia="Times New Roman"/>
          <w:color w:val="222222"/>
          <w:shd w:val="clear" w:color="auto" w:fill="FFFFFF"/>
        </w:rPr>
      </w:pPr>
      <w:r w:rsidRPr="00294E55">
        <w:rPr>
          <w:rFonts w:eastAsia="Times New Roman"/>
          <w:color w:val="222222"/>
          <w:shd w:val="clear" w:color="auto" w:fill="FFFFFF"/>
        </w:rPr>
        <w:t>McGee, S. (2002). Simplifying likelihood ratios. </w:t>
      </w:r>
      <w:r w:rsidRPr="00294E55">
        <w:rPr>
          <w:rFonts w:eastAsia="Times New Roman"/>
          <w:i/>
          <w:iCs/>
          <w:color w:val="222222"/>
          <w:shd w:val="clear" w:color="auto" w:fill="FFFFFF"/>
        </w:rPr>
        <w:t>Journal of general internal medicine</w:t>
      </w:r>
      <w:r w:rsidRPr="00294E55">
        <w:rPr>
          <w:rFonts w:eastAsia="Times New Roman"/>
          <w:color w:val="222222"/>
          <w:shd w:val="clear" w:color="auto" w:fill="FFFFFF"/>
        </w:rPr>
        <w:t>, </w:t>
      </w:r>
      <w:r w:rsidRPr="00294E55">
        <w:rPr>
          <w:rFonts w:eastAsia="Times New Roman"/>
          <w:i/>
          <w:iCs/>
          <w:color w:val="222222"/>
          <w:shd w:val="clear" w:color="auto" w:fill="FFFFFF"/>
        </w:rPr>
        <w:t>17</w:t>
      </w:r>
      <w:r w:rsidRPr="00294E55">
        <w:rPr>
          <w:rFonts w:eastAsia="Times New Roman"/>
          <w:color w:val="222222"/>
          <w:shd w:val="clear" w:color="auto" w:fill="FFFFFF"/>
        </w:rPr>
        <w:t>(8), 647-650.</w:t>
      </w:r>
    </w:p>
    <w:p w14:paraId="4DFF689D" w14:textId="28157EB6" w:rsidR="002D3EB4" w:rsidRDefault="009065E4" w:rsidP="005963D1">
      <w:pPr>
        <w:spacing w:line="480" w:lineRule="auto"/>
        <w:ind w:left="720" w:hanging="720"/>
        <w:rPr>
          <w:rFonts w:eastAsia="Times New Roman"/>
          <w:color w:val="222222"/>
          <w:shd w:val="clear" w:color="auto" w:fill="FFFFFF"/>
        </w:rPr>
      </w:pPr>
      <w:r w:rsidRPr="006F5B5F">
        <w:rPr>
          <w:rFonts w:eastAsia="Times New Roman"/>
          <w:color w:val="222222"/>
          <w:shd w:val="clear" w:color="auto" w:fill="FFFFFF"/>
        </w:rPr>
        <w:t>Mallett, S., Halligan, S., Thompson, M., Collins, G. S., &amp; Altman, D. G. (2012). Interpreting diagnostic accuracy studies for patient care. </w:t>
      </w:r>
      <w:r w:rsidRPr="006F5B5F">
        <w:rPr>
          <w:rFonts w:eastAsia="Times New Roman"/>
          <w:i/>
          <w:iCs/>
          <w:color w:val="222222"/>
          <w:shd w:val="clear" w:color="auto" w:fill="FFFFFF"/>
        </w:rPr>
        <w:t>Bmj</w:t>
      </w:r>
      <w:r w:rsidRPr="006F5B5F">
        <w:rPr>
          <w:rFonts w:eastAsia="Times New Roman"/>
          <w:color w:val="222222"/>
          <w:shd w:val="clear" w:color="auto" w:fill="FFFFFF"/>
        </w:rPr>
        <w:t>, </w:t>
      </w:r>
      <w:r w:rsidRPr="006F5B5F">
        <w:rPr>
          <w:rFonts w:eastAsia="Times New Roman"/>
          <w:i/>
          <w:iCs/>
          <w:color w:val="222222"/>
          <w:shd w:val="clear" w:color="auto" w:fill="FFFFFF"/>
        </w:rPr>
        <w:t>345</w:t>
      </w:r>
      <w:r w:rsidRPr="006F5B5F">
        <w:rPr>
          <w:rFonts w:eastAsia="Times New Roman"/>
          <w:color w:val="222222"/>
          <w:shd w:val="clear" w:color="auto" w:fill="FFFFFF"/>
        </w:rPr>
        <w:t>, e3999.</w:t>
      </w:r>
    </w:p>
    <w:p w14:paraId="3D42E1F3" w14:textId="5BAAC9DB" w:rsidR="002D3EB4" w:rsidRDefault="00294E55" w:rsidP="005963D1">
      <w:pPr>
        <w:spacing w:line="480" w:lineRule="auto"/>
        <w:ind w:left="720" w:hanging="720"/>
        <w:rPr>
          <w:rFonts w:eastAsia="Times New Roman"/>
          <w:color w:val="222222"/>
          <w:shd w:val="clear" w:color="auto" w:fill="FFFFFF"/>
        </w:rPr>
      </w:pPr>
      <w:r w:rsidRPr="00294E55">
        <w:rPr>
          <w:rFonts w:eastAsia="Times New Roman"/>
          <w:color w:val="222222"/>
          <w:shd w:val="clear" w:color="auto" w:fill="FFFFFF"/>
        </w:rPr>
        <w:t>Parikh, R., Mathai, A., Parikh, S., Sekhar, G. C., &amp; Thomas, R. (2008). Understanding and using sensitivity, specificity and predictive values. </w:t>
      </w:r>
      <w:r w:rsidRPr="00294E55">
        <w:rPr>
          <w:rFonts w:eastAsia="Times New Roman"/>
          <w:i/>
          <w:iCs/>
          <w:color w:val="222222"/>
          <w:shd w:val="clear" w:color="auto" w:fill="FFFFFF"/>
        </w:rPr>
        <w:t>Indian journal of ophthalmology</w:t>
      </w:r>
      <w:r w:rsidRPr="00294E55">
        <w:rPr>
          <w:rFonts w:eastAsia="Times New Roman"/>
          <w:color w:val="222222"/>
          <w:shd w:val="clear" w:color="auto" w:fill="FFFFFF"/>
        </w:rPr>
        <w:t>, </w:t>
      </w:r>
      <w:r w:rsidRPr="00294E55">
        <w:rPr>
          <w:rFonts w:eastAsia="Times New Roman"/>
          <w:i/>
          <w:iCs/>
          <w:color w:val="222222"/>
          <w:shd w:val="clear" w:color="auto" w:fill="FFFFFF"/>
        </w:rPr>
        <w:t>56</w:t>
      </w:r>
      <w:r w:rsidRPr="00294E55">
        <w:rPr>
          <w:rFonts w:eastAsia="Times New Roman"/>
          <w:color w:val="222222"/>
          <w:shd w:val="clear" w:color="auto" w:fill="FFFFFF"/>
        </w:rPr>
        <w:t>(1), 45.</w:t>
      </w:r>
    </w:p>
    <w:p w14:paraId="04DE7ADE" w14:textId="420ECA2C" w:rsidR="002D3EB4" w:rsidRDefault="00294E55" w:rsidP="005963D1">
      <w:pPr>
        <w:spacing w:line="480" w:lineRule="auto"/>
        <w:ind w:left="720" w:hanging="720"/>
        <w:rPr>
          <w:rFonts w:eastAsia="Times New Roman"/>
          <w:color w:val="222222"/>
          <w:shd w:val="clear" w:color="auto" w:fill="FFFFFF"/>
        </w:rPr>
      </w:pPr>
      <w:r w:rsidRPr="006F5B5F">
        <w:rPr>
          <w:rFonts w:eastAsia="Times New Roman"/>
          <w:color w:val="222222"/>
          <w:shd w:val="clear" w:color="auto" w:fill="FFFFFF"/>
        </w:rPr>
        <w:t>Puhan, M. A., Steurer, J., Bachmann, L. M., &amp; Ter Riet, G. (2005). A randomized trial of ways to describe test accuracy: the effect on physicians' post-test probability estimates. </w:t>
      </w:r>
      <w:r w:rsidRPr="006F5B5F">
        <w:rPr>
          <w:rFonts w:eastAsia="Times New Roman"/>
          <w:i/>
          <w:iCs/>
          <w:color w:val="222222"/>
          <w:shd w:val="clear" w:color="auto" w:fill="FFFFFF"/>
        </w:rPr>
        <w:t>Annals of internal medicine</w:t>
      </w:r>
      <w:r w:rsidRPr="006F5B5F">
        <w:rPr>
          <w:rFonts w:eastAsia="Times New Roman"/>
          <w:color w:val="222222"/>
          <w:shd w:val="clear" w:color="auto" w:fill="FFFFFF"/>
        </w:rPr>
        <w:t>, </w:t>
      </w:r>
      <w:r w:rsidRPr="006F5B5F">
        <w:rPr>
          <w:rFonts w:eastAsia="Times New Roman"/>
          <w:i/>
          <w:iCs/>
          <w:color w:val="222222"/>
          <w:shd w:val="clear" w:color="auto" w:fill="FFFFFF"/>
        </w:rPr>
        <w:t>143</w:t>
      </w:r>
      <w:r w:rsidRPr="006F5B5F">
        <w:rPr>
          <w:rFonts w:eastAsia="Times New Roman"/>
          <w:color w:val="222222"/>
          <w:shd w:val="clear" w:color="auto" w:fill="FFFFFF"/>
        </w:rPr>
        <w:t>(3), 184-189.</w:t>
      </w:r>
    </w:p>
    <w:p w14:paraId="6CA12C9A" w14:textId="4C6EDE3D" w:rsidR="002D3EB4" w:rsidRDefault="00294E55" w:rsidP="005963D1">
      <w:pPr>
        <w:spacing w:line="480" w:lineRule="auto"/>
        <w:ind w:left="720" w:hanging="720"/>
        <w:rPr>
          <w:rFonts w:eastAsia="Times New Roman"/>
          <w:color w:val="222222"/>
          <w:shd w:val="clear" w:color="auto" w:fill="FFFFFF"/>
        </w:rPr>
      </w:pPr>
      <w:r w:rsidRPr="006F5B5F">
        <w:rPr>
          <w:rFonts w:eastAsia="Times New Roman"/>
          <w:color w:val="222222"/>
          <w:shd w:val="clear" w:color="auto" w:fill="FFFFFF"/>
        </w:rPr>
        <w:t>Reid M. C., Lane, D. A., &amp; Feinstein, A. R. (1998). Academic calculations versus clinical judgments: practicing physicians’ use of quantitative measures of test accuracy. </w:t>
      </w:r>
      <w:r w:rsidRPr="006F5B5F">
        <w:rPr>
          <w:rFonts w:eastAsia="Times New Roman"/>
          <w:i/>
          <w:iCs/>
          <w:color w:val="222222"/>
          <w:shd w:val="clear" w:color="auto" w:fill="FFFFFF"/>
        </w:rPr>
        <w:t>The American journal of medicine</w:t>
      </w:r>
      <w:r w:rsidRPr="006F5B5F">
        <w:rPr>
          <w:rFonts w:eastAsia="Times New Roman"/>
          <w:color w:val="222222"/>
          <w:shd w:val="clear" w:color="auto" w:fill="FFFFFF"/>
        </w:rPr>
        <w:t>, </w:t>
      </w:r>
      <w:r w:rsidRPr="006F5B5F">
        <w:rPr>
          <w:rFonts w:eastAsia="Times New Roman"/>
          <w:i/>
          <w:iCs/>
          <w:color w:val="222222"/>
          <w:shd w:val="clear" w:color="auto" w:fill="FFFFFF"/>
        </w:rPr>
        <w:t>104</w:t>
      </w:r>
      <w:r w:rsidRPr="006F5B5F">
        <w:rPr>
          <w:rFonts w:eastAsia="Times New Roman"/>
          <w:color w:val="222222"/>
          <w:shd w:val="clear" w:color="auto" w:fill="FFFFFF"/>
        </w:rPr>
        <w:t>(4), 374-380.</w:t>
      </w:r>
    </w:p>
    <w:p w14:paraId="39336CE7" w14:textId="607110DF" w:rsidR="00294E55" w:rsidRPr="002D3EB4" w:rsidRDefault="00294E55" w:rsidP="005963D1">
      <w:pPr>
        <w:spacing w:line="480" w:lineRule="auto"/>
        <w:ind w:left="720" w:hanging="720"/>
        <w:rPr>
          <w:rFonts w:eastAsia="Times New Roman"/>
          <w:color w:val="222222"/>
          <w:shd w:val="clear" w:color="auto" w:fill="FFFFFF"/>
        </w:rPr>
      </w:pPr>
      <w:r w:rsidRPr="006F5B5F">
        <w:rPr>
          <w:rFonts w:eastAsia="Times New Roman"/>
          <w:color w:val="222222"/>
          <w:shd w:val="clear" w:color="auto" w:fill="FFFFFF"/>
        </w:rPr>
        <w:t>Steurer, J., Fischer, J. E., Bachmann, L. M., Koller, M., &amp; ter Riet, G. (2002). Communicating accuracy of tests to general practitioners: a controlled study. </w:t>
      </w:r>
      <w:r w:rsidRPr="006F5B5F">
        <w:rPr>
          <w:rFonts w:eastAsia="Times New Roman"/>
          <w:i/>
          <w:iCs/>
          <w:color w:val="222222"/>
          <w:shd w:val="clear" w:color="auto" w:fill="FFFFFF"/>
        </w:rPr>
        <w:t>Bmj</w:t>
      </w:r>
      <w:r w:rsidRPr="006F5B5F">
        <w:rPr>
          <w:rFonts w:eastAsia="Times New Roman"/>
          <w:color w:val="222222"/>
          <w:shd w:val="clear" w:color="auto" w:fill="FFFFFF"/>
        </w:rPr>
        <w:t>, </w:t>
      </w:r>
      <w:r w:rsidRPr="006F5B5F">
        <w:rPr>
          <w:rFonts w:eastAsia="Times New Roman"/>
          <w:i/>
          <w:iCs/>
          <w:color w:val="222222"/>
          <w:shd w:val="clear" w:color="auto" w:fill="FFFFFF"/>
        </w:rPr>
        <w:t>324</w:t>
      </w:r>
      <w:r w:rsidRPr="006F5B5F">
        <w:rPr>
          <w:rFonts w:eastAsia="Times New Roman"/>
          <w:color w:val="222222"/>
          <w:shd w:val="clear" w:color="auto" w:fill="FFFFFF"/>
        </w:rPr>
        <w:t>(7341), 824-826.</w:t>
      </w:r>
    </w:p>
    <w:p w14:paraId="105930EE" w14:textId="77777777" w:rsidR="0010319F" w:rsidRPr="006F5B5F" w:rsidRDefault="0010319F" w:rsidP="005963D1">
      <w:pPr>
        <w:spacing w:line="480" w:lineRule="auto"/>
        <w:rPr>
          <w:color w:val="000000" w:themeColor="text1"/>
          <w:lang w:val="en-CA"/>
        </w:rPr>
      </w:pPr>
    </w:p>
    <w:p w14:paraId="4F721E81" w14:textId="77777777" w:rsidR="0010319F" w:rsidRPr="006F5B5F" w:rsidRDefault="0010319F" w:rsidP="005963D1">
      <w:pPr>
        <w:spacing w:line="480" w:lineRule="auto"/>
        <w:rPr>
          <w:color w:val="000000" w:themeColor="text1"/>
          <w:lang w:val="en-CA"/>
        </w:rPr>
      </w:pPr>
    </w:p>
    <w:sectPr w:rsidR="0010319F" w:rsidRPr="006F5B5F" w:rsidSect="00FA26C7">
      <w:headerReference w:type="even" r:id="rId12"/>
      <w:head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01CFA" w14:textId="77777777" w:rsidR="008C7A67" w:rsidRDefault="008C7A67" w:rsidP="00FA26C7">
      <w:r>
        <w:separator/>
      </w:r>
    </w:p>
  </w:endnote>
  <w:endnote w:type="continuationSeparator" w:id="0">
    <w:p w14:paraId="33BD60A9" w14:textId="77777777" w:rsidR="008C7A67" w:rsidRDefault="008C7A67" w:rsidP="00FA2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F4313" w14:textId="77777777" w:rsidR="008C7A67" w:rsidRDefault="008C7A67" w:rsidP="00FA26C7">
      <w:r>
        <w:separator/>
      </w:r>
    </w:p>
  </w:footnote>
  <w:footnote w:type="continuationSeparator" w:id="0">
    <w:p w14:paraId="470E60E9" w14:textId="77777777" w:rsidR="008C7A67" w:rsidRDefault="008C7A67" w:rsidP="00FA26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7B4E" w14:textId="77777777" w:rsidR="00FA26C7" w:rsidRDefault="00FA26C7" w:rsidP="0091681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540473" w14:textId="77777777" w:rsidR="00FA26C7" w:rsidRDefault="00FA26C7" w:rsidP="00FA26C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84F5" w14:textId="77777777" w:rsidR="00FA26C7" w:rsidRDefault="00FA26C7" w:rsidP="0091681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5863ED0" w14:textId="77777777" w:rsidR="00FA26C7" w:rsidRDefault="00FA26C7" w:rsidP="00FA26C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0B"/>
    <w:rsid w:val="00047A29"/>
    <w:rsid w:val="00054A05"/>
    <w:rsid w:val="00083ADD"/>
    <w:rsid w:val="000E4F79"/>
    <w:rsid w:val="0010319F"/>
    <w:rsid w:val="00111AD5"/>
    <w:rsid w:val="00115ED5"/>
    <w:rsid w:val="00141D5E"/>
    <w:rsid w:val="001434E5"/>
    <w:rsid w:val="00143EE1"/>
    <w:rsid w:val="00190FB4"/>
    <w:rsid w:val="001A0C4D"/>
    <w:rsid w:val="001B7FA2"/>
    <w:rsid w:val="001C570B"/>
    <w:rsid w:val="001C7E50"/>
    <w:rsid w:val="001E4FC2"/>
    <w:rsid w:val="00294E55"/>
    <w:rsid w:val="002D3EB4"/>
    <w:rsid w:val="00311961"/>
    <w:rsid w:val="00363801"/>
    <w:rsid w:val="003812EB"/>
    <w:rsid w:val="003C2338"/>
    <w:rsid w:val="003C59E3"/>
    <w:rsid w:val="00440235"/>
    <w:rsid w:val="00483946"/>
    <w:rsid w:val="004C410F"/>
    <w:rsid w:val="004E2DBB"/>
    <w:rsid w:val="00506853"/>
    <w:rsid w:val="00521F01"/>
    <w:rsid w:val="00551C57"/>
    <w:rsid w:val="005522C7"/>
    <w:rsid w:val="0055463F"/>
    <w:rsid w:val="00561068"/>
    <w:rsid w:val="00561ABD"/>
    <w:rsid w:val="00580C42"/>
    <w:rsid w:val="00591B18"/>
    <w:rsid w:val="00592CF3"/>
    <w:rsid w:val="005963D1"/>
    <w:rsid w:val="006114B1"/>
    <w:rsid w:val="006315B2"/>
    <w:rsid w:val="0069098A"/>
    <w:rsid w:val="00690F43"/>
    <w:rsid w:val="006D0C1B"/>
    <w:rsid w:val="006D0D68"/>
    <w:rsid w:val="006F5B5F"/>
    <w:rsid w:val="00747D63"/>
    <w:rsid w:val="00780451"/>
    <w:rsid w:val="007A4954"/>
    <w:rsid w:val="007C4B27"/>
    <w:rsid w:val="007D17F0"/>
    <w:rsid w:val="007E0CF6"/>
    <w:rsid w:val="008569D2"/>
    <w:rsid w:val="008710E3"/>
    <w:rsid w:val="00873F25"/>
    <w:rsid w:val="008B54EE"/>
    <w:rsid w:val="008B7B45"/>
    <w:rsid w:val="008C7A67"/>
    <w:rsid w:val="008D12A0"/>
    <w:rsid w:val="008D244E"/>
    <w:rsid w:val="009065E4"/>
    <w:rsid w:val="009278DA"/>
    <w:rsid w:val="009654F2"/>
    <w:rsid w:val="009B6835"/>
    <w:rsid w:val="00A42509"/>
    <w:rsid w:val="00A56EC6"/>
    <w:rsid w:val="00A84A20"/>
    <w:rsid w:val="00AA0B54"/>
    <w:rsid w:val="00AA5FCB"/>
    <w:rsid w:val="00AA62C3"/>
    <w:rsid w:val="00AB4298"/>
    <w:rsid w:val="00AE4D9D"/>
    <w:rsid w:val="00B120D7"/>
    <w:rsid w:val="00B13819"/>
    <w:rsid w:val="00B16081"/>
    <w:rsid w:val="00B27544"/>
    <w:rsid w:val="00B41D49"/>
    <w:rsid w:val="00B730C8"/>
    <w:rsid w:val="00B77DDA"/>
    <w:rsid w:val="00BB5E63"/>
    <w:rsid w:val="00BC009E"/>
    <w:rsid w:val="00BE1372"/>
    <w:rsid w:val="00BF0594"/>
    <w:rsid w:val="00C117F5"/>
    <w:rsid w:val="00C1291C"/>
    <w:rsid w:val="00C404F9"/>
    <w:rsid w:val="00C518D0"/>
    <w:rsid w:val="00C6644E"/>
    <w:rsid w:val="00CA07BE"/>
    <w:rsid w:val="00CD652F"/>
    <w:rsid w:val="00DA2FF2"/>
    <w:rsid w:val="00DD02E7"/>
    <w:rsid w:val="00E16191"/>
    <w:rsid w:val="00E2189B"/>
    <w:rsid w:val="00E23A95"/>
    <w:rsid w:val="00E737AE"/>
    <w:rsid w:val="00E871D4"/>
    <w:rsid w:val="00EA7BED"/>
    <w:rsid w:val="00EB1896"/>
    <w:rsid w:val="00F12B65"/>
    <w:rsid w:val="00F30FF4"/>
    <w:rsid w:val="00F963B0"/>
    <w:rsid w:val="00FA26C7"/>
    <w:rsid w:val="00FB74B9"/>
    <w:rsid w:val="00FD67C6"/>
    <w:rsid w:val="00FE09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6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5E4"/>
    <w:rPr>
      <w:rFonts w:ascii="Times New Roman" w:hAnsi="Times New Roman" w:cs="Times New Roman"/>
    </w:rPr>
  </w:style>
  <w:style w:type="paragraph" w:styleId="Heading1">
    <w:name w:val="heading 1"/>
    <w:basedOn w:val="Normal"/>
    <w:link w:val="Heading1Char"/>
    <w:uiPriority w:val="9"/>
    <w:qFormat/>
    <w:rsid w:val="00B41D4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2EB"/>
    <w:rPr>
      <w:color w:val="0000FF"/>
      <w:u w:val="single"/>
    </w:rPr>
  </w:style>
  <w:style w:type="character" w:styleId="Emphasis">
    <w:name w:val="Emphasis"/>
    <w:basedOn w:val="DefaultParagraphFont"/>
    <w:uiPriority w:val="20"/>
    <w:qFormat/>
    <w:rsid w:val="00190FB4"/>
    <w:rPr>
      <w:i/>
      <w:iCs/>
    </w:rPr>
  </w:style>
  <w:style w:type="character" w:customStyle="1" w:styleId="Heading1Char">
    <w:name w:val="Heading 1 Char"/>
    <w:basedOn w:val="DefaultParagraphFont"/>
    <w:link w:val="Heading1"/>
    <w:uiPriority w:val="9"/>
    <w:rsid w:val="00B41D49"/>
    <w:rPr>
      <w:rFonts w:ascii="Times New Roman" w:hAnsi="Times New Roman" w:cs="Times New Roman"/>
      <w:b/>
      <w:bCs/>
      <w:kern w:val="36"/>
      <w:sz w:val="48"/>
      <w:szCs w:val="48"/>
    </w:rPr>
  </w:style>
  <w:style w:type="character" w:customStyle="1" w:styleId="cit">
    <w:name w:val="cit"/>
    <w:basedOn w:val="DefaultParagraphFont"/>
    <w:rsid w:val="00B41D49"/>
  </w:style>
  <w:style w:type="character" w:customStyle="1" w:styleId="doi">
    <w:name w:val="doi"/>
    <w:basedOn w:val="DefaultParagraphFont"/>
    <w:rsid w:val="00B41D49"/>
  </w:style>
  <w:style w:type="character" w:customStyle="1" w:styleId="fm-citation-ids-label">
    <w:name w:val="fm-citation-ids-label"/>
    <w:basedOn w:val="DefaultParagraphFont"/>
    <w:rsid w:val="00B41D49"/>
  </w:style>
  <w:style w:type="character" w:customStyle="1" w:styleId="ref-title">
    <w:name w:val="ref-title"/>
    <w:basedOn w:val="DefaultParagraphFont"/>
    <w:rsid w:val="0010319F"/>
  </w:style>
  <w:style w:type="character" w:customStyle="1" w:styleId="ref-journal">
    <w:name w:val="ref-journal"/>
    <w:basedOn w:val="DefaultParagraphFont"/>
    <w:rsid w:val="0010319F"/>
  </w:style>
  <w:style w:type="character" w:customStyle="1" w:styleId="ref-vol">
    <w:name w:val="ref-vol"/>
    <w:basedOn w:val="DefaultParagraphFont"/>
    <w:rsid w:val="0010319F"/>
  </w:style>
  <w:style w:type="character" w:customStyle="1" w:styleId="nlmyear">
    <w:name w:val="nlm_year"/>
    <w:basedOn w:val="DefaultParagraphFont"/>
    <w:rsid w:val="00294E55"/>
  </w:style>
  <w:style w:type="character" w:customStyle="1" w:styleId="nlmarticle-title">
    <w:name w:val="nlm_article-title"/>
    <w:basedOn w:val="DefaultParagraphFont"/>
    <w:rsid w:val="00294E55"/>
  </w:style>
  <w:style w:type="character" w:customStyle="1" w:styleId="nlmfpage">
    <w:name w:val="nlm_fpage"/>
    <w:basedOn w:val="DefaultParagraphFont"/>
    <w:rsid w:val="00294E55"/>
  </w:style>
  <w:style w:type="character" w:customStyle="1" w:styleId="nlmlpage">
    <w:name w:val="nlm_lpage"/>
    <w:basedOn w:val="DefaultParagraphFont"/>
    <w:rsid w:val="00294E55"/>
  </w:style>
  <w:style w:type="paragraph" w:styleId="Header">
    <w:name w:val="header"/>
    <w:basedOn w:val="Normal"/>
    <w:link w:val="HeaderChar"/>
    <w:uiPriority w:val="99"/>
    <w:unhideWhenUsed/>
    <w:rsid w:val="00FA26C7"/>
    <w:pPr>
      <w:tabs>
        <w:tab w:val="center" w:pos="4680"/>
        <w:tab w:val="right" w:pos="9360"/>
      </w:tabs>
    </w:pPr>
  </w:style>
  <w:style w:type="character" w:customStyle="1" w:styleId="HeaderChar">
    <w:name w:val="Header Char"/>
    <w:basedOn w:val="DefaultParagraphFont"/>
    <w:link w:val="Header"/>
    <w:uiPriority w:val="99"/>
    <w:rsid w:val="00FA26C7"/>
    <w:rPr>
      <w:rFonts w:ascii="Times New Roman" w:hAnsi="Times New Roman" w:cs="Times New Roman"/>
    </w:rPr>
  </w:style>
  <w:style w:type="character" w:styleId="PageNumber">
    <w:name w:val="page number"/>
    <w:basedOn w:val="DefaultParagraphFont"/>
    <w:uiPriority w:val="99"/>
    <w:semiHidden/>
    <w:unhideWhenUsed/>
    <w:rsid w:val="00FA2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425">
      <w:bodyDiv w:val="1"/>
      <w:marLeft w:val="0"/>
      <w:marRight w:val="0"/>
      <w:marTop w:val="0"/>
      <w:marBottom w:val="0"/>
      <w:divBdr>
        <w:top w:val="none" w:sz="0" w:space="0" w:color="auto"/>
        <w:left w:val="none" w:sz="0" w:space="0" w:color="auto"/>
        <w:bottom w:val="none" w:sz="0" w:space="0" w:color="auto"/>
        <w:right w:val="none" w:sz="0" w:space="0" w:color="auto"/>
      </w:divBdr>
    </w:div>
    <w:div w:id="118963998">
      <w:bodyDiv w:val="1"/>
      <w:marLeft w:val="0"/>
      <w:marRight w:val="0"/>
      <w:marTop w:val="0"/>
      <w:marBottom w:val="0"/>
      <w:divBdr>
        <w:top w:val="none" w:sz="0" w:space="0" w:color="auto"/>
        <w:left w:val="none" w:sz="0" w:space="0" w:color="auto"/>
        <w:bottom w:val="none" w:sz="0" w:space="0" w:color="auto"/>
        <w:right w:val="none" w:sz="0" w:space="0" w:color="auto"/>
      </w:divBdr>
    </w:div>
    <w:div w:id="126895616">
      <w:bodyDiv w:val="1"/>
      <w:marLeft w:val="0"/>
      <w:marRight w:val="0"/>
      <w:marTop w:val="0"/>
      <w:marBottom w:val="0"/>
      <w:divBdr>
        <w:top w:val="none" w:sz="0" w:space="0" w:color="auto"/>
        <w:left w:val="none" w:sz="0" w:space="0" w:color="auto"/>
        <w:bottom w:val="none" w:sz="0" w:space="0" w:color="auto"/>
        <w:right w:val="none" w:sz="0" w:space="0" w:color="auto"/>
      </w:divBdr>
    </w:div>
    <w:div w:id="163860015">
      <w:bodyDiv w:val="1"/>
      <w:marLeft w:val="0"/>
      <w:marRight w:val="0"/>
      <w:marTop w:val="0"/>
      <w:marBottom w:val="0"/>
      <w:divBdr>
        <w:top w:val="none" w:sz="0" w:space="0" w:color="auto"/>
        <w:left w:val="none" w:sz="0" w:space="0" w:color="auto"/>
        <w:bottom w:val="none" w:sz="0" w:space="0" w:color="auto"/>
        <w:right w:val="none" w:sz="0" w:space="0" w:color="auto"/>
      </w:divBdr>
    </w:div>
    <w:div w:id="185367245">
      <w:bodyDiv w:val="1"/>
      <w:marLeft w:val="0"/>
      <w:marRight w:val="0"/>
      <w:marTop w:val="0"/>
      <w:marBottom w:val="0"/>
      <w:divBdr>
        <w:top w:val="none" w:sz="0" w:space="0" w:color="auto"/>
        <w:left w:val="none" w:sz="0" w:space="0" w:color="auto"/>
        <w:bottom w:val="none" w:sz="0" w:space="0" w:color="auto"/>
        <w:right w:val="none" w:sz="0" w:space="0" w:color="auto"/>
      </w:divBdr>
    </w:div>
    <w:div w:id="268397811">
      <w:bodyDiv w:val="1"/>
      <w:marLeft w:val="0"/>
      <w:marRight w:val="0"/>
      <w:marTop w:val="0"/>
      <w:marBottom w:val="0"/>
      <w:divBdr>
        <w:top w:val="none" w:sz="0" w:space="0" w:color="auto"/>
        <w:left w:val="none" w:sz="0" w:space="0" w:color="auto"/>
        <w:bottom w:val="none" w:sz="0" w:space="0" w:color="auto"/>
        <w:right w:val="none" w:sz="0" w:space="0" w:color="auto"/>
      </w:divBdr>
    </w:div>
    <w:div w:id="294608013">
      <w:bodyDiv w:val="1"/>
      <w:marLeft w:val="0"/>
      <w:marRight w:val="0"/>
      <w:marTop w:val="0"/>
      <w:marBottom w:val="0"/>
      <w:divBdr>
        <w:top w:val="none" w:sz="0" w:space="0" w:color="auto"/>
        <w:left w:val="none" w:sz="0" w:space="0" w:color="auto"/>
        <w:bottom w:val="none" w:sz="0" w:space="0" w:color="auto"/>
        <w:right w:val="none" w:sz="0" w:space="0" w:color="auto"/>
      </w:divBdr>
    </w:div>
    <w:div w:id="310406271">
      <w:bodyDiv w:val="1"/>
      <w:marLeft w:val="0"/>
      <w:marRight w:val="0"/>
      <w:marTop w:val="0"/>
      <w:marBottom w:val="0"/>
      <w:divBdr>
        <w:top w:val="none" w:sz="0" w:space="0" w:color="auto"/>
        <w:left w:val="none" w:sz="0" w:space="0" w:color="auto"/>
        <w:bottom w:val="none" w:sz="0" w:space="0" w:color="auto"/>
        <w:right w:val="none" w:sz="0" w:space="0" w:color="auto"/>
      </w:divBdr>
    </w:div>
    <w:div w:id="352268863">
      <w:bodyDiv w:val="1"/>
      <w:marLeft w:val="0"/>
      <w:marRight w:val="0"/>
      <w:marTop w:val="0"/>
      <w:marBottom w:val="0"/>
      <w:divBdr>
        <w:top w:val="none" w:sz="0" w:space="0" w:color="auto"/>
        <w:left w:val="none" w:sz="0" w:space="0" w:color="auto"/>
        <w:bottom w:val="none" w:sz="0" w:space="0" w:color="auto"/>
        <w:right w:val="none" w:sz="0" w:space="0" w:color="auto"/>
      </w:divBdr>
    </w:div>
    <w:div w:id="410083427">
      <w:bodyDiv w:val="1"/>
      <w:marLeft w:val="0"/>
      <w:marRight w:val="0"/>
      <w:marTop w:val="0"/>
      <w:marBottom w:val="0"/>
      <w:divBdr>
        <w:top w:val="none" w:sz="0" w:space="0" w:color="auto"/>
        <w:left w:val="none" w:sz="0" w:space="0" w:color="auto"/>
        <w:bottom w:val="none" w:sz="0" w:space="0" w:color="auto"/>
        <w:right w:val="none" w:sz="0" w:space="0" w:color="auto"/>
      </w:divBdr>
    </w:div>
    <w:div w:id="626467460">
      <w:bodyDiv w:val="1"/>
      <w:marLeft w:val="0"/>
      <w:marRight w:val="0"/>
      <w:marTop w:val="0"/>
      <w:marBottom w:val="0"/>
      <w:divBdr>
        <w:top w:val="none" w:sz="0" w:space="0" w:color="auto"/>
        <w:left w:val="none" w:sz="0" w:space="0" w:color="auto"/>
        <w:bottom w:val="none" w:sz="0" w:space="0" w:color="auto"/>
        <w:right w:val="none" w:sz="0" w:space="0" w:color="auto"/>
      </w:divBdr>
    </w:div>
    <w:div w:id="655230719">
      <w:bodyDiv w:val="1"/>
      <w:marLeft w:val="0"/>
      <w:marRight w:val="0"/>
      <w:marTop w:val="0"/>
      <w:marBottom w:val="0"/>
      <w:divBdr>
        <w:top w:val="none" w:sz="0" w:space="0" w:color="auto"/>
        <w:left w:val="none" w:sz="0" w:space="0" w:color="auto"/>
        <w:bottom w:val="none" w:sz="0" w:space="0" w:color="auto"/>
        <w:right w:val="none" w:sz="0" w:space="0" w:color="auto"/>
      </w:divBdr>
    </w:div>
    <w:div w:id="784081560">
      <w:bodyDiv w:val="1"/>
      <w:marLeft w:val="0"/>
      <w:marRight w:val="0"/>
      <w:marTop w:val="0"/>
      <w:marBottom w:val="0"/>
      <w:divBdr>
        <w:top w:val="none" w:sz="0" w:space="0" w:color="auto"/>
        <w:left w:val="none" w:sz="0" w:space="0" w:color="auto"/>
        <w:bottom w:val="none" w:sz="0" w:space="0" w:color="auto"/>
        <w:right w:val="none" w:sz="0" w:space="0" w:color="auto"/>
      </w:divBdr>
    </w:div>
    <w:div w:id="909853278">
      <w:bodyDiv w:val="1"/>
      <w:marLeft w:val="0"/>
      <w:marRight w:val="0"/>
      <w:marTop w:val="0"/>
      <w:marBottom w:val="0"/>
      <w:divBdr>
        <w:top w:val="none" w:sz="0" w:space="0" w:color="auto"/>
        <w:left w:val="none" w:sz="0" w:space="0" w:color="auto"/>
        <w:bottom w:val="none" w:sz="0" w:space="0" w:color="auto"/>
        <w:right w:val="none" w:sz="0" w:space="0" w:color="auto"/>
      </w:divBdr>
    </w:div>
    <w:div w:id="933517775">
      <w:bodyDiv w:val="1"/>
      <w:marLeft w:val="0"/>
      <w:marRight w:val="0"/>
      <w:marTop w:val="0"/>
      <w:marBottom w:val="0"/>
      <w:divBdr>
        <w:top w:val="none" w:sz="0" w:space="0" w:color="auto"/>
        <w:left w:val="none" w:sz="0" w:space="0" w:color="auto"/>
        <w:bottom w:val="none" w:sz="0" w:space="0" w:color="auto"/>
        <w:right w:val="none" w:sz="0" w:space="0" w:color="auto"/>
      </w:divBdr>
    </w:div>
    <w:div w:id="953944389">
      <w:bodyDiv w:val="1"/>
      <w:marLeft w:val="0"/>
      <w:marRight w:val="0"/>
      <w:marTop w:val="0"/>
      <w:marBottom w:val="0"/>
      <w:divBdr>
        <w:top w:val="none" w:sz="0" w:space="0" w:color="auto"/>
        <w:left w:val="none" w:sz="0" w:space="0" w:color="auto"/>
        <w:bottom w:val="none" w:sz="0" w:space="0" w:color="auto"/>
        <w:right w:val="none" w:sz="0" w:space="0" w:color="auto"/>
      </w:divBdr>
    </w:div>
    <w:div w:id="959456517">
      <w:bodyDiv w:val="1"/>
      <w:marLeft w:val="0"/>
      <w:marRight w:val="0"/>
      <w:marTop w:val="0"/>
      <w:marBottom w:val="0"/>
      <w:divBdr>
        <w:top w:val="none" w:sz="0" w:space="0" w:color="auto"/>
        <w:left w:val="none" w:sz="0" w:space="0" w:color="auto"/>
        <w:bottom w:val="none" w:sz="0" w:space="0" w:color="auto"/>
        <w:right w:val="none" w:sz="0" w:space="0" w:color="auto"/>
      </w:divBdr>
    </w:div>
    <w:div w:id="1164468670">
      <w:bodyDiv w:val="1"/>
      <w:marLeft w:val="0"/>
      <w:marRight w:val="0"/>
      <w:marTop w:val="0"/>
      <w:marBottom w:val="0"/>
      <w:divBdr>
        <w:top w:val="none" w:sz="0" w:space="0" w:color="auto"/>
        <w:left w:val="none" w:sz="0" w:space="0" w:color="auto"/>
        <w:bottom w:val="none" w:sz="0" w:space="0" w:color="auto"/>
        <w:right w:val="none" w:sz="0" w:space="0" w:color="auto"/>
      </w:divBdr>
    </w:div>
    <w:div w:id="1180853592">
      <w:bodyDiv w:val="1"/>
      <w:marLeft w:val="0"/>
      <w:marRight w:val="0"/>
      <w:marTop w:val="0"/>
      <w:marBottom w:val="0"/>
      <w:divBdr>
        <w:top w:val="none" w:sz="0" w:space="0" w:color="auto"/>
        <w:left w:val="none" w:sz="0" w:space="0" w:color="auto"/>
        <w:bottom w:val="none" w:sz="0" w:space="0" w:color="auto"/>
        <w:right w:val="none" w:sz="0" w:space="0" w:color="auto"/>
      </w:divBdr>
    </w:div>
    <w:div w:id="1305113170">
      <w:bodyDiv w:val="1"/>
      <w:marLeft w:val="0"/>
      <w:marRight w:val="0"/>
      <w:marTop w:val="0"/>
      <w:marBottom w:val="0"/>
      <w:divBdr>
        <w:top w:val="none" w:sz="0" w:space="0" w:color="auto"/>
        <w:left w:val="none" w:sz="0" w:space="0" w:color="auto"/>
        <w:bottom w:val="none" w:sz="0" w:space="0" w:color="auto"/>
        <w:right w:val="none" w:sz="0" w:space="0" w:color="auto"/>
      </w:divBdr>
    </w:div>
    <w:div w:id="1348823017">
      <w:bodyDiv w:val="1"/>
      <w:marLeft w:val="0"/>
      <w:marRight w:val="0"/>
      <w:marTop w:val="0"/>
      <w:marBottom w:val="0"/>
      <w:divBdr>
        <w:top w:val="none" w:sz="0" w:space="0" w:color="auto"/>
        <w:left w:val="none" w:sz="0" w:space="0" w:color="auto"/>
        <w:bottom w:val="none" w:sz="0" w:space="0" w:color="auto"/>
        <w:right w:val="none" w:sz="0" w:space="0" w:color="auto"/>
      </w:divBdr>
    </w:div>
    <w:div w:id="1375348933">
      <w:bodyDiv w:val="1"/>
      <w:marLeft w:val="0"/>
      <w:marRight w:val="0"/>
      <w:marTop w:val="0"/>
      <w:marBottom w:val="0"/>
      <w:divBdr>
        <w:top w:val="none" w:sz="0" w:space="0" w:color="auto"/>
        <w:left w:val="none" w:sz="0" w:space="0" w:color="auto"/>
        <w:bottom w:val="none" w:sz="0" w:space="0" w:color="auto"/>
        <w:right w:val="none" w:sz="0" w:space="0" w:color="auto"/>
      </w:divBdr>
    </w:div>
    <w:div w:id="1378630525">
      <w:bodyDiv w:val="1"/>
      <w:marLeft w:val="0"/>
      <w:marRight w:val="0"/>
      <w:marTop w:val="0"/>
      <w:marBottom w:val="0"/>
      <w:divBdr>
        <w:top w:val="none" w:sz="0" w:space="0" w:color="auto"/>
        <w:left w:val="none" w:sz="0" w:space="0" w:color="auto"/>
        <w:bottom w:val="none" w:sz="0" w:space="0" w:color="auto"/>
        <w:right w:val="none" w:sz="0" w:space="0" w:color="auto"/>
      </w:divBdr>
    </w:div>
    <w:div w:id="1485046655">
      <w:bodyDiv w:val="1"/>
      <w:marLeft w:val="0"/>
      <w:marRight w:val="0"/>
      <w:marTop w:val="0"/>
      <w:marBottom w:val="0"/>
      <w:divBdr>
        <w:top w:val="none" w:sz="0" w:space="0" w:color="auto"/>
        <w:left w:val="none" w:sz="0" w:space="0" w:color="auto"/>
        <w:bottom w:val="none" w:sz="0" w:space="0" w:color="auto"/>
        <w:right w:val="none" w:sz="0" w:space="0" w:color="auto"/>
      </w:divBdr>
    </w:div>
    <w:div w:id="1507018060">
      <w:bodyDiv w:val="1"/>
      <w:marLeft w:val="0"/>
      <w:marRight w:val="0"/>
      <w:marTop w:val="0"/>
      <w:marBottom w:val="0"/>
      <w:divBdr>
        <w:top w:val="none" w:sz="0" w:space="0" w:color="auto"/>
        <w:left w:val="none" w:sz="0" w:space="0" w:color="auto"/>
        <w:bottom w:val="none" w:sz="0" w:space="0" w:color="auto"/>
        <w:right w:val="none" w:sz="0" w:space="0" w:color="auto"/>
      </w:divBdr>
    </w:div>
    <w:div w:id="1550146896">
      <w:bodyDiv w:val="1"/>
      <w:marLeft w:val="0"/>
      <w:marRight w:val="0"/>
      <w:marTop w:val="0"/>
      <w:marBottom w:val="0"/>
      <w:divBdr>
        <w:top w:val="none" w:sz="0" w:space="0" w:color="auto"/>
        <w:left w:val="none" w:sz="0" w:space="0" w:color="auto"/>
        <w:bottom w:val="none" w:sz="0" w:space="0" w:color="auto"/>
        <w:right w:val="none" w:sz="0" w:space="0" w:color="auto"/>
      </w:divBdr>
    </w:div>
    <w:div w:id="1553886098">
      <w:bodyDiv w:val="1"/>
      <w:marLeft w:val="0"/>
      <w:marRight w:val="0"/>
      <w:marTop w:val="0"/>
      <w:marBottom w:val="0"/>
      <w:divBdr>
        <w:top w:val="none" w:sz="0" w:space="0" w:color="auto"/>
        <w:left w:val="none" w:sz="0" w:space="0" w:color="auto"/>
        <w:bottom w:val="none" w:sz="0" w:space="0" w:color="auto"/>
        <w:right w:val="none" w:sz="0" w:space="0" w:color="auto"/>
      </w:divBdr>
    </w:div>
    <w:div w:id="1575894505">
      <w:bodyDiv w:val="1"/>
      <w:marLeft w:val="0"/>
      <w:marRight w:val="0"/>
      <w:marTop w:val="0"/>
      <w:marBottom w:val="0"/>
      <w:divBdr>
        <w:top w:val="none" w:sz="0" w:space="0" w:color="auto"/>
        <w:left w:val="none" w:sz="0" w:space="0" w:color="auto"/>
        <w:bottom w:val="none" w:sz="0" w:space="0" w:color="auto"/>
        <w:right w:val="none" w:sz="0" w:space="0" w:color="auto"/>
      </w:divBdr>
    </w:div>
    <w:div w:id="1585842944">
      <w:bodyDiv w:val="1"/>
      <w:marLeft w:val="0"/>
      <w:marRight w:val="0"/>
      <w:marTop w:val="0"/>
      <w:marBottom w:val="0"/>
      <w:divBdr>
        <w:top w:val="none" w:sz="0" w:space="0" w:color="auto"/>
        <w:left w:val="none" w:sz="0" w:space="0" w:color="auto"/>
        <w:bottom w:val="none" w:sz="0" w:space="0" w:color="auto"/>
        <w:right w:val="none" w:sz="0" w:space="0" w:color="auto"/>
      </w:divBdr>
    </w:div>
    <w:div w:id="1607537523">
      <w:bodyDiv w:val="1"/>
      <w:marLeft w:val="0"/>
      <w:marRight w:val="0"/>
      <w:marTop w:val="0"/>
      <w:marBottom w:val="0"/>
      <w:divBdr>
        <w:top w:val="none" w:sz="0" w:space="0" w:color="auto"/>
        <w:left w:val="none" w:sz="0" w:space="0" w:color="auto"/>
        <w:bottom w:val="none" w:sz="0" w:space="0" w:color="auto"/>
        <w:right w:val="none" w:sz="0" w:space="0" w:color="auto"/>
      </w:divBdr>
    </w:div>
    <w:div w:id="1645236085">
      <w:bodyDiv w:val="1"/>
      <w:marLeft w:val="0"/>
      <w:marRight w:val="0"/>
      <w:marTop w:val="0"/>
      <w:marBottom w:val="0"/>
      <w:divBdr>
        <w:top w:val="none" w:sz="0" w:space="0" w:color="auto"/>
        <w:left w:val="none" w:sz="0" w:space="0" w:color="auto"/>
        <w:bottom w:val="none" w:sz="0" w:space="0" w:color="auto"/>
        <w:right w:val="none" w:sz="0" w:space="0" w:color="auto"/>
      </w:divBdr>
    </w:div>
    <w:div w:id="1718360536">
      <w:bodyDiv w:val="1"/>
      <w:marLeft w:val="0"/>
      <w:marRight w:val="0"/>
      <w:marTop w:val="0"/>
      <w:marBottom w:val="0"/>
      <w:divBdr>
        <w:top w:val="none" w:sz="0" w:space="0" w:color="auto"/>
        <w:left w:val="none" w:sz="0" w:space="0" w:color="auto"/>
        <w:bottom w:val="none" w:sz="0" w:space="0" w:color="auto"/>
        <w:right w:val="none" w:sz="0" w:space="0" w:color="auto"/>
      </w:divBdr>
    </w:div>
    <w:div w:id="1723016471">
      <w:bodyDiv w:val="1"/>
      <w:marLeft w:val="0"/>
      <w:marRight w:val="0"/>
      <w:marTop w:val="0"/>
      <w:marBottom w:val="0"/>
      <w:divBdr>
        <w:top w:val="none" w:sz="0" w:space="0" w:color="auto"/>
        <w:left w:val="none" w:sz="0" w:space="0" w:color="auto"/>
        <w:bottom w:val="none" w:sz="0" w:space="0" w:color="auto"/>
        <w:right w:val="none" w:sz="0" w:space="0" w:color="auto"/>
      </w:divBdr>
    </w:div>
    <w:div w:id="1808622518">
      <w:bodyDiv w:val="1"/>
      <w:marLeft w:val="0"/>
      <w:marRight w:val="0"/>
      <w:marTop w:val="0"/>
      <w:marBottom w:val="0"/>
      <w:divBdr>
        <w:top w:val="none" w:sz="0" w:space="0" w:color="auto"/>
        <w:left w:val="none" w:sz="0" w:space="0" w:color="auto"/>
        <w:bottom w:val="none" w:sz="0" w:space="0" w:color="auto"/>
        <w:right w:val="none" w:sz="0" w:space="0" w:color="auto"/>
      </w:divBdr>
    </w:div>
    <w:div w:id="1822306461">
      <w:bodyDiv w:val="1"/>
      <w:marLeft w:val="0"/>
      <w:marRight w:val="0"/>
      <w:marTop w:val="0"/>
      <w:marBottom w:val="0"/>
      <w:divBdr>
        <w:top w:val="none" w:sz="0" w:space="0" w:color="auto"/>
        <w:left w:val="none" w:sz="0" w:space="0" w:color="auto"/>
        <w:bottom w:val="none" w:sz="0" w:space="0" w:color="auto"/>
        <w:right w:val="none" w:sz="0" w:space="0" w:color="auto"/>
      </w:divBdr>
    </w:div>
    <w:div w:id="1892617991">
      <w:bodyDiv w:val="1"/>
      <w:marLeft w:val="0"/>
      <w:marRight w:val="0"/>
      <w:marTop w:val="0"/>
      <w:marBottom w:val="0"/>
      <w:divBdr>
        <w:top w:val="none" w:sz="0" w:space="0" w:color="auto"/>
        <w:left w:val="none" w:sz="0" w:space="0" w:color="auto"/>
        <w:bottom w:val="none" w:sz="0" w:space="0" w:color="auto"/>
        <w:right w:val="none" w:sz="0" w:space="0" w:color="auto"/>
      </w:divBdr>
    </w:div>
    <w:div w:id="1981030461">
      <w:bodyDiv w:val="1"/>
      <w:marLeft w:val="0"/>
      <w:marRight w:val="0"/>
      <w:marTop w:val="0"/>
      <w:marBottom w:val="0"/>
      <w:divBdr>
        <w:top w:val="none" w:sz="0" w:space="0" w:color="auto"/>
        <w:left w:val="none" w:sz="0" w:space="0" w:color="auto"/>
        <w:bottom w:val="none" w:sz="0" w:space="0" w:color="auto"/>
        <w:right w:val="none" w:sz="0" w:space="0" w:color="auto"/>
      </w:divBdr>
    </w:div>
    <w:div w:id="1988708109">
      <w:bodyDiv w:val="1"/>
      <w:marLeft w:val="0"/>
      <w:marRight w:val="0"/>
      <w:marTop w:val="0"/>
      <w:marBottom w:val="0"/>
      <w:divBdr>
        <w:top w:val="none" w:sz="0" w:space="0" w:color="auto"/>
        <w:left w:val="none" w:sz="0" w:space="0" w:color="auto"/>
        <w:bottom w:val="none" w:sz="0" w:space="0" w:color="auto"/>
        <w:right w:val="none" w:sz="0" w:space="0" w:color="auto"/>
      </w:divBdr>
    </w:div>
    <w:div w:id="2011173414">
      <w:bodyDiv w:val="1"/>
      <w:marLeft w:val="0"/>
      <w:marRight w:val="0"/>
      <w:marTop w:val="0"/>
      <w:marBottom w:val="0"/>
      <w:divBdr>
        <w:top w:val="none" w:sz="0" w:space="0" w:color="auto"/>
        <w:left w:val="none" w:sz="0" w:space="0" w:color="auto"/>
        <w:bottom w:val="none" w:sz="0" w:space="0" w:color="auto"/>
        <w:right w:val="none" w:sz="0" w:space="0" w:color="auto"/>
      </w:divBdr>
      <w:divsChild>
        <w:div w:id="115564391">
          <w:marLeft w:val="0"/>
          <w:marRight w:val="0"/>
          <w:marTop w:val="0"/>
          <w:marBottom w:val="166"/>
          <w:divBdr>
            <w:top w:val="none" w:sz="0" w:space="0" w:color="auto"/>
            <w:left w:val="none" w:sz="0" w:space="0" w:color="auto"/>
            <w:bottom w:val="none" w:sz="0" w:space="0" w:color="auto"/>
            <w:right w:val="none" w:sz="0" w:space="0" w:color="auto"/>
          </w:divBdr>
          <w:divsChild>
            <w:div w:id="2138914409">
              <w:marLeft w:val="0"/>
              <w:marRight w:val="0"/>
              <w:marTop w:val="0"/>
              <w:marBottom w:val="0"/>
              <w:divBdr>
                <w:top w:val="none" w:sz="0" w:space="0" w:color="auto"/>
                <w:left w:val="none" w:sz="0" w:space="0" w:color="auto"/>
                <w:bottom w:val="none" w:sz="0" w:space="0" w:color="auto"/>
                <w:right w:val="none" w:sz="0" w:space="0" w:color="auto"/>
              </w:divBdr>
              <w:divsChild>
                <w:div w:id="1006785251">
                  <w:marLeft w:val="0"/>
                  <w:marRight w:val="0"/>
                  <w:marTop w:val="0"/>
                  <w:marBottom w:val="0"/>
                  <w:divBdr>
                    <w:top w:val="none" w:sz="0" w:space="0" w:color="auto"/>
                    <w:left w:val="none" w:sz="0" w:space="0" w:color="auto"/>
                    <w:bottom w:val="none" w:sz="0" w:space="0" w:color="auto"/>
                    <w:right w:val="none" w:sz="0" w:space="0" w:color="auto"/>
                  </w:divBdr>
                  <w:divsChild>
                    <w:div w:id="281302555">
                      <w:marLeft w:val="0"/>
                      <w:marRight w:val="0"/>
                      <w:marTop w:val="0"/>
                      <w:marBottom w:val="0"/>
                      <w:divBdr>
                        <w:top w:val="none" w:sz="0" w:space="0" w:color="auto"/>
                        <w:left w:val="none" w:sz="0" w:space="0" w:color="auto"/>
                        <w:bottom w:val="none" w:sz="0" w:space="0" w:color="auto"/>
                        <w:right w:val="none" w:sz="0" w:space="0" w:color="auto"/>
                      </w:divBdr>
                    </w:div>
                    <w:div w:id="16380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5875">
              <w:marLeft w:val="0"/>
              <w:marRight w:val="0"/>
              <w:marTop w:val="0"/>
              <w:marBottom w:val="0"/>
              <w:divBdr>
                <w:top w:val="none" w:sz="0" w:space="0" w:color="auto"/>
                <w:left w:val="none" w:sz="0" w:space="0" w:color="auto"/>
                <w:bottom w:val="none" w:sz="0" w:space="0" w:color="auto"/>
                <w:right w:val="none" w:sz="0" w:space="0" w:color="auto"/>
              </w:divBdr>
              <w:divsChild>
                <w:div w:id="18287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7505">
          <w:marLeft w:val="0"/>
          <w:marRight w:val="0"/>
          <w:marTop w:val="166"/>
          <w:marBottom w:val="166"/>
          <w:divBdr>
            <w:top w:val="none" w:sz="0" w:space="0" w:color="auto"/>
            <w:left w:val="none" w:sz="0" w:space="0" w:color="auto"/>
            <w:bottom w:val="none" w:sz="0" w:space="0" w:color="auto"/>
            <w:right w:val="none" w:sz="0" w:space="0" w:color="auto"/>
          </w:divBdr>
          <w:divsChild>
            <w:div w:id="6544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310">
      <w:bodyDiv w:val="1"/>
      <w:marLeft w:val="0"/>
      <w:marRight w:val="0"/>
      <w:marTop w:val="0"/>
      <w:marBottom w:val="0"/>
      <w:divBdr>
        <w:top w:val="none" w:sz="0" w:space="0" w:color="auto"/>
        <w:left w:val="none" w:sz="0" w:space="0" w:color="auto"/>
        <w:bottom w:val="none" w:sz="0" w:space="0" w:color="auto"/>
        <w:right w:val="none" w:sz="0" w:space="0" w:color="auto"/>
      </w:divBdr>
    </w:div>
    <w:div w:id="2073382934">
      <w:bodyDiv w:val="1"/>
      <w:marLeft w:val="0"/>
      <w:marRight w:val="0"/>
      <w:marTop w:val="0"/>
      <w:marBottom w:val="0"/>
      <w:divBdr>
        <w:top w:val="none" w:sz="0" w:space="0" w:color="auto"/>
        <w:left w:val="none" w:sz="0" w:space="0" w:color="auto"/>
        <w:bottom w:val="none" w:sz="0" w:space="0" w:color="auto"/>
        <w:right w:val="none" w:sz="0" w:space="0" w:color="auto"/>
      </w:divBdr>
    </w:div>
    <w:div w:id="2121534343">
      <w:bodyDiv w:val="1"/>
      <w:marLeft w:val="0"/>
      <w:marRight w:val="0"/>
      <w:marTop w:val="0"/>
      <w:marBottom w:val="0"/>
      <w:divBdr>
        <w:top w:val="none" w:sz="0" w:space="0" w:color="auto"/>
        <w:left w:val="none" w:sz="0" w:space="0" w:color="auto"/>
        <w:bottom w:val="none" w:sz="0" w:space="0" w:color="auto"/>
        <w:right w:val="none" w:sz="0" w:space="0" w:color="auto"/>
      </w:divBdr>
    </w:div>
    <w:div w:id="2138794892">
      <w:bodyDiv w:val="1"/>
      <w:marLeft w:val="0"/>
      <w:marRight w:val="0"/>
      <w:marTop w:val="0"/>
      <w:marBottom w:val="0"/>
      <w:divBdr>
        <w:top w:val="none" w:sz="0" w:space="0" w:color="auto"/>
        <w:left w:val="none" w:sz="0" w:space="0" w:color="auto"/>
        <w:bottom w:val="none" w:sz="0" w:space="0" w:color="auto"/>
        <w:right w:val="none" w:sz="0" w:space="0" w:color="auto"/>
      </w:divBdr>
    </w:div>
    <w:div w:id="2144345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journals-sagepub-com.ezproxy.library.yorku.ca/doi/full/10.1177/096372141349157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hyperlink" Target="https://micncltools.shinyapps.io/TestAccuracy)" TargetMode="External"/><Relationship Id="rId9" Type="http://schemas.openxmlformats.org/officeDocument/2006/relationships/hyperlink" Target="https://micncltools.shinyapps.io/ClinicalAccuracyAndUtility)" TargetMode="External"/><Relationship Id="rId10" Type="http://schemas.openxmlformats.org/officeDocument/2006/relationships/hyperlink" Target="https://journals-sagepub-com.ezproxy.library.yorku.ca/doi/full/10.1177/0963721413491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12</Pages>
  <Words>2587</Words>
  <Characters>14752</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
      <vt:lpstr/>
      <vt:lpstr/>
      <vt:lpstr/>
      <vt:lpstr/>
      <vt:lpstr>Visualizing Diagnostic Accuracy Measures to Improve Patient Care</vt:lpstr>
      <vt:lpstr/>
      <vt:lpstr/>
      <vt:lpstr>Syeda K.B. Zaidi</vt:lpstr>
      <vt:lpstr>214686950 </vt:lpstr>
      <vt:lpstr/>
      <vt:lpstr/>
      <vt:lpstr/>
      <vt:lpstr/>
      <vt:lpstr/>
      <vt:lpstr/>
      <vt:lpstr>Psyc 6135: Data Visualization </vt:lpstr>
      <vt:lpstr>Final Term Paper</vt:lpstr>
      <vt:lpstr/>
      <vt:lpstr>Submitted May 2nd, 2019 </vt:lpstr>
      <vt:lpstr/>
      <vt:lpstr>Visualizing Diagnostic Accuracy Measures to Improve Patient Care</vt:lpstr>
    </vt:vector>
  </TitlesOfParts>
  <LinksUpToDate>false</LinksUpToDate>
  <CharactersWithSpaces>17305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 Zaidi</dc:creator>
  <cp:keywords/>
  <dc:description/>
  <cp:lastModifiedBy>KB Zaidi</cp:lastModifiedBy>
  <cp:revision>27</cp:revision>
  <dcterms:created xsi:type="dcterms:W3CDTF">2019-04-30T18:09:00Z</dcterms:created>
  <dcterms:modified xsi:type="dcterms:W3CDTF">2019-05-02T15:46:00Z</dcterms:modified>
</cp:coreProperties>
</file>