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color w:val="000000"/>
          <w:sz w:val="44"/>
        </w:rPr>
        <w:t>Author Guidelines</w:t>
      </w:r>
    </w:p>
    <w:p>
      <w:pPr>
        <w:jc w:val="center"/>
      </w:pPr>
      <w:r>
        <w:rPr>
          <w:rFonts w:ascii="Aptos" w:hAnsi="Aptos"/>
          <w:b w:val="0"/>
          <w:color w:val="555555"/>
          <w:sz w:val="22"/>
        </w:rPr>
        <w:t>Pharm.D Vault Organization</w:t>
      </w:r>
    </w:p>
    <w:p/>
    <w:p>
      <w:pPr>
        <w:spacing w:line="276" w:lineRule="auto"/>
      </w:pPr>
      <w:r>
        <w:rPr>
          <w:rFonts w:ascii="Aptos" w:hAnsi="Aptos"/>
          <w:sz w:val="21"/>
        </w:rPr>
        <w:t>These guidelines explain how to prepare and submit manuscripts to Pharm.D Vault Organization. Authors should read every requirement and complete the submission checklist before sending a manuscript.</w:t>
      </w:r>
    </w:p>
    <w:p>
      <w:pPr>
        <w:spacing w:before="240" w:after="100"/>
      </w:pPr>
      <w:r>
        <w:rPr>
          <w:rFonts w:ascii="Aptos" w:hAnsi="Aptos"/>
          <w:b/>
          <w:color w:val="1B5E7A"/>
          <w:sz w:val="28"/>
        </w:rPr>
        <w:t>Scope and Article Types</w:t>
      </w:r>
    </w:p>
    <w:p>
      <w:pPr>
        <w:spacing w:line="276" w:lineRule="auto"/>
      </w:pPr>
      <w:r>
        <w:rPr>
          <w:rFonts w:ascii="Aptos" w:hAnsi="Aptos"/>
          <w:sz w:val="21"/>
        </w:rPr>
        <w:t>The organization welcomes pharmacy, clinical pharmacy, pharmacology, pharmaceutical science, patient safety, medication management, and healthcare research. Accepted article categories may include original research, reviews, case reports, short communications, and editorials. Confirm current category availability with the editorial office.</w:t>
      </w:r>
    </w:p>
    <w:p>
      <w:pPr>
        <w:spacing w:before="240" w:after="100"/>
      </w:pPr>
      <w:r>
        <w:rPr>
          <w:rFonts w:ascii="Aptos" w:hAnsi="Aptos"/>
          <w:b/>
          <w:color w:val="1B5E7A"/>
          <w:sz w:val="28"/>
        </w:rPr>
        <w:t>General Requirements</w:t>
      </w:r>
    </w:p>
    <w:p>
      <w:pPr>
        <w:spacing w:line="276" w:lineRule="auto"/>
      </w:pPr>
      <w:r>
        <w:rPr>
          <w:rFonts w:ascii="Aptos" w:hAnsi="Aptos"/>
          <w:sz w:val="21"/>
        </w:rPr>
        <w:t>Manuscripts must be original, written in clear English, and submitted only to this organization while under review. All listed authors must meet authorship criteria, approve the final manuscript, and accept responsibility for the work.</w:t>
      </w:r>
    </w:p>
    <w:p>
      <w:pPr>
        <w:spacing w:before="240" w:after="100"/>
      </w:pPr>
      <w:r>
        <w:rPr>
          <w:rFonts w:ascii="Aptos" w:hAnsi="Aptos"/>
          <w:b/>
          <w:color w:val="1B5E7A"/>
          <w:sz w:val="28"/>
        </w:rPr>
        <w:t>Manuscript Structure</w:t>
      </w:r>
    </w:p>
    <w:p>
      <w:pPr>
        <w:spacing w:line="276" w:lineRule="auto"/>
      </w:pPr>
      <w:r>
        <w:rPr>
          <w:rFonts w:ascii="Aptos" w:hAnsi="Aptos"/>
          <w:sz w:val="21"/>
        </w:rPr>
        <w:t>Use the supplied manuscript template. Include a title page, abstract, keywords, main text, acknowledgements, funding statement, conflict of interest declaration, ethics statement where applicable, references, tables, and figure legends.</w:t>
      </w:r>
    </w:p>
    <w:p>
      <w:pPr>
        <w:spacing w:before="240" w:after="100"/>
      </w:pPr>
      <w:r>
        <w:rPr>
          <w:rFonts w:ascii="Aptos" w:hAnsi="Aptos"/>
          <w:b/>
          <w:color w:val="1B5E7A"/>
          <w:sz w:val="28"/>
        </w:rPr>
        <w:t>Ethics and Consent</w:t>
      </w:r>
    </w:p>
    <w:p>
      <w:pPr>
        <w:spacing w:line="276" w:lineRule="auto"/>
      </w:pPr>
      <w:r>
        <w:rPr>
          <w:rFonts w:ascii="Aptos" w:hAnsi="Aptos"/>
          <w:sz w:val="21"/>
        </w:rPr>
        <w:t>Research involving human participants, patient data, or animals must include a clear ethics statement. Remove personal identifiers from case reports and obtain written patient consent when required. Attach ethical approval documentation when requested.</w:t>
      </w:r>
    </w:p>
    <w:p>
      <w:pPr>
        <w:spacing w:before="240" w:after="100"/>
      </w:pPr>
      <w:r>
        <w:rPr>
          <w:rFonts w:ascii="Aptos" w:hAnsi="Aptos"/>
          <w:b/>
          <w:color w:val="1B5E7A"/>
          <w:sz w:val="28"/>
        </w:rPr>
        <w:t>References and Figures</w:t>
      </w:r>
    </w:p>
    <w:p>
      <w:pPr>
        <w:spacing w:line="276" w:lineRule="auto"/>
      </w:pPr>
      <w:r>
        <w:rPr>
          <w:rFonts w:ascii="Aptos" w:hAnsi="Aptos"/>
          <w:sz w:val="21"/>
        </w:rPr>
        <w:t>Use a consistent reference style and verify all citations. Number tables and figures consecutively, give each a descriptive title or legend, and obtain permission for reused material.</w:t>
      </w:r>
    </w:p>
    <w:p>
      <w:pPr>
        <w:spacing w:before="240" w:after="100"/>
      </w:pPr>
      <w:r>
        <w:rPr>
          <w:rFonts w:ascii="Aptos" w:hAnsi="Aptos"/>
          <w:b/>
          <w:color w:val="1B5E7A"/>
          <w:sz w:val="28"/>
        </w:rPr>
        <w:t>Submission Package</w:t>
      </w:r>
    </w:p>
    <w:p>
      <w:pPr>
        <w:spacing w:line="276" w:lineRule="auto"/>
      </w:pPr>
      <w:r>
        <w:rPr>
          <w:rFonts w:ascii="Aptos" w:hAnsi="Aptos"/>
          <w:sz w:val="21"/>
        </w:rPr>
        <w:t>Submit the manuscript file, cover letter, conflict of interest declarations, ethical approval declaration where applicable, copyright transfer agreement after acceptance, and supporting files or figures.</w:t>
      </w:r>
    </w:p>
    <w:p>
      <w:pPr>
        <w:spacing w:before="240" w:after="100"/>
      </w:pPr>
      <w:r>
        <w:rPr>
          <w:rFonts w:ascii="Aptos" w:hAnsi="Aptos"/>
          <w:b/>
          <w:color w:val="1B5E7A"/>
          <w:sz w:val="28"/>
        </w:rPr>
        <w:t>Peer Review and Decisions</w:t>
      </w:r>
    </w:p>
    <w:p>
      <w:pPr>
        <w:spacing w:line="276" w:lineRule="auto"/>
      </w:pPr>
      <w:r>
        <w:rPr>
          <w:rFonts w:ascii="Aptos" w:hAnsi="Aptos"/>
          <w:sz w:val="21"/>
        </w:rPr>
        <w:t>Submissions undergo editorial screening and peer review. Authors may be asked to revise the manuscript. Publication decisions are based on scope, quality, originality, ethics, clarity, and reviewer feedback.</w:t>
      </w:r>
    </w:p>
    <w:p>
      <w:pPr>
        <w:spacing w:before="240" w:after="100"/>
      </w:pPr>
      <w:r>
        <w:rPr>
          <w:rFonts w:ascii="Aptos" w:hAnsi="Aptos"/>
          <w:b/>
          <w:color w:val="1B5E7A"/>
          <w:sz w:val="28"/>
        </w:rPr>
        <w:t>Publication Ethics</w:t>
      </w:r>
    </w:p>
    <w:p>
      <w:pPr>
        <w:spacing w:line="276" w:lineRule="auto"/>
      </w:pPr>
      <w:r>
        <w:rPr>
          <w:rFonts w:ascii="Aptos" w:hAnsi="Aptos"/>
          <w:sz w:val="21"/>
        </w:rPr>
        <w:t>Plagiarism, duplicate submission, data fabrication, image manipulation, undisclosed conflicts, and inappropriate authorship are not acceptable. Concerns will be managed according to the organization publication-ethics process.</w:t>
      </w:r>
    </w:p>
    <w:p>
      <w:pPr>
        <w:spacing w:before="240" w:after="100"/>
      </w:pPr>
      <w:r>
        <w:rPr>
          <w:rFonts w:ascii="Aptos" w:hAnsi="Aptos"/>
          <w:b/>
          <w:color w:val="1B5E7A"/>
          <w:sz w:val="28"/>
        </w:rPr>
        <w:t>Submission Checklist</w:t>
      </w:r>
    </w:p>
    <w:p>
      <w:pPr>
        <w:pStyle w:val="ListBullet"/>
        <w:spacing w:after="60"/>
      </w:pPr>
      <w:r>
        <w:rPr>
          <w:rFonts w:ascii="Aptos" w:hAnsi="Aptos"/>
          <w:sz w:val="21"/>
        </w:rPr>
        <w:t>[ ] Manuscript follows the required structure.</w:t>
      </w:r>
    </w:p>
    <w:p>
      <w:pPr>
        <w:pStyle w:val="ListBullet"/>
        <w:spacing w:after="60"/>
      </w:pPr>
      <w:r>
        <w:rPr>
          <w:rFonts w:ascii="Aptos" w:hAnsi="Aptos"/>
          <w:sz w:val="21"/>
        </w:rPr>
        <w:t>[ ] All authors have approved the final version.</w:t>
      </w:r>
    </w:p>
    <w:p>
      <w:pPr>
        <w:pStyle w:val="ListBullet"/>
        <w:spacing w:after="60"/>
      </w:pPr>
      <w:r>
        <w:rPr>
          <w:rFonts w:ascii="Aptos" w:hAnsi="Aptos"/>
          <w:sz w:val="21"/>
        </w:rPr>
        <w:t>[ ] Ethics and consent statements are included where needed.</w:t>
      </w:r>
    </w:p>
    <w:p>
      <w:pPr>
        <w:pStyle w:val="ListBullet"/>
        <w:spacing w:after="60"/>
      </w:pPr>
      <w:r>
        <w:rPr>
          <w:rFonts w:ascii="Aptos" w:hAnsi="Aptos"/>
          <w:sz w:val="21"/>
        </w:rPr>
        <w:t>[ ] References, tables, figures, and permissions are complete.</w:t>
      </w:r>
    </w:p>
    <w:p>
      <w:pPr>
        <w:pStyle w:val="ListBullet"/>
        <w:spacing w:after="60"/>
      </w:pPr>
      <w:r>
        <w:rPr>
          <w:rFonts w:ascii="Aptos" w:hAnsi="Aptos"/>
          <w:sz w:val="21"/>
        </w:rPr>
        <w:t>[ ] Cover letter and required declarations are attached.</w:t>
      </w:r>
    </w:p>
    <w:p>
      <w:pPr>
        <w:spacing w:before="240" w:after="100"/>
      </w:pPr>
      <w:r>
        <w:rPr>
          <w:rFonts w:ascii="Aptos" w:hAnsi="Aptos"/>
          <w:b/>
          <w:color w:val="1B5E7A"/>
          <w:sz w:val="28"/>
        </w:rPr>
        <w:t>Editorial Contact</w:t>
      </w:r>
    </w:p>
    <w:p>
      <w:pPr>
        <w:spacing w:line="276" w:lineRule="auto"/>
      </w:pPr>
      <w:r>
        <w:rPr>
          <w:rFonts w:ascii="Aptos" w:hAnsi="Aptos"/>
          <w:sz w:val="21"/>
        </w:rPr>
        <w:t>For submissions and questions, contact [insert official editorial email].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Pharm.D Vault Organization | [Insert official website] | [Insert official email]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457200" cy="457200"/>
                  </a:xfrm>
                  <a:prstGeom prst="rect"/>
                </pic:spPr>
              </pic:pic>
            </a:graphicData>
          </a:graphic>
        </wp:inline>
      </w:drawing>
    </w:r>
    <w:r>
      <w:rPr>
        <w:rFonts w:ascii="Aptos" w:hAnsi="Aptos"/>
        <w:b/>
        <w:color w:val="1B5E7A"/>
        <w:sz w:val="18"/>
      </w:rPr>
      <w:t xml:space="preserve">  Pharm.D Vault 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