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supplementary-materials"/>
    <w:p>
      <w:pPr>
        <w:pStyle w:val="Heading1"/>
      </w:pPr>
      <w:r>
        <w:t xml:space="preserve">Supplementary Materials</w:t>
      </w:r>
    </w:p>
    <w:bookmarkStart w:id="20" w:name="Xea122a40ddc0fdc83381474f11eafab3cd23a50"/>
    <w:p>
      <w:pPr>
        <w:pStyle w:val="Heading2"/>
      </w:pPr>
      <w:r>
        <w:t xml:space="preserve">Backbone-2 feasibility, cohort curation, and diagnostic methods not reported in the primary manuscript</w:t>
      </w:r>
    </w:p>
    <w:p>
      <w:pPr>
        <w:pStyle w:val="FirstParagraph"/>
      </w:pPr>
      <w:r>
        <w:t xml:space="preserve">This document records experiments, candidate evaluations, and pipeline corrections that informed the primary manuscript’s methodology and conclusions but are not themselves part of the primary results. Each is reported with the same standard of evidence as the primary findings: real data, checked against source where a check was possible, negative results stated plainly rather than omitted.</w:t>
      </w:r>
    </w:p>
    <w:p>
      <w:r>
        <w:pict>
          <v:rect style="width:0;height:1.5pt" o:hralign="center" o:hrstd="t" o:hr="t"/>
        </w:pict>
      </w:r>
    </w:p>
    <w:bookmarkEnd w:id="20"/>
    <w:bookmarkStart w:id="25" w:name="X264077045b3f891e8e90f26b483691d9321ad31"/>
    <w:p>
      <w:pPr>
        <w:pStyle w:val="Heading2"/>
      </w:pPr>
      <w:r>
        <w:t xml:space="preserve">S1. Cross-backbone replication (H2): full feasibility record</w:t>
      </w:r>
    </w:p>
    <w:p>
      <w:pPr>
        <w:pStyle w:val="FirstParagraph"/>
      </w:pPr>
      <w:r>
        <w:t xml:space="preserve">The primary manuscript reports that H2 (replication of the primary finding on a second, mechanistically distinct generative backbone) was not supported by any of three candidates evaluated. This section gives the complete quantitative record behind that conclusion.</w:t>
      </w:r>
    </w:p>
    <w:bookmarkStart w:id="21" w:name="s1.1-candidates-evaluated"/>
    <w:p>
      <w:pPr>
        <w:pStyle w:val="Heading3"/>
      </w:pPr>
      <w:r>
        <w:t xml:space="preserve">S1.1 Candidates evaluated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Candidate</w:t>
            </w:r>
          </w:p>
        </w:tc>
        <w:tc>
          <w:tcPr/>
          <w:p>
            <w:pPr>
              <w:pStyle w:val="Compact"/>
              <w:jc w:val="left"/>
            </w:pPr>
            <w:r>
              <w:t xml:space="preserve">Outcome</w:t>
            </w:r>
          </w:p>
        </w:tc>
        <w:tc>
          <w:tcPr/>
          <w:p>
            <w:pPr>
              <w:pStyle w:val="Compact"/>
              <w:jc w:val="left"/>
            </w:pPr>
            <w:r>
              <w:t xml:space="preserve">Basis for exclusion</w:t>
            </w:r>
          </w:p>
        </w:tc>
      </w:tr>
      <w:tr>
        <w:tc>
          <w:tcPr/>
          <w:p>
            <w:pPr>
              <w:pStyle w:val="Compact"/>
              <w:jc w:val="left"/>
            </w:pPr>
            <w:r>
              <w:t xml:space="preserve">DynaRNA</w:t>
            </w:r>
          </w:p>
        </w:tc>
        <w:tc>
          <w:tcPr/>
          <w:p>
            <w:pPr>
              <w:pStyle w:val="Compact"/>
              <w:jc w:val="left"/>
            </w:pPr>
            <w:r>
              <w:t xml:space="preserve">Excluded before any generation run</w:t>
            </w:r>
          </w:p>
        </w:tc>
        <w:tc>
          <w:tcPr/>
          <w:p>
            <w:pPr>
              <w:pStyle w:val="Compact"/>
              <w:jc w:val="left"/>
            </w:pPr>
            <w:r>
              <w:t xml:space="preserve">Its own validation work uses HIV-1 TAR, a primary-cohort target, as a headline demonstration case</w:t>
            </w:r>
          </w:p>
        </w:tc>
      </w:tr>
      <w:tr>
        <w:tc>
          <w:tcPr/>
          <w:p>
            <w:pPr>
              <w:pStyle w:val="Compact"/>
              <w:jc w:val="left"/>
            </w:pPr>
            <w:r>
              <w:t xml:space="preserve">Boltz-2</w:t>
            </w:r>
          </w:p>
        </w:tc>
        <w:tc>
          <w:tcPr/>
          <w:p>
            <w:pPr>
              <w:pStyle w:val="Compact"/>
              <w:jc w:val="left"/>
            </w:pPr>
            <w:r>
              <w:t xml:space="preserve">Tested; diversity did not track real structure</w:t>
            </w:r>
          </w:p>
        </w:tc>
        <w:tc>
          <w:tcPr/>
          <w:p>
            <w:pPr>
              <w:pStyle w:val="Compact"/>
              <w:jc w:val="left"/>
            </w:pPr>
            <w:r>
              <w:t xml:space="preserve">See S1.2 and S1.3</w:t>
            </w:r>
          </w:p>
        </w:tc>
      </w:tr>
      <w:tr>
        <w:tc>
          <w:tcPr/>
          <w:p>
            <w:pPr>
              <w:pStyle w:val="Compact"/>
              <w:jc w:val="left"/>
            </w:pPr>
            <w:r>
              <w:t xml:space="preserve">Pair representation scaling</w:t>
            </w:r>
          </w:p>
        </w:tc>
        <w:tc>
          <w:tcPr/>
          <w:p>
            <w:pPr>
              <w:pStyle w:val="Compact"/>
              <w:jc w:val="left"/>
            </w:pPr>
            <w:r>
              <w:t xml:space="preserve">Tested; reproduction attempt failed on the method’s own example system</w:t>
            </w:r>
          </w:p>
        </w:tc>
        <w:tc>
          <w:tcPr/>
          <w:p>
            <w:pPr>
              <w:pStyle w:val="Compact"/>
              <w:jc w:val="left"/>
            </w:pPr>
            <w:r>
              <w:t xml:space="preserve">See S1.4</w:t>
            </w:r>
          </w:p>
        </w:tc>
      </w:tr>
    </w:tbl>
    <w:bookmarkEnd w:id="21"/>
    <w:bookmarkStart w:id="22" w:name="X350aa2b533fb17a9d7aafaefc4e3ddbfc80e26f"/>
    <w:p>
      <w:pPr>
        <w:pStyle w:val="Heading3"/>
      </w:pPr>
      <w:r>
        <w:t xml:space="preserve">S1.2 Boltz-2 internal diversity and confidence</w:t>
      </w:r>
    </w:p>
    <w:p>
      <w:pPr>
        <w:pStyle w:val="FirstParagraph"/>
      </w:pPr>
      <w:r>
        <w:t xml:space="preserve">Target: 1Y26 (71nt adenine riboswitch aptamer), RNA-only input, no multiple-sequence alignment (Boltz-2’s own documentation states MSAs apply only to protein chains).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Condition</w:t>
            </w:r>
          </w:p>
        </w:tc>
        <w:tc>
          <w:tcPr/>
          <w:p>
            <w:pPr>
              <w:pStyle w:val="Compact"/>
              <w:jc w:val="left"/>
            </w:pPr>
            <w:r>
              <w:t xml:space="preserve">K</w:t>
            </w:r>
          </w:p>
        </w:tc>
        <w:tc>
          <w:tcPr/>
          <w:p>
            <w:pPr>
              <w:pStyle w:val="Compact"/>
              <w:jc w:val="left"/>
            </w:pPr>
            <w:r>
              <w:t xml:space="preserve">Mean confidence</w:t>
            </w:r>
          </w:p>
        </w:tc>
        <w:tc>
          <w:tcPr/>
          <w:p>
            <w:pPr>
              <w:pStyle w:val="Compact"/>
              <w:jc w:val="left"/>
            </w:pPr>
            <w:r>
              <w:t xml:space="preserve">Superposed RMSD (mean, angstrom)</w:t>
            </w:r>
          </w:p>
        </w:tc>
        <w:tc>
          <w:tcPr/>
          <w:p>
            <w:pPr>
              <w:pStyle w:val="Compact"/>
              <w:jc w:val="left"/>
            </w:pPr>
            <w:r>
              <w:t xml:space="preserve">Global rigid-body fraction</w:t>
            </w:r>
          </w:p>
        </w:tc>
      </w:tr>
      <w:tr>
        <w:tc>
          <w:tcPr/>
          <w:p>
            <w:pPr>
              <w:pStyle w:val="Compact"/>
              <w:jc w:val="left"/>
            </w:pPr>
            <w:r>
              <w:t xml:space="preserve">Default (step_scale = 1.0)</w:t>
            </w:r>
          </w:p>
        </w:tc>
        <w:tc>
          <w:tcPr/>
          <w:p>
            <w:pPr>
              <w:pStyle w:val="Compact"/>
              <w:jc w:val="left"/>
            </w:pPr>
            <w:r>
              <w:t xml:space="preserve">10</w:t>
            </w:r>
          </w:p>
        </w:tc>
        <w:tc>
          <w:tcPr/>
          <w:p>
            <w:pPr>
              <w:pStyle w:val="Compact"/>
              <w:jc w:val="left"/>
            </w:pPr>
            <w:r>
              <w:t xml:space="preserve">0.900-0.906</w:t>
            </w:r>
          </w:p>
        </w:tc>
        <w:tc>
          <w:tcPr/>
          <w:p>
            <w:pPr>
              <w:pStyle w:val="Compact"/>
              <w:jc w:val="left"/>
            </w:pPr>
            <w:r>
              <w:t xml:space="preserve">0.39</w:t>
            </w:r>
          </w:p>
        </w:tc>
        <w:tc>
          <w:tcPr/>
          <w:p>
            <w:pPr>
              <w:pStyle w:val="Compact"/>
              <w:jc w:val="left"/>
            </w:pPr>
            <w:r>
              <w:t xml:space="preserve">0.987</w:t>
            </w:r>
          </w:p>
        </w:tc>
      </w:tr>
      <w:tr>
        <w:tc>
          <w:tcPr/>
          <w:p>
            <w:pPr>
              <w:pStyle w:val="Compact"/>
              <w:jc w:val="left"/>
            </w:pPr>
            <w:r>
              <w:t xml:space="preserve">step_scale = 0.5</w:t>
            </w:r>
          </w:p>
        </w:tc>
        <w:tc>
          <w:tcPr/>
          <w:p>
            <w:pPr>
              <w:pStyle w:val="Compact"/>
              <w:jc w:val="left"/>
            </w:pPr>
            <w:r>
              <w:t xml:space="preserve">10</w:t>
            </w:r>
          </w:p>
        </w:tc>
        <w:tc>
          <w:tcPr/>
          <w:p>
            <w:pPr>
              <w:pStyle w:val="Compact"/>
              <w:jc w:val="left"/>
            </w:pPr>
            <w:r>
              <w:t xml:space="preserve">0.53-0.64</w:t>
            </w:r>
          </w:p>
        </w:tc>
        <w:tc>
          <w:tcPr/>
          <w:p>
            <w:pPr>
              <w:pStyle w:val="Compact"/>
              <w:jc w:val="left"/>
            </w:pPr>
            <w:r>
              <w:t xml:space="preserve">6.59</w:t>
            </w:r>
          </w:p>
        </w:tc>
        <w:tc>
          <w:tcPr/>
          <w:p>
            <w:pPr>
              <w:pStyle w:val="Compact"/>
              <w:jc w:val="left"/>
            </w:pPr>
            <w:r>
              <w:t xml:space="preserve">0.769</w:t>
            </w:r>
          </w:p>
        </w:tc>
      </w:tr>
    </w:tbl>
    <w:p>
      <w:pPr>
        <w:pStyle w:val="BodyText"/>
      </w:pPr>
      <w:r>
        <w:t xml:space="preserve">Reducing step_scale below Boltz-2’s documented recommended range (1-2) increased internal ensemble diversity to a range comparable with the primary backbone’s own ensembles, but came with a uniform drop in per-structure confidence across all 10 samples.</w:t>
      </w:r>
    </w:p>
    <w:bookmarkEnd w:id="22"/>
    <w:bookmarkStart w:id="23" w:name="Xa48425e84f36b7166f2f08b815e91e300f6ba5d"/>
    <w:p>
      <w:pPr>
        <w:pStyle w:val="Heading3"/>
      </w:pPr>
      <w:r>
        <w:t xml:space="preserve">S1.3 Boltz-2 ensembles compared against a real, independently-solved apo structure</w:t>
      </w:r>
    </w:p>
    <w:p>
      <w:pPr>
        <w:pStyle w:val="FirstParagraph"/>
      </w:pPr>
      <w:r>
        <w:t xml:space="preserve">To determine whether the added diversity in S1.2 corresponded to real conformational information, samples from both conditions were compared against PDB 5E54, a real apo structure sharing a sequence-identical 59-residue core with 1Y26 (11 of 71 positions differ, all clustered at the two termini, confirmed by direct sequence alignment).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Mean RMSD to real apo structure (angstrom)</w:t>
            </w:r>
          </w:p>
        </w:tc>
        <w:tc>
          <w:tcPr/>
          <w:p>
            <w:pPr>
              <w:pStyle w:val="Compact"/>
              <w:jc w:val="left"/>
            </w:pPr>
            <w:r>
              <w:t xml:space="preserve">Range</w:t>
            </w:r>
          </w:p>
        </w:tc>
      </w:tr>
      <w:tr>
        <w:tc>
          <w:tcPr/>
          <w:p>
            <w:pPr>
              <w:pStyle w:val="Compact"/>
              <w:jc w:val="left"/>
            </w:pPr>
            <w:r>
              <w:t xml:space="preserve">Default (step_scale = 1.0)</w:t>
            </w:r>
          </w:p>
        </w:tc>
        <w:tc>
          <w:tcPr/>
          <w:p>
            <w:pPr>
              <w:pStyle w:val="Compact"/>
              <w:jc w:val="left"/>
            </w:pPr>
            <w:r>
              <w:t xml:space="preserve">~2.1</w:t>
            </w:r>
          </w:p>
        </w:tc>
        <w:tc>
          <w:tcPr/>
          <w:p>
            <w:pPr>
              <w:pStyle w:val="Compact"/>
              <w:jc w:val="left"/>
            </w:pPr>
            <w:r>
              <w:t xml:space="preserve">1.99-2.18</w:t>
            </w:r>
          </w:p>
        </w:tc>
      </w:tr>
      <w:tr>
        <w:tc>
          <w:tcPr/>
          <w:p>
            <w:pPr>
              <w:pStyle w:val="Compact"/>
              <w:jc w:val="left"/>
            </w:pPr>
            <w:r>
              <w:t xml:space="preserve">step_scale = 0.5</w:t>
            </w:r>
          </w:p>
        </w:tc>
        <w:tc>
          <w:tcPr/>
          <w:p>
            <w:pPr>
              <w:pStyle w:val="Compact"/>
              <w:jc w:val="left"/>
            </w:pPr>
            <w:r>
              <w:t xml:space="preserve">~4.4</w:t>
            </w:r>
          </w:p>
        </w:tc>
        <w:tc>
          <w:tcPr/>
          <w:p>
            <w:pPr>
              <w:pStyle w:val="Compact"/>
              <w:jc w:val="left"/>
            </w:pPr>
            <w:r>
              <w:t xml:space="preserve">3.74-5.18</w:t>
            </w:r>
          </w:p>
        </w:tc>
      </w:tr>
    </w:tbl>
    <w:p>
      <w:pPr>
        <w:pStyle w:val="BodyText"/>
      </w:pPr>
      <w:r>
        <w:t xml:space="preserve">The two ranges do not overlap. The higher-diversity condition moved uniformly away from the known alternative state rather than toward it, indicating the added diversity reflects general prediction degradation rather than genuine conformational sampling.</w:t>
      </w:r>
    </w:p>
    <w:bookmarkEnd w:id="23"/>
    <w:bookmarkStart w:id="24" w:name="X359878407cc79679c01b46f38a8e27fb1348f53"/>
    <w:p>
      <w:pPr>
        <w:pStyle w:val="Heading3"/>
      </w:pPr>
      <w:r>
        <w:t xml:space="preserve">S1.4 Pair representation scaling: reproduction attempt</w:t>
      </w:r>
    </w:p>
    <w:p>
      <w:pPr>
        <w:pStyle w:val="FirstParagraph"/>
      </w:pPr>
      <w:r>
        <w:t xml:space="preserve">Method: Suzuki and Amagasa (2026), J. Chem. Inf. Model., doi.org/10.1021/acs.jcim.6c02094. Reproduced on the method’s own shipped example – RfaH, a fold-switching protein (alpha-helix vs beta-barrel), reference structures 2OUG_C (helix) and 6C6S_D (barrel).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Beta</w:t>
            </w:r>
          </w:p>
        </w:tc>
        <w:tc>
          <w:tcPr/>
          <w:p>
            <w:pPr>
              <w:pStyle w:val="Compact"/>
              <w:jc w:val="left"/>
            </w:pPr>
            <w:r>
              <w:t xml:space="preserve">n per condition</w:t>
            </w:r>
          </w:p>
        </w:tc>
        <w:tc>
          <w:tcPr/>
          <w:p>
            <w:pPr>
              <w:pStyle w:val="Compact"/>
              <w:jc w:val="left"/>
            </w:pPr>
            <w:r>
              <w:t xml:space="preserve">Mean TM-score to helix reference</w:t>
            </w:r>
          </w:p>
        </w:tc>
        <w:tc>
          <w:tcPr/>
          <w:p>
            <w:pPr>
              <w:pStyle w:val="Compact"/>
              <w:jc w:val="left"/>
            </w:pPr>
            <w:r>
              <w:t xml:space="preserve">Mean TM-score to barrel reference</w:t>
            </w:r>
          </w:p>
        </w:tc>
        <w:tc>
          <w:tcPr/>
          <w:p>
            <w:pPr>
              <w:pStyle w:val="Compact"/>
              <w:jc w:val="left"/>
            </w:pPr>
            <w:r>
              <w:t xml:space="preserve">Delta from baseline (helix, barrel)</w:t>
            </w:r>
          </w:p>
        </w:tc>
      </w:tr>
      <w:tr>
        <w:tc>
          <w:tcPr/>
          <w:p>
            <w:pPr>
              <w:pStyle w:val="Compact"/>
              <w:jc w:val="left"/>
            </w:pPr>
            <w:r>
              <w:t xml:space="preserve">-0.6</w:t>
            </w:r>
          </w:p>
        </w:tc>
        <w:tc>
          <w:tcPr/>
          <w:p>
            <w:pPr>
              <w:pStyle w:val="Compact"/>
              <w:jc w:val="left"/>
            </w:pPr>
            <w:r>
              <w:t xml:space="preserve">5</w:t>
            </w:r>
          </w:p>
        </w:tc>
        <w:tc>
          <w:tcPr/>
          <w:p>
            <w:pPr>
              <w:pStyle w:val="Compact"/>
              <w:jc w:val="left"/>
            </w:pPr>
            <w:r>
              <w:t xml:space="preserve">0.303</w:t>
            </w:r>
          </w:p>
        </w:tc>
        <w:tc>
          <w:tcPr/>
          <w:p>
            <w:pPr>
              <w:pStyle w:val="Compact"/>
              <w:jc w:val="left"/>
            </w:pPr>
            <w:r>
              <w:t xml:space="preserve">0.260</w:t>
            </w:r>
          </w:p>
        </w:tc>
        <w:tc>
          <w:tcPr/>
          <w:p>
            <w:pPr>
              <w:pStyle w:val="Compact"/>
              <w:jc w:val="left"/>
            </w:pPr>
            <w:r>
              <w:t xml:space="preserve">too noisy to interpret at this n</w:t>
            </w:r>
          </w:p>
        </w:tc>
      </w:tr>
      <w:tr>
        <w:tc>
          <w:tcPr/>
          <w:p>
            <w:pPr>
              <w:pStyle w:val="Compact"/>
              <w:jc w:val="left"/>
            </w:pPr>
            <w:r>
              <w:t xml:space="preserve">0.0</w:t>
            </w:r>
          </w:p>
        </w:tc>
        <w:tc>
          <w:tcPr/>
          <w:p>
            <w:pPr>
              <w:pStyle w:val="Compact"/>
              <w:jc w:val="left"/>
            </w:pPr>
            <w:r>
              <w:t xml:space="preserve">5</w:t>
            </w:r>
          </w:p>
        </w:tc>
        <w:tc>
          <w:tcPr/>
          <w:p>
            <w:pPr>
              <w:pStyle w:val="Compact"/>
              <w:jc w:val="left"/>
            </w:pPr>
            <w:r>
              <w:t xml:space="preserve">0.319</w:t>
            </w:r>
          </w:p>
        </w:tc>
        <w:tc>
          <w:tcPr/>
          <w:p>
            <w:pPr>
              <w:pStyle w:val="Compact"/>
              <w:jc w:val="left"/>
            </w:pPr>
            <w:r>
              <w:t xml:space="preserve">0.264</w:t>
            </w:r>
          </w:p>
        </w:tc>
        <w:tc>
          <w:tcPr/>
          <w:p>
            <w:pPr>
              <w:pStyle w:val="Compact"/>
              <w:jc w:val="left"/>
            </w:pPr>
            <w:r>
              <w:t xml:space="preserve">–</w:t>
            </w:r>
          </w:p>
        </w:tc>
      </w:tr>
      <w:tr>
        <w:tc>
          <w:tcPr/>
          <w:p>
            <w:pPr>
              <w:pStyle w:val="Compact"/>
              <w:jc w:val="left"/>
            </w:pPr>
            <w:r>
              <w:t xml:space="preserve">+0.6</w:t>
            </w:r>
          </w:p>
        </w:tc>
        <w:tc>
          <w:tcPr/>
          <w:p>
            <w:pPr>
              <w:pStyle w:val="Compact"/>
              <w:jc w:val="left"/>
            </w:pPr>
            <w:r>
              <w:t xml:space="preserve">5</w:t>
            </w:r>
          </w:p>
        </w:tc>
        <w:tc>
          <w:tcPr/>
          <w:p>
            <w:pPr>
              <w:pStyle w:val="Compact"/>
              <w:jc w:val="left"/>
            </w:pPr>
            <w:r>
              <w:t xml:space="preserve">0.369</w:t>
            </w:r>
          </w:p>
        </w:tc>
        <w:tc>
          <w:tcPr/>
          <w:p>
            <w:pPr>
              <w:pStyle w:val="Compact"/>
              <w:jc w:val="left"/>
            </w:pPr>
            <w:r>
              <w:t xml:space="preserve">0.289</w:t>
            </w:r>
          </w:p>
        </w:tc>
        <w:tc>
          <w:tcPr/>
          <w:p>
            <w:pPr>
              <w:pStyle w:val="Compact"/>
              <w:jc w:val="left"/>
            </w:pPr>
            <w:r>
              <w:t xml:space="preserve">too noisy to interpret at this n</w:t>
            </w:r>
          </w:p>
        </w:tc>
      </w:tr>
      <w:tr>
        <w:tc>
          <w:tcPr/>
          <w:p>
            <w:pPr>
              <w:pStyle w:val="Compact"/>
              <w:jc w:val="left"/>
            </w:pPr>
            <w:r>
              <w:t xml:space="preserve">-0.6</w:t>
            </w:r>
          </w:p>
        </w:tc>
        <w:tc>
          <w:tcPr/>
          <w:p>
            <w:pPr>
              <w:pStyle w:val="Compact"/>
              <w:jc w:val="left"/>
            </w:pPr>
            <w:r>
              <w:t xml:space="preserve">20</w:t>
            </w:r>
          </w:p>
        </w:tc>
        <w:tc>
          <w:tcPr/>
          <w:p>
            <w:pPr>
              <w:pStyle w:val="Compact"/>
              <w:jc w:val="left"/>
            </w:pPr>
            <w:r>
              <w:t xml:space="preserve">0.306</w:t>
            </w:r>
          </w:p>
        </w:tc>
        <w:tc>
          <w:tcPr/>
          <w:p>
            <w:pPr>
              <w:pStyle w:val="Compact"/>
              <w:jc w:val="left"/>
            </w:pPr>
            <w:r>
              <w:t xml:space="preserve">0.256</w:t>
            </w:r>
          </w:p>
        </w:tc>
        <w:tc>
          <w:tcPr/>
          <w:p>
            <w:pPr>
              <w:pStyle w:val="Compact"/>
              <w:jc w:val="left"/>
            </w:pPr>
            <w:r>
              <w:t xml:space="preserve">-0.001, +0.004</w:t>
            </w:r>
          </w:p>
        </w:tc>
      </w:tr>
      <w:tr>
        <w:tc>
          <w:tcPr/>
          <w:p>
            <w:pPr>
              <w:pStyle w:val="Compact"/>
              <w:jc w:val="left"/>
            </w:pPr>
            <w:r>
              <w:t xml:space="preserve">0.0</w:t>
            </w:r>
          </w:p>
        </w:tc>
        <w:tc>
          <w:tcPr/>
          <w:p>
            <w:pPr>
              <w:pStyle w:val="Compact"/>
              <w:jc w:val="left"/>
            </w:pPr>
            <w:r>
              <w:t xml:space="preserve">20</w:t>
            </w:r>
          </w:p>
        </w:tc>
        <w:tc>
          <w:tcPr/>
          <w:p>
            <w:pPr>
              <w:pStyle w:val="Compact"/>
              <w:jc w:val="left"/>
            </w:pPr>
            <w:r>
              <w:t xml:space="preserve">0.307</w:t>
            </w:r>
          </w:p>
        </w:tc>
        <w:tc>
          <w:tcPr/>
          <w:p>
            <w:pPr>
              <w:pStyle w:val="Compact"/>
              <w:jc w:val="left"/>
            </w:pPr>
            <w:r>
              <w:t xml:space="preserve">0.256</w:t>
            </w:r>
          </w:p>
        </w:tc>
        <w:tc>
          <w:tcPr/>
          <w:p>
            <w:pPr>
              <w:pStyle w:val="Compact"/>
              <w:jc w:val="left"/>
            </w:pPr>
            <w:r>
              <w:t xml:space="preserve">–</w:t>
            </w:r>
          </w:p>
        </w:tc>
      </w:tr>
      <w:tr>
        <w:tc>
          <w:tcPr/>
          <w:p>
            <w:pPr>
              <w:pStyle w:val="Compact"/>
              <w:jc w:val="left"/>
            </w:pPr>
            <w:r>
              <w:t xml:space="preserve">+0.6</w:t>
            </w:r>
          </w:p>
        </w:tc>
        <w:tc>
          <w:tcPr/>
          <w:p>
            <w:pPr>
              <w:pStyle w:val="Compact"/>
              <w:jc w:val="left"/>
            </w:pPr>
            <w:r>
              <w:t xml:space="preserve">20</w:t>
            </w:r>
          </w:p>
        </w:tc>
        <w:tc>
          <w:tcPr/>
          <w:p>
            <w:pPr>
              <w:pStyle w:val="Compact"/>
              <w:jc w:val="left"/>
            </w:pPr>
            <w:r>
              <w:t xml:space="preserve">0.348</w:t>
            </w:r>
          </w:p>
        </w:tc>
        <w:tc>
          <w:tcPr/>
          <w:p>
            <w:pPr>
              <w:pStyle w:val="Compact"/>
              <w:jc w:val="left"/>
            </w:pPr>
            <w:r>
              <w:t xml:space="preserve">0.288</w:t>
            </w:r>
          </w:p>
        </w:tc>
        <w:tc>
          <w:tcPr/>
          <w:p>
            <w:pPr>
              <w:pStyle w:val="Compact"/>
              <w:jc w:val="left"/>
            </w:pPr>
            <w:r>
              <w:t xml:space="preserve">+0.041, +0.032</w:t>
            </w:r>
          </w:p>
        </w:tc>
      </w:tr>
    </w:tbl>
    <w:p>
      <w:pPr>
        <w:pStyle w:val="BodyText"/>
      </w:pPr>
      <w:r>
        <w:t xml:space="preserve">A directed steering effect should move the two scores in opposite directions at each extreme. At n = 20 per condition, beta = -0.6 produced no change from baseline in either score; beta = +0.6 produced an increase in both scores together, not a trade-off. This pattern did not reproduce the method’s own reported directional effect on its own example system.</w:t>
      </w:r>
    </w:p>
    <w:p>
      <w:r>
        <w:pict>
          <v:rect style="width:0;height:1.5pt" o:hralign="center" o:hrstd="t" o:hr="t"/>
        </w:pict>
      </w:r>
    </w:p>
    <w:bookmarkEnd w:id="24"/>
    <w:bookmarkEnd w:id="25"/>
    <w:bookmarkStart w:id="29" w:name="X97aab1f79ed23eecf69ab1d3b7150f13d884357"/>
    <w:p>
      <w:pPr>
        <w:pStyle w:val="Heading2"/>
      </w:pPr>
      <w:r>
        <w:t xml:space="preserve">S2. Primary cohort curation: full audit trail</w:t>
      </w:r>
    </w:p>
    <w:bookmarkStart w:id="26" w:name="X01792114135733365433d970e8183a222afab3c"/>
    <w:p>
      <w:pPr>
        <w:pStyle w:val="Heading3"/>
      </w:pPr>
      <w:r>
        <w:t xml:space="preserve">S2.1 Original 20-target Stage 1 cohort, re-audited</w:t>
      </w:r>
    </w:p>
    <w:p>
      <w:pPr>
        <w:pStyle w:val="FirstParagraph"/>
      </w:pPr>
      <w:r>
        <w:t xml:space="preserve">Re-auditing the previously-assembled 20-target cohort against the manuscript’s four leakage criteria (training exposure of the exact deposition; training exposure of the same sequence anywhere, including embedded in a longer chain; family-level overrepresentation in training; homology logging) found 13 of 20 targets cleanly eligible for the primary analysis, against a 20-30 target design goal. 12 of the 13 are riboswitches; four of those 12 are variants of a single preQ1 subclass.</w:t>
      </w:r>
    </w:p>
    <w:bookmarkEnd w:id="26"/>
    <w:bookmarkStart w:id="27" w:name="s2.2-cohort-expansion-candidate-search"/>
    <w:p>
      <w:pPr>
        <w:pStyle w:val="Heading3"/>
      </w:pPr>
      <w:r>
        <w:t xml:space="preserve">S2.2 Cohort-expansion candidate search</w:t>
      </w:r>
    </w:p>
    <w:p>
      <w:pPr>
        <w:pStyle w:val="FirstParagraph"/>
      </w:pPr>
      <w:r>
        <w:t xml:space="preserve">13 candidates were evaluated, restricted to non-riboswitch RNA classes, against a standard requiring the available structures to test the primary hypothesis under the generative model’s declared input regime (a single RNA sequence, no partner molecule, ion, or protein supplied).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Candidate</w:t>
            </w:r>
          </w:p>
        </w:tc>
        <w:tc>
          <w:tcPr/>
          <w:p>
            <w:pPr>
              <w:pStyle w:val="Compact"/>
              <w:jc w:val="left"/>
            </w:pPr>
            <w:r>
              <w:t xml:space="preserve">Real evidence found</w:t>
            </w:r>
          </w:p>
        </w:tc>
        <w:tc>
          <w:tcPr/>
          <w:p>
            <w:pPr>
              <w:pStyle w:val="Compact"/>
              <w:jc w:val="left"/>
            </w:pPr>
            <w:r>
              <w:t xml:space="preserve">Outcome</w:t>
            </w:r>
          </w:p>
        </w:tc>
        <w:tc>
          <w:tcPr/>
          <w:p>
            <w:pPr>
              <w:pStyle w:val="Compact"/>
              <w:jc w:val="left"/>
            </w:pPr>
            <w:r>
              <w:t xml:space="preserve">Reason</w:t>
            </w:r>
          </w:p>
        </w:tc>
      </w:tr>
      <w:tr>
        <w:tc>
          <w:tcPr/>
          <w:p>
            <w:pPr>
              <w:pStyle w:val="Compact"/>
              <w:jc w:val="left"/>
            </w:pPr>
            <w:r>
              <w:t xml:space="preserve">1</w:t>
            </w:r>
          </w:p>
        </w:tc>
        <w:tc>
          <w:tcPr/>
          <w:p>
            <w:pPr>
              <w:pStyle w:val="Compact"/>
              <w:jc w:val="left"/>
            </w:pPr>
            <w:r>
              <w:t xml:space="preserve">MMTV frameshifting pseudoknot</w:t>
            </w:r>
          </w:p>
        </w:tc>
        <w:tc>
          <w:tcPr/>
          <w:p>
            <w:pPr>
              <w:pStyle w:val="Compact"/>
              <w:jc w:val="left"/>
            </w:pPr>
            <w:r>
              <w:t xml:space="preserve">Real NMR structures (1RNK, 1KPD, 1KAJ)</w:t>
            </w:r>
          </w:p>
        </w:tc>
        <w:tc>
          <w:tcPr/>
          <w:p>
            <w:pPr>
              <w:pStyle w:val="Compact"/>
              <w:jc w:val="left"/>
            </w:pPr>
            <w:r>
              <w:t xml:space="preserve">Does not qualify</w:t>
            </w:r>
          </w:p>
        </w:tc>
        <w:tc>
          <w:tcPr/>
          <w:p>
            <w:pPr>
              <w:pStyle w:val="Compact"/>
              <w:jc w:val="left"/>
            </w:pPr>
            <w:r>
              <w:t xml:space="preserve">Different point-mutant constructs per state, not the same sequence solved twice</w:t>
            </w:r>
          </w:p>
        </w:tc>
      </w:tr>
      <w:tr>
        <w:tc>
          <w:tcPr/>
          <w:p>
            <w:pPr>
              <w:pStyle w:val="Compact"/>
              <w:jc w:val="left"/>
            </w:pPr>
            <w:r>
              <w:t xml:space="preserve">2</w:t>
            </w:r>
          </w:p>
        </w:tc>
        <w:tc>
          <w:tcPr/>
          <w:p>
            <w:pPr>
              <w:pStyle w:val="Compact"/>
              <w:jc w:val="left"/>
            </w:pPr>
            <w:r>
              <w:t xml:space="preserve">HIV-1 TAR excited state</w:t>
            </w:r>
          </w:p>
        </w:tc>
        <w:tc>
          <w:tcPr/>
          <w:p>
            <w:pPr>
              <w:pStyle w:val="Compact"/>
              <w:jc w:val="left"/>
            </w:pPr>
            <w:r>
              <w:t xml:space="preserve">Real NMR/computational ensemble</w:t>
            </w:r>
          </w:p>
        </w:tc>
        <w:tc>
          <w:tcPr/>
          <w:p>
            <w:pPr>
              <w:pStyle w:val="Compact"/>
              <w:jc w:val="left"/>
            </w:pPr>
            <w:r>
              <w:t xml:space="preserve">Not a new family</w:t>
            </w:r>
          </w:p>
        </w:tc>
        <w:tc>
          <w:tcPr/>
          <w:p>
            <w:pPr>
              <w:pStyle w:val="Compact"/>
              <w:jc w:val="left"/>
            </w:pPr>
            <w:r>
              <w:t xml:space="preserve">Strengthens an existing primary-cohort target rather than adding one</w:t>
            </w:r>
          </w:p>
        </w:tc>
      </w:tr>
      <w:tr>
        <w:tc>
          <w:tcPr/>
          <w:p>
            <w:pPr>
              <w:pStyle w:val="Compact"/>
              <w:jc w:val="left"/>
            </w:pPr>
            <w:r>
              <w:t xml:space="preserve">3</w:t>
            </w:r>
          </w:p>
        </w:tc>
        <w:tc>
          <w:tcPr/>
          <w:p>
            <w:pPr>
              <w:pStyle w:val="Compact"/>
              <w:jc w:val="left"/>
            </w:pPr>
            <w:r>
              <w:t xml:space="preserve">Designed hairpin excited states</w:t>
            </w:r>
          </w:p>
        </w:tc>
        <w:tc>
          <w:tcPr/>
          <w:p>
            <w:pPr>
              <w:pStyle w:val="Compact"/>
              <w:jc w:val="left"/>
            </w:pPr>
            <w:r>
              <w:t xml:space="preserve">Real NMR, same construct, ground and excited states</w:t>
            </w:r>
          </w:p>
        </w:tc>
        <w:tc>
          <w:tcPr/>
          <w:p>
            <w:pPr>
              <w:pStyle w:val="Compact"/>
              <w:jc w:val="left"/>
            </w:pPr>
            <w:r>
              <w:t xml:space="preserve">Judgment call, not resolved</w:t>
            </w:r>
          </w:p>
        </w:tc>
        <w:tc>
          <w:tcPr/>
          <w:p>
            <w:pPr>
              <w:pStyle w:val="Compact"/>
              <w:jc w:val="left"/>
            </w:pPr>
            <w:r>
              <w:t xml:space="preserve">Engineered/synthetic sequence, not naturally occurring</w:t>
            </w:r>
          </w:p>
        </w:tc>
      </w:tr>
      <w:tr>
        <w:tc>
          <w:tcPr/>
          <w:p>
            <w:pPr>
              <w:pStyle w:val="Compact"/>
              <w:jc w:val="left"/>
            </w:pPr>
            <w:r>
              <w:t xml:space="preserve">4</w:t>
            </w:r>
          </w:p>
        </w:tc>
        <w:tc>
          <w:tcPr/>
          <w:p>
            <w:pPr>
              <w:pStyle w:val="Compact"/>
              <w:jc w:val="left"/>
            </w:pPr>
            <w:r>
              <w:t xml:space="preserve">RNA thermometer (ROSE/MicroROSE)</w:t>
            </w:r>
          </w:p>
        </w:tc>
        <w:tc>
          <w:tcPr/>
          <w:p>
            <w:pPr>
              <w:pStyle w:val="Compact"/>
              <w:jc w:val="left"/>
            </w:pPr>
            <w:r>
              <w:t xml:space="preserve">Real NMR (2GIO, 2GIP)</w:t>
            </w:r>
          </w:p>
        </w:tc>
        <w:tc>
          <w:tcPr/>
          <w:p>
            <w:pPr>
              <w:pStyle w:val="Compact"/>
              <w:jc w:val="left"/>
            </w:pPr>
            <w:r>
              <w:t xml:space="preserve">Does not qualify</w:t>
            </w:r>
          </w:p>
        </w:tc>
        <w:tc>
          <w:tcPr/>
          <w:p>
            <w:pPr>
              <w:pStyle w:val="Compact"/>
              <w:jc w:val="left"/>
            </w:pPr>
            <w:r>
              <w:t xml:space="preserve">Both depositions solved at the same temperature; no experimentally resolved high-temperature (open) structure exists for this construct</w:t>
            </w:r>
          </w:p>
        </w:tc>
      </w:tr>
      <w:tr>
        <w:tc>
          <w:tcPr/>
          <w:p>
            <w:pPr>
              <w:pStyle w:val="Compact"/>
              <w:jc w:val="left"/>
            </w:pPr>
            <w:r>
              <w:t xml:space="preserve">5</w:t>
            </w:r>
          </w:p>
        </w:tc>
        <w:tc>
          <w:tcPr/>
          <w:p>
            <w:pPr>
              <w:pStyle w:val="Compact"/>
              <w:jc w:val="left"/>
            </w:pPr>
            <w:r>
              <w:t xml:space="preserve">Group II self-splicing intron</w:t>
            </w:r>
          </w:p>
        </w:tc>
        <w:tc>
          <w:tcPr/>
          <w:p>
            <w:pPr>
              <w:pStyle w:val="Compact"/>
              <w:jc w:val="left"/>
            </w:pPr>
            <w:r>
              <w:t xml:space="preserve">Real, multiple genuine catalytic-cycle structures</w:t>
            </w:r>
          </w:p>
        </w:tc>
        <w:tc>
          <w:tcPr/>
          <w:p>
            <w:pPr>
              <w:pStyle w:val="Compact"/>
              <w:jc w:val="left"/>
            </w:pPr>
            <w:r>
              <w:t xml:space="preserve">Does not address the primary-cohort gap</w:t>
            </w:r>
          </w:p>
        </w:tc>
        <w:tc>
          <w:tcPr/>
          <w:p>
            <w:pPr>
              <w:pStyle w:val="Compact"/>
              <w:jc w:val="left"/>
            </w:pPr>
            <w:r>
              <w:t xml:space="preserve">Real evidence, but Tier 3 reaction-pathway class, already represented in the cohort</w:t>
            </w:r>
          </w:p>
        </w:tc>
      </w:tr>
      <w:tr>
        <w:tc>
          <w:tcPr/>
          <w:p>
            <w:pPr>
              <w:pStyle w:val="Compact"/>
              <w:jc w:val="left"/>
            </w:pPr>
            <w:r>
              <w:t xml:space="preserve">6</w:t>
            </w:r>
          </w:p>
        </w:tc>
        <w:tc>
          <w:tcPr/>
          <w:p>
            <w:pPr>
              <w:pStyle w:val="Compact"/>
              <w:jc w:val="left"/>
            </w:pPr>
            <w:r>
              <w:t xml:space="preserve">Telomerase RNA pseudoknot</w:t>
            </w:r>
          </w:p>
        </w:tc>
        <w:tc>
          <w:tcPr/>
          <w:p>
            <w:pPr>
              <w:pStyle w:val="Compact"/>
              <w:jc w:val="left"/>
            </w:pPr>
            <w:r>
              <w:t xml:space="preserve">Real structures (PKWT, PKDU, 1Q75)</w:t>
            </w:r>
          </w:p>
        </w:tc>
        <w:tc>
          <w:tcPr/>
          <w:p>
            <w:pPr>
              <w:pStyle w:val="Compact"/>
              <w:jc w:val="left"/>
            </w:pPr>
            <w:r>
              <w:t xml:space="preserve">Does not qualify</w:t>
            </w:r>
          </w:p>
        </w:tc>
        <w:tc>
          <w:tcPr/>
          <w:p>
            <w:pPr>
              <w:pStyle w:val="Compact"/>
              <w:jc w:val="left"/>
            </w:pPr>
            <w:r>
              <w:t xml:space="preserve">The pseudoknot-fold structures and the one hairpin-fold structure come from different constructs, not the same sequence in two states</w:t>
            </w:r>
          </w:p>
        </w:tc>
      </w:tr>
      <w:tr>
        <w:tc>
          <w:tcPr/>
          <w:p>
            <w:pPr>
              <w:pStyle w:val="Compact"/>
              <w:jc w:val="left"/>
            </w:pPr>
            <w:r>
              <w:t xml:space="preserve">7</w:t>
            </w:r>
          </w:p>
        </w:tc>
        <w:tc>
          <w:tcPr/>
          <w:p>
            <w:pPr>
              <w:pStyle w:val="Compact"/>
              <w:jc w:val="left"/>
            </w:pPr>
            <w:r>
              <w:t xml:space="preserve">HCV IRES domain IIa</w:t>
            </w:r>
          </w:p>
        </w:tc>
        <w:tc>
          <w:tcPr/>
          <w:p>
            <w:pPr>
              <w:pStyle w:val="Compact"/>
              <w:jc w:val="left"/>
            </w:pPr>
            <w:r>
              <w:t xml:space="preserve">Real apo/inhibitor-bound pair, solution-validated (FRET, 2-aminopurine)</w:t>
            </w:r>
          </w:p>
        </w:tc>
        <w:tc>
          <w:tcPr/>
          <w:p>
            <w:pPr>
              <w:pStyle w:val="Compact"/>
              <w:jc w:val="left"/>
            </w:pPr>
            <w:r>
              <w:t xml:space="preserve">Promoted to primary cohort</w:t>
            </w:r>
          </w:p>
        </w:tc>
        <w:tc>
          <w:tcPr/>
          <w:p>
            <w:pPr>
              <w:pStyle w:val="Compact"/>
              <w:jc w:val="left"/>
            </w:pPr>
            <w:r>
              <w:t xml:space="preserve">Same construct, single-chain, conformational difference independently confirmed in solution</w:t>
            </w:r>
          </w:p>
        </w:tc>
      </w:tr>
      <w:tr>
        <w:tc>
          <w:tcPr/>
          <w:p>
            <w:pPr>
              <w:pStyle w:val="Compact"/>
              <w:jc w:val="left"/>
            </w:pPr>
            <w:r>
              <w:t xml:space="preserve">8</w:t>
            </w:r>
          </w:p>
        </w:tc>
        <w:tc>
          <w:tcPr/>
          <w:p>
            <w:pPr>
              <w:pStyle w:val="Compact"/>
              <w:jc w:val="left"/>
            </w:pPr>
            <w:r>
              <w:t xml:space="preserve">HIV-1 dimerization initiation site</w:t>
            </w:r>
          </w:p>
        </w:tc>
        <w:tc>
          <w:tcPr/>
          <w:p>
            <w:pPr>
              <w:pStyle w:val="Compact"/>
              <w:jc w:val="left"/>
            </w:pPr>
            <w:r>
              <w:t xml:space="preserve">Real, leakage-clean conformational pathway</w:t>
            </w:r>
          </w:p>
        </w:tc>
        <w:tc>
          <w:tcPr/>
          <w:p>
            <w:pPr>
              <w:pStyle w:val="Compact"/>
              <w:jc w:val="left"/>
            </w:pPr>
            <w:r>
              <w:t xml:space="preserve">Secondary cohort</w:t>
            </w:r>
          </w:p>
        </w:tc>
        <w:tc>
          <w:tcPr/>
          <w:p>
            <w:pPr>
              <w:pStyle w:val="Compact"/>
              <w:jc w:val="left"/>
            </w:pPr>
            <w:r>
              <w:t xml:space="preserve">States differ in molecular stoichiometry (two-chain assembly, not one molecule in two conformations)</w:t>
            </w:r>
          </w:p>
        </w:tc>
      </w:tr>
      <w:tr>
        <w:tc>
          <w:tcPr/>
          <w:p>
            <w:pPr>
              <w:pStyle w:val="Compact"/>
              <w:jc w:val="left"/>
            </w:pPr>
            <w:r>
              <w:t xml:space="preserve">9</w:t>
            </w:r>
          </w:p>
        </w:tc>
        <w:tc>
          <w:tcPr/>
          <w:p>
            <w:pPr>
              <w:pStyle w:val="Compact"/>
              <w:jc w:val="left"/>
            </w:pPr>
            <w:r>
              <w:t xml:space="preserve">DIR2s fluorogenic aptamer</w:t>
            </w:r>
          </w:p>
        </w:tc>
        <w:tc>
          <w:tcPr/>
          <w:p>
            <w:pPr>
              <w:pStyle w:val="Compact"/>
              <w:jc w:val="left"/>
            </w:pPr>
            <w:r>
              <w:t xml:space="preserve">Real, leakage-clean apo/bound pair, highest structural resolution of any candidate</w:t>
            </w:r>
          </w:p>
        </w:tc>
        <w:tc>
          <w:tcPr/>
          <w:p>
            <w:pPr>
              <w:pStyle w:val="Compact"/>
              <w:jc w:val="left"/>
            </w:pPr>
            <w:r>
              <w:t xml:space="preserve">Secondary cohort</w:t>
            </w:r>
          </w:p>
        </w:tc>
        <w:tc>
          <w:tcPr/>
          <w:p>
            <w:pPr>
              <w:pStyle w:val="Compact"/>
              <w:jc w:val="left"/>
            </w:pPr>
            <w:r>
              <w:t xml:space="preserve">Antibody (Fab) crystallization chaperone accounts for 87% of crystal contacts; in vitro-selected, not naturally occurring</w:t>
            </w:r>
          </w:p>
        </w:tc>
      </w:tr>
      <w:tr>
        <w:tc>
          <w:tcPr/>
          <w:p>
            <w:pPr>
              <w:pStyle w:val="Compact"/>
              <w:jc w:val="left"/>
            </w:pPr>
            <w:r>
              <w:t xml:space="preserve">10</w:t>
            </w:r>
          </w:p>
        </w:tc>
        <w:tc>
          <w:tcPr/>
          <w:p>
            <w:pPr>
              <w:pStyle w:val="Compact"/>
              <w:jc w:val="left"/>
            </w:pPr>
            <w:r>
              <w:t xml:space="preserve">Iron-responsive element (IRE)</w:t>
            </w:r>
          </w:p>
        </w:tc>
        <w:tc>
          <w:tcPr/>
          <w:p>
            <w:pPr>
              <w:pStyle w:val="Compact"/>
              <w:jc w:val="left"/>
            </w:pPr>
            <w:r>
              <w:t xml:space="preserve">Real, leakage-clean free-state structure</w:t>
            </w:r>
          </w:p>
        </w:tc>
        <w:tc>
          <w:tcPr/>
          <w:p>
            <w:pPr>
              <w:pStyle w:val="Compact"/>
              <w:jc w:val="left"/>
            </w:pPr>
            <w:r>
              <w:t xml:space="preserve">Secondary cohort</w:t>
            </w:r>
          </w:p>
        </w:tc>
        <w:tc>
          <w:tcPr/>
          <w:p>
            <w:pPr>
              <w:pStyle w:val="Compact"/>
              <w:jc w:val="left"/>
            </w:pPr>
            <w:r>
              <w:t xml:space="preserve">Bound conformation requires a protein partner (IRP) not supplied to the model</w:t>
            </w:r>
          </w:p>
        </w:tc>
      </w:tr>
      <w:tr>
        <w:tc>
          <w:tcPr/>
          <w:p>
            <w:pPr>
              <w:pStyle w:val="Compact"/>
              <w:jc w:val="left"/>
            </w:pPr>
            <w:r>
              <w:t xml:space="preserve">11</w:t>
            </w:r>
          </w:p>
        </w:tc>
        <w:tc>
          <w:tcPr/>
          <w:p>
            <w:pPr>
              <w:pStyle w:val="Compact"/>
              <w:jc w:val="left"/>
            </w:pPr>
            <w:r>
              <w:t xml:space="preserve">r(CUG) repeat expansion</w:t>
            </w:r>
          </w:p>
        </w:tc>
        <w:tc>
          <w:tcPr/>
          <w:p>
            <w:pPr>
              <w:pStyle w:val="Compact"/>
              <w:jc w:val="left"/>
            </w:pPr>
            <w:r>
              <w:t xml:space="preserve">Real NMR, no chaperone required</w:t>
            </w:r>
          </w:p>
        </w:tc>
        <w:tc>
          <w:tcPr/>
          <w:p>
            <w:pPr>
              <w:pStyle w:val="Compact"/>
              <w:jc w:val="left"/>
            </w:pPr>
            <w:r>
              <w:t xml:space="preserve">Does not qualify</w:t>
            </w:r>
          </w:p>
        </w:tc>
        <w:tc>
          <w:tcPr/>
          <w:p>
            <w:pPr>
              <w:pStyle w:val="Compact"/>
              <w:jc w:val="left"/>
            </w:pPr>
            <w:r>
              <w:t xml:space="preserve">Structures are self-complementary duplexes (two chains of the same sequence), not a single-chain hairpin</w:t>
            </w:r>
          </w:p>
        </w:tc>
      </w:tr>
      <w:tr>
        <w:tc>
          <w:tcPr/>
          <w:p>
            <w:pPr>
              <w:pStyle w:val="Compact"/>
              <w:jc w:val="left"/>
            </w:pPr>
            <w:r>
              <w:t xml:space="preserve">12</w:t>
            </w:r>
          </w:p>
        </w:tc>
        <w:tc>
          <w:tcPr/>
          <w:p>
            <w:pPr>
              <w:pStyle w:val="Compact"/>
              <w:jc w:val="left"/>
            </w:pPr>
            <w:r>
              <w:t xml:space="preserve">tP5abc (Mg2+-induced folding)</w:t>
            </w:r>
          </w:p>
        </w:tc>
        <w:tc>
          <w:tcPr/>
          <w:p>
            <w:pPr>
              <w:pStyle w:val="Compact"/>
              <w:jc w:val="left"/>
            </w:pPr>
            <w:r>
              <w:t xml:space="preserve">Real NMR evidence both states exist (chemical exchange)</w:t>
            </w:r>
          </w:p>
        </w:tc>
        <w:tc>
          <w:tcPr/>
          <w:p>
            <w:pPr>
              <w:pStyle w:val="Compact"/>
              <w:jc w:val="left"/>
            </w:pPr>
            <w:r>
              <w:t xml:space="preserve">Does not qualify</w:t>
            </w:r>
          </w:p>
        </w:tc>
        <w:tc>
          <w:tcPr/>
          <w:p>
            <w:pPr>
              <w:pStyle w:val="Compact"/>
              <w:jc w:val="left"/>
            </w:pPr>
            <w:r>
              <w:t xml:space="preserve">Only the unfolded state has an independent structural determination; the folded-state reference is a model derived from a separate, larger construct’s crystal</w:t>
            </w:r>
          </w:p>
        </w:tc>
      </w:tr>
      <w:tr>
        <w:tc>
          <w:tcPr/>
          <w:p>
            <w:pPr>
              <w:pStyle w:val="Compact"/>
              <w:jc w:val="left"/>
            </w:pPr>
            <w:r>
              <w:t xml:space="preserve">13</w:t>
            </w:r>
          </w:p>
        </w:tc>
        <w:tc>
          <w:tcPr/>
          <w:p>
            <w:pPr>
              <w:pStyle w:val="Compact"/>
              <w:jc w:val="left"/>
            </w:pPr>
            <w:r>
              <w:t xml:space="preserve">K-turn motif</w:t>
            </w:r>
          </w:p>
        </w:tc>
        <w:tc>
          <w:tcPr/>
          <w:p>
            <w:pPr>
              <w:pStyle w:val="Compact"/>
              <w:jc w:val="left"/>
            </w:pPr>
            <w:r>
              <w:t xml:space="preserve">Real structures (2KR8, 2OZB)</w:t>
            </w:r>
          </w:p>
        </w:tc>
        <w:tc>
          <w:tcPr/>
          <w:p>
            <w:pPr>
              <w:pStyle w:val="Compact"/>
              <w:jc w:val="left"/>
            </w:pPr>
            <w:r>
              <w:t xml:space="preserve">Does not qualify</w:t>
            </w:r>
          </w:p>
        </w:tc>
        <w:tc>
          <w:tcPr/>
          <w:p>
            <w:pPr>
              <w:pStyle w:val="Compact"/>
              <w:jc w:val="left"/>
            </w:pPr>
            <w:r>
              <w:t xml:space="preserve">The deposited pair is unbound-versus-protein-bound; no deposited structure pair exists for the genuine ion-only equilibrium reported separately in the literature</w:t>
            </w:r>
          </w:p>
        </w:tc>
      </w:tr>
    </w:tbl>
    <w:bookmarkEnd w:id="27"/>
    <w:bookmarkStart w:id="28" w:name="Xd4132c6fe6aefb2feff62f85140b400f1fe6353"/>
    <w:p>
      <w:pPr>
        <w:pStyle w:val="Heading3"/>
      </w:pPr>
      <w:r>
        <w:t xml:space="preserve">S2.3 Final tier-adjudication decision framework</w:t>
      </w:r>
    </w:p>
    <w:p>
      <w:pPr>
        <w:pStyle w:val="FirstParagraph"/>
      </w:pPr>
      <w:r>
        <w:t xml:space="preserve">Four candidates passed the leakage audit cleanly (S2.2, rows 7-10). A single standard was applied to decide primary-cohort inclusion: the available structures must test the primary hypothesis under the model’s declared input regime. Disclosure of a caveat was treated as necessary but not sufficient when the caveat changes what is being tested, not merely how novel the evidence 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Candidate</w:t>
            </w:r>
          </w:p>
        </w:tc>
        <w:tc>
          <w:tcPr/>
          <w:p>
            <w:pPr>
              <w:pStyle w:val="Compact"/>
              <w:jc w:val="left"/>
            </w:pPr>
            <w:r>
              <w:t xml:space="preserve">Caveat type</w:t>
            </w:r>
          </w:p>
        </w:tc>
        <w:tc>
          <w:tcPr/>
          <w:p>
            <w:pPr>
              <w:pStyle w:val="Compact"/>
              <w:jc w:val="left"/>
            </w:pPr>
            <w:r>
              <w:t xml:space="preserve">Decision</w:t>
            </w:r>
          </w:p>
        </w:tc>
      </w:tr>
      <w:tr>
        <w:tc>
          <w:tcPr/>
          <w:p>
            <w:pPr>
              <w:pStyle w:val="Compact"/>
              <w:jc w:val="left"/>
            </w:pPr>
            <w:r>
              <w:t xml:space="preserve">HCV IRES domain IIa</w:t>
            </w:r>
          </w:p>
        </w:tc>
        <w:tc>
          <w:tcPr/>
          <w:p>
            <w:pPr>
              <w:pStyle w:val="Compact"/>
              <w:jc w:val="left"/>
            </w:pPr>
            <w:r>
              <w:t xml:space="preserve">None disqualifying; ligand-induced switch mechanism only</w:t>
            </w:r>
          </w:p>
        </w:tc>
        <w:tc>
          <w:tcPr/>
          <w:p>
            <w:pPr>
              <w:pStyle w:val="Compact"/>
              <w:jc w:val="left"/>
            </w:pPr>
            <w:r>
              <w:t xml:space="preserve">Primary cohort</w:t>
            </w:r>
          </w:p>
        </w:tc>
      </w:tr>
      <w:tr>
        <w:tc>
          <w:tcPr/>
          <w:p>
            <w:pPr>
              <w:pStyle w:val="Compact"/>
              <w:jc w:val="left"/>
            </w:pPr>
            <w:r>
              <w:t xml:space="preserve">Iron-responsive element</w:t>
            </w:r>
          </w:p>
        </w:tc>
        <w:tc>
          <w:tcPr/>
          <w:p>
            <w:pPr>
              <w:pStyle w:val="Compact"/>
              <w:jc w:val="left"/>
            </w:pPr>
            <w:r>
              <w:t xml:space="preserve">Validity – required protein partner not supplied to the model</w:t>
            </w:r>
          </w:p>
        </w:tc>
        <w:tc>
          <w:tcPr/>
          <w:p>
            <w:pPr>
              <w:pStyle w:val="Compact"/>
              <w:jc w:val="left"/>
            </w:pPr>
            <w:r>
              <w:t xml:space="preserve">Secondary cohort</w:t>
            </w:r>
          </w:p>
        </w:tc>
      </w:tr>
      <w:tr>
        <w:tc>
          <w:tcPr/>
          <w:p>
            <w:pPr>
              <w:pStyle w:val="Compact"/>
              <w:jc w:val="left"/>
            </w:pPr>
            <w:r>
              <w:t xml:space="preserve">HIV-1 dimerization initiation site</w:t>
            </w:r>
          </w:p>
        </w:tc>
        <w:tc>
          <w:tcPr/>
          <w:p>
            <w:pPr>
              <w:pStyle w:val="Compact"/>
              <w:jc w:val="left"/>
            </w:pPr>
            <w:r>
              <w:t xml:space="preserve">Validity – molecular stoichiometry mismatch</w:t>
            </w:r>
          </w:p>
        </w:tc>
        <w:tc>
          <w:tcPr/>
          <w:p>
            <w:pPr>
              <w:pStyle w:val="Compact"/>
              <w:jc w:val="left"/>
            </w:pPr>
            <w:r>
              <w:t xml:space="preserve">Secondary cohort</w:t>
            </w:r>
          </w:p>
        </w:tc>
      </w:tr>
      <w:tr>
        <w:tc>
          <w:tcPr/>
          <w:p>
            <w:pPr>
              <w:pStyle w:val="Compact"/>
              <w:jc w:val="left"/>
            </w:pPr>
            <w:r>
              <w:t xml:space="preserve">DIR2s aptamer</w:t>
            </w:r>
          </w:p>
        </w:tc>
        <w:tc>
          <w:tcPr/>
          <w:p>
            <w:pPr>
              <w:pStyle w:val="Compact"/>
              <w:jc w:val="left"/>
            </w:pPr>
            <w:r>
              <w:t xml:space="preserve">Diversity – still a ligand-induced switch, plus construct engineering</w:t>
            </w:r>
          </w:p>
        </w:tc>
        <w:tc>
          <w:tcPr/>
          <w:p>
            <w:pPr>
              <w:pStyle w:val="Compact"/>
              <w:jc w:val="left"/>
            </w:pPr>
            <w:r>
              <w:t xml:space="preserve">Secondary cohort</w:t>
            </w:r>
          </w:p>
        </w:tc>
      </w:tr>
    </w:tbl>
    <w:p>
      <w:pPr>
        <w:pStyle w:val="BodyText"/>
      </w:pPr>
      <w:r>
        <w:t xml:space="preserve">Net effect: primary cohort rises from 13 to 14 targets, against a 20-30 target design goal.</w:t>
      </w:r>
    </w:p>
    <w:p>
      <w:r>
        <w:pict>
          <v:rect style="width:0;height:1.5pt" o:hralign="center" o:hrstd="t" o:hr="t"/>
        </w:pict>
      </w:r>
    </w:p>
    <w:bookmarkEnd w:id="28"/>
    <w:bookmarkEnd w:id="29"/>
    <w:bookmarkStart w:id="34" w:name="X5497e17c9bac612845cc6407581f07866b84441"/>
    <w:p>
      <w:pPr>
        <w:pStyle w:val="Heading2"/>
      </w:pPr>
      <w:r>
        <w:t xml:space="preserve">S3. Pipeline corrections and their quantified impact</w:t>
      </w:r>
    </w:p>
    <w:bookmarkStart w:id="30" w:name="X478ff8410990bcb1c5c9551709cba4dd96a3f37"/>
    <w:p>
      <w:pPr>
        <w:pStyle w:val="Heading3"/>
      </w:pPr>
      <w:r>
        <w:t xml:space="preserve">S3.1 Pseudoknot-annotation audit, all targets checked</w:t>
      </w:r>
    </w:p>
    <w:p>
      <w:pPr>
        <w:pStyle w:val="FirstParagraph"/>
      </w:pPr>
      <w:r>
        <w:t xml:space="preserve">The three-tool secondary-structure consensus (MXfold2, SimFold, CONTRAfold) has no mechanism for representing a crossing (pseudoknotted) base-pair interaction. Every target intended for generation was checked with IPknot before its first generation run; where IPknot found at least one genuine crossing pair, its complete prediction replaced the three-tool consensus rather than being merged into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Target</w:t>
            </w:r>
          </w:p>
        </w:tc>
        <w:tc>
          <w:tcPr/>
          <w:p>
            <w:pPr>
              <w:pStyle w:val="Compact"/>
              <w:jc w:val="left"/>
            </w:pPr>
            <w:r>
              <w:t xml:space="preserve">Crossing pairs found</w:t>
            </w:r>
          </w:p>
        </w:tc>
        <w:tc>
          <w:tcPr/>
          <w:p>
            <w:pPr>
              <w:pStyle w:val="Compact"/>
              <w:jc w:val="left"/>
            </w:pPr>
            <w:r>
              <w:t xml:space="preserve">Correction applied</w:t>
            </w:r>
          </w:p>
        </w:tc>
      </w:tr>
      <w:tr>
        <w:tc>
          <w:tcPr/>
          <w:p>
            <w:pPr>
              <w:pStyle w:val="Compact"/>
              <w:jc w:val="left"/>
            </w:pPr>
            <w:r>
              <w:t xml:space="preserve">1Y26</w:t>
            </w:r>
          </w:p>
        </w:tc>
        <w:tc>
          <w:tcPr/>
          <w:p>
            <w:pPr>
              <w:pStyle w:val="Compact"/>
              <w:jc w:val="left"/>
            </w:pPr>
            <w:r>
              <w:t xml:space="preserve">2</w:t>
            </w:r>
          </w:p>
        </w:tc>
        <w:tc>
          <w:tcPr/>
          <w:p>
            <w:pPr>
              <w:pStyle w:val="Compact"/>
              <w:jc w:val="left"/>
            </w:pPr>
            <w:r>
              <w:t xml:space="preserve">Yes</w:t>
            </w:r>
          </w:p>
        </w:tc>
      </w:tr>
      <w:tr>
        <w:tc>
          <w:tcPr/>
          <w:p>
            <w:pPr>
              <w:pStyle w:val="Compact"/>
              <w:jc w:val="left"/>
            </w:pPr>
            <w:r>
              <w:t xml:space="preserve">2MIY</w:t>
            </w:r>
          </w:p>
        </w:tc>
        <w:tc>
          <w:tcPr/>
          <w:p>
            <w:pPr>
              <w:pStyle w:val="Compact"/>
              <w:jc w:val="left"/>
            </w:pPr>
            <w:r>
              <w:t xml:space="preserve">0</w:t>
            </w:r>
          </w:p>
        </w:tc>
        <w:tc>
          <w:tcPr/>
          <w:p>
            <w:pPr>
              <w:pStyle w:val="Compact"/>
              <w:jc w:val="left"/>
            </w:pPr>
            <w:r>
              <w:t xml:space="preserve">No (confirmed negative – ligand-induced pseudoknot not expected in the unbound sequence)</w:t>
            </w:r>
          </w:p>
        </w:tc>
      </w:tr>
      <w:tr>
        <w:tc>
          <w:tcPr/>
          <w:p>
            <w:pPr>
              <w:pStyle w:val="Compact"/>
              <w:jc w:val="left"/>
            </w:pPr>
            <w:r>
              <w:t xml:space="preserve">4RZD</w:t>
            </w:r>
          </w:p>
        </w:tc>
        <w:tc>
          <w:tcPr/>
          <w:p>
            <w:pPr>
              <w:pStyle w:val="Compact"/>
              <w:jc w:val="left"/>
            </w:pPr>
            <w:r>
              <w:t xml:space="preserve">7</w:t>
            </w:r>
          </w:p>
        </w:tc>
        <w:tc>
          <w:tcPr/>
          <w:p>
            <w:pPr>
              <w:pStyle w:val="Compact"/>
              <w:jc w:val="left"/>
            </w:pPr>
            <w:r>
              <w:t xml:space="preserve">Yes</w:t>
            </w:r>
          </w:p>
        </w:tc>
      </w:tr>
      <w:tr>
        <w:tc>
          <w:tcPr/>
          <w:p>
            <w:pPr>
              <w:pStyle w:val="Compact"/>
              <w:jc w:val="left"/>
            </w:pPr>
            <w:r>
              <w:t xml:space="preserve">5KH8</w:t>
            </w:r>
          </w:p>
        </w:tc>
        <w:tc>
          <w:tcPr/>
          <w:p>
            <w:pPr>
              <w:pStyle w:val="Compact"/>
              <w:jc w:val="left"/>
            </w:pPr>
            <w:r>
              <w:t xml:space="preserve">4</w:t>
            </w:r>
          </w:p>
        </w:tc>
        <w:tc>
          <w:tcPr/>
          <w:p>
            <w:pPr>
              <w:pStyle w:val="Compact"/>
              <w:jc w:val="left"/>
            </w:pPr>
            <w:r>
              <w:t xml:space="preserve">Yes</w:t>
            </w:r>
          </w:p>
        </w:tc>
      </w:tr>
      <w:tr>
        <w:tc>
          <w:tcPr/>
          <w:p>
            <w:pPr>
              <w:pStyle w:val="Compact"/>
              <w:jc w:val="left"/>
            </w:pPr>
            <w:r>
              <w:t xml:space="preserve">7KD1</w:t>
            </w:r>
          </w:p>
        </w:tc>
        <w:tc>
          <w:tcPr/>
          <w:p>
            <w:pPr>
              <w:pStyle w:val="Compact"/>
              <w:jc w:val="left"/>
            </w:pPr>
            <w:r>
              <w:t xml:space="preserve">2</w:t>
            </w:r>
          </w:p>
        </w:tc>
        <w:tc>
          <w:tcPr/>
          <w:p>
            <w:pPr>
              <w:pStyle w:val="Compact"/>
              <w:jc w:val="left"/>
            </w:pPr>
            <w:r>
              <w:t xml:space="preserve">Yes</w:t>
            </w:r>
          </w:p>
        </w:tc>
      </w:tr>
      <w:tr>
        <w:tc>
          <w:tcPr/>
          <w:p>
            <w:pPr>
              <w:pStyle w:val="Compact"/>
              <w:jc w:val="left"/>
            </w:pPr>
            <w:r>
              <w:t xml:space="preserve">5E54</w:t>
            </w:r>
          </w:p>
        </w:tc>
        <w:tc>
          <w:tcPr/>
          <w:p>
            <w:pPr>
              <w:pStyle w:val="Compact"/>
              <w:jc w:val="left"/>
            </w:pPr>
            <w:r>
              <w:t xml:space="preserve">2</w:t>
            </w:r>
          </w:p>
        </w:tc>
        <w:tc>
          <w:tcPr/>
          <w:p>
            <w:pPr>
              <w:pStyle w:val="Compact"/>
              <w:jc w:val="left"/>
            </w:pPr>
            <w:r>
              <w:t xml:space="preserve">Yes (shares 1Y26’s sequence-identical core)</w:t>
            </w:r>
          </w:p>
        </w:tc>
      </w:tr>
      <w:tr>
        <w:tc>
          <w:tcPr/>
          <w:p>
            <w:pPr>
              <w:pStyle w:val="Compact"/>
              <w:jc w:val="left"/>
            </w:pPr>
            <w:r>
              <w:t xml:space="preserve">T02</w:t>
            </w:r>
          </w:p>
        </w:tc>
        <w:tc>
          <w:tcPr/>
          <w:p>
            <w:pPr>
              <w:pStyle w:val="Compact"/>
              <w:jc w:val="left"/>
            </w:pPr>
            <w:r>
              <w:t xml:space="preserve">0</w:t>
            </w:r>
          </w:p>
        </w:tc>
        <w:tc>
          <w:tcPr/>
          <w:p>
            <w:pPr>
              <w:pStyle w:val="Compact"/>
              <w:jc w:val="left"/>
            </w:pPr>
            <w:r>
              <w:t xml:space="preserve">No</w:t>
            </w:r>
          </w:p>
        </w:tc>
      </w:tr>
      <w:tr>
        <w:tc>
          <w:tcPr/>
          <w:p>
            <w:pPr>
              <w:pStyle w:val="Compact"/>
              <w:jc w:val="left"/>
            </w:pPr>
            <w:r>
              <w:t xml:space="preserve">T04</w:t>
            </w:r>
          </w:p>
        </w:tc>
        <w:tc>
          <w:tcPr/>
          <w:p>
            <w:pPr>
              <w:pStyle w:val="Compact"/>
              <w:jc w:val="left"/>
            </w:pPr>
            <w:r>
              <w:t xml:space="preserve">0</w:t>
            </w:r>
          </w:p>
        </w:tc>
        <w:tc>
          <w:tcPr/>
          <w:p>
            <w:pPr>
              <w:pStyle w:val="Compact"/>
              <w:jc w:val="left"/>
            </w:pPr>
            <w:r>
              <w:t xml:space="preserve">No</w:t>
            </w:r>
          </w:p>
        </w:tc>
      </w:tr>
      <w:tr>
        <w:tc>
          <w:tcPr/>
          <w:p>
            <w:pPr>
              <w:pStyle w:val="Compact"/>
              <w:jc w:val="left"/>
            </w:pPr>
            <w:r>
              <w:t xml:space="preserve">T06</w:t>
            </w:r>
          </w:p>
        </w:tc>
        <w:tc>
          <w:tcPr/>
          <w:p>
            <w:pPr>
              <w:pStyle w:val="Compact"/>
              <w:jc w:val="left"/>
            </w:pPr>
            <w:r>
              <w:t xml:space="preserve">0</w:t>
            </w:r>
          </w:p>
        </w:tc>
        <w:tc>
          <w:tcPr/>
          <w:p>
            <w:pPr>
              <w:pStyle w:val="Compact"/>
              <w:jc w:val="left"/>
            </w:pPr>
            <w:r>
              <w:t xml:space="preserve">No</w:t>
            </w:r>
          </w:p>
        </w:tc>
      </w:tr>
      <w:tr>
        <w:tc>
          <w:tcPr/>
          <w:p>
            <w:pPr>
              <w:pStyle w:val="Compact"/>
              <w:jc w:val="left"/>
            </w:pPr>
            <w:r>
              <w:t xml:space="preserve">T07</w:t>
            </w:r>
          </w:p>
        </w:tc>
        <w:tc>
          <w:tcPr/>
          <w:p>
            <w:pPr>
              <w:pStyle w:val="Compact"/>
              <w:jc w:val="left"/>
            </w:pPr>
            <w:r>
              <w:t xml:space="preserve">2</w:t>
            </w:r>
          </w:p>
        </w:tc>
        <w:tc>
          <w:tcPr/>
          <w:p>
            <w:pPr>
              <w:pStyle w:val="Compact"/>
              <w:jc w:val="left"/>
            </w:pPr>
            <w:r>
              <w:t xml:space="preserve">Yes</w:t>
            </w:r>
          </w:p>
        </w:tc>
      </w:tr>
      <w:tr>
        <w:tc>
          <w:tcPr/>
          <w:p>
            <w:pPr>
              <w:pStyle w:val="Compact"/>
              <w:jc w:val="left"/>
            </w:pPr>
            <w:r>
              <w:t xml:space="preserve">T09</w:t>
            </w:r>
          </w:p>
        </w:tc>
        <w:tc>
          <w:tcPr/>
          <w:p>
            <w:pPr>
              <w:pStyle w:val="Compact"/>
              <w:jc w:val="left"/>
            </w:pPr>
            <w:r>
              <w:t xml:space="preserve">6</w:t>
            </w:r>
          </w:p>
        </w:tc>
        <w:tc>
          <w:tcPr/>
          <w:p>
            <w:pPr>
              <w:pStyle w:val="Compact"/>
              <w:jc w:val="left"/>
            </w:pPr>
            <w:r>
              <w:t xml:space="preserve">Yes (the most of any target checked)</w:t>
            </w:r>
          </w:p>
        </w:tc>
      </w:tr>
      <w:tr>
        <w:tc>
          <w:tcPr/>
          <w:p>
            <w:pPr>
              <w:pStyle w:val="Compact"/>
              <w:jc w:val="left"/>
            </w:pPr>
            <w:r>
              <w:t xml:space="preserve">HCV IRES domain IIa (1P5M)</w:t>
            </w:r>
          </w:p>
        </w:tc>
        <w:tc>
          <w:tcPr/>
          <w:p>
            <w:pPr>
              <w:pStyle w:val="Compact"/>
              <w:jc w:val="left"/>
            </w:pPr>
            <w:r>
              <w:t xml:space="preserve">0</w:t>
            </w:r>
          </w:p>
        </w:tc>
        <w:tc>
          <w:tcPr/>
          <w:p>
            <w:pPr>
              <w:pStyle w:val="Compact"/>
              <w:jc w:val="left"/>
            </w:pPr>
            <w:r>
              <w:t xml:space="preserve">No</w:t>
            </w:r>
          </w:p>
        </w:tc>
      </w:tr>
    </w:tbl>
    <w:p>
      <w:pPr>
        <w:pStyle w:val="BodyText"/>
      </w:pPr>
      <w:r>
        <w:t xml:space="preserve">Six of 11 pilot- and Stage 4-generation targets checked required a real topology correction before their first generation run.</w:t>
      </w:r>
    </w:p>
    <w:bookmarkEnd w:id="30"/>
    <w:bookmarkStart w:id="31" w:name="X40c050639bc8bcbb4383af7a1b22c55cf817d13"/>
    <w:p>
      <w:pPr>
        <w:pStyle w:val="Heading3"/>
      </w:pPr>
      <w:r>
        <w:t xml:space="preserve">S3.2 T01 representative correction and its effect on the primary finding</w:t>
      </w:r>
    </w:p>
    <w:p>
      <w:pPr>
        <w:pStyle w:val="FirstParagraph"/>
      </w:pPr>
      <w:r>
        <w:t xml:space="preserve">1Y26, used as T01’s representative throughout initial pilot analysis, is training-exposed and fails the primary leakage criterion; the correct, clean primary-cohort representative is 5E54 (apo). Replacing 1Y26 with 5E54 changed the cohort-wide signal-to-floor tally materially.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Distance dimensions clearing noise floor</w:t>
            </w:r>
          </w:p>
        </w:tc>
        <w:tc>
          <w:tcPr/>
          <w:p>
            <w:pPr>
              <w:pStyle w:val="Compact"/>
              <w:jc w:val="left"/>
            </w:pPr>
            <w:r>
              <w:t xml:space="preserve">Angle dimensions clearing noise floor</w:t>
            </w:r>
          </w:p>
        </w:tc>
      </w:tr>
      <w:tr>
        <w:tc>
          <w:tcPr/>
          <w:p>
            <w:pPr>
              <w:pStyle w:val="Compact"/>
              <w:jc w:val="left"/>
            </w:pPr>
            <w:r>
              <w:t xml:space="preserve">Original K = 50 pilot (1Y26)</w:t>
            </w:r>
          </w:p>
        </w:tc>
        <w:tc>
          <w:tcPr/>
          <w:p>
            <w:pPr>
              <w:pStyle w:val="Compact"/>
              <w:jc w:val="left"/>
            </w:pPr>
            <w:r>
              <w:t xml:space="preserve">4/11 (36%)</w:t>
            </w:r>
          </w:p>
        </w:tc>
        <w:tc>
          <w:tcPr/>
          <w:p>
            <w:pPr>
              <w:pStyle w:val="Compact"/>
              <w:jc w:val="left"/>
            </w:pPr>
            <w:r>
              <w:t xml:space="preserve">6/11 (55%)</w:t>
            </w:r>
          </w:p>
        </w:tc>
      </w:tr>
      <w:tr>
        <w:tc>
          <w:tcPr/>
          <w:p>
            <w:pPr>
              <w:pStyle w:val="Compact"/>
              <w:jc w:val="left"/>
            </w:pPr>
            <w:r>
              <w:t xml:space="preserve">K = 100, uncorrected topology (1Y26)</w:t>
            </w:r>
          </w:p>
        </w:tc>
        <w:tc>
          <w:tcPr/>
          <w:p>
            <w:pPr>
              <w:pStyle w:val="Compact"/>
              <w:jc w:val="left"/>
            </w:pPr>
            <w:r>
              <w:t xml:space="preserve">4/11 (36%)</w:t>
            </w:r>
          </w:p>
        </w:tc>
        <w:tc>
          <w:tcPr/>
          <w:p>
            <w:pPr>
              <w:pStyle w:val="Compact"/>
              <w:jc w:val="left"/>
            </w:pPr>
            <w:r>
              <w:t xml:space="preserve">6/11 (55%)</w:t>
            </w:r>
          </w:p>
        </w:tc>
      </w:tr>
      <w:tr>
        <w:tc>
          <w:tcPr/>
          <w:p>
            <w:pPr>
              <w:pStyle w:val="Compact"/>
              <w:jc w:val="left"/>
            </w:pPr>
            <w:r>
              <w:t xml:space="preserve">K = 100, 7KD1 topology corrected only (1Y26)</w:t>
            </w:r>
          </w:p>
        </w:tc>
        <w:tc>
          <w:tcPr/>
          <w:p>
            <w:pPr>
              <w:pStyle w:val="Compact"/>
              <w:jc w:val="left"/>
            </w:pPr>
            <w:r>
              <w:t xml:space="preserve">3/13 (23%)</w:t>
            </w:r>
          </w:p>
        </w:tc>
        <w:tc>
          <w:tcPr/>
          <w:p>
            <w:pPr>
              <w:pStyle w:val="Compact"/>
              <w:jc w:val="left"/>
            </w:pPr>
            <w:r>
              <w:t xml:space="preserve">6/13 (46%)</w:t>
            </w:r>
          </w:p>
        </w:tc>
      </w:tr>
      <w:tr>
        <w:tc>
          <w:tcPr/>
          <w:p>
            <w:pPr>
              <w:pStyle w:val="Compact"/>
              <w:jc w:val="left"/>
            </w:pPr>
            <w:r>
              <w:t xml:space="preserve">K = 100, both corrections applied (still 1Y26)</w:t>
            </w:r>
          </w:p>
        </w:tc>
        <w:tc>
          <w:tcPr/>
          <w:p>
            <w:pPr>
              <w:pStyle w:val="Compact"/>
              <w:jc w:val="left"/>
            </w:pPr>
            <w:r>
              <w:t xml:space="preserve">3/15 (20%)</w:t>
            </w:r>
          </w:p>
        </w:tc>
        <w:tc>
          <w:tcPr/>
          <w:p>
            <w:pPr>
              <w:pStyle w:val="Compact"/>
              <w:jc w:val="left"/>
            </w:pPr>
            <w:r>
              <w:t xml:space="preserve">7/15 (47%)</w:t>
            </w:r>
          </w:p>
        </w:tc>
      </w:tr>
      <w:tr>
        <w:tc>
          <w:tcPr/>
          <w:p>
            <w:pPr>
              <w:pStyle w:val="Compact"/>
              <w:jc w:val="left"/>
            </w:pPr>
            <w:r>
              <w:t xml:space="preserve">K = 100, true final (5E54 replacing 1Y26)</w:t>
            </w:r>
          </w:p>
        </w:tc>
        <w:tc>
          <w:tcPr/>
          <w:p>
            <w:pPr>
              <w:pStyle w:val="Compact"/>
              <w:jc w:val="left"/>
            </w:pPr>
            <w:r>
              <w:t xml:space="preserve">3/15 (20%)</w:t>
            </w:r>
          </w:p>
        </w:tc>
        <w:tc>
          <w:tcPr/>
          <w:p>
            <w:pPr>
              <w:pStyle w:val="Compact"/>
              <w:jc w:val="left"/>
            </w:pPr>
            <w:r>
              <w:t xml:space="preserve">4/15 (27%)</w:t>
            </w:r>
          </w:p>
        </w:tc>
      </w:tr>
    </w:tbl>
    <w:p>
      <w:pPr>
        <w:pStyle w:val="BodyText"/>
      </w:pPr>
      <w:r>
        <w:t xml:space="preserve">T01 alone, at the time this table was first compiled (before the perturbation-generation defect in S3.4 was found): with 1Y26, three of five angle dimensions cleared the floor (maximum value 11.11); with 5E54, zero of five cleared (maximum value 0.67). This was read at the time as the training-exposed target showing a stronger apparent signal than its clean counterpart.</w:t>
      </w:r>
      <w:r>
        <w:t xml:space="preserve"> </w:t>
      </w:r>
      <w:r>
        <w:rPr>
          <w:bCs/>
          <w:b/>
        </w:rPr>
        <w:t xml:space="preserve">This comparison does not hold under the corrected perturbation procedure.</w:t>
      </w:r>
      <w:r>
        <w:t xml:space="preserve"> </w:t>
      </w:r>
      <w:r>
        <w:t xml:space="preserve">Recomputed after the S3.4 fix, 1Y26 and 5E54 show identical clearing counts (distance 1/5, angle 3/5, both) – the apparent difference reported here was itself contaminated by the same defect responsible for the rest of this table’s revisions, not an independent demonstration that training exposure inflates apparent signal. The T01 representative correction (using 5E54 rather than 1Y26) remains necessary on leakage-audit grounds alone, stated in S2.1 and independent of this specific comparison; this paragraph is retained to document the correction honestly rather than removed, since the original claim was reported with real confidence at the time and the record should show it did not survive a later, independent check.</w:t>
      </w:r>
    </w:p>
    <w:p>
      <w:pPr>
        <w:pStyle w:val="BodyText"/>
      </w:pPr>
      <w:r>
        <w:rPr>
          <w:bCs/>
          <w:b/>
        </w:rPr>
        <w:t xml:space="preserve">Note: the</w:t>
      </w:r>
      <w:r>
        <w:rPr>
          <w:bCs/>
          <w:b/>
        </w:rPr>
        <w:t xml:space="preserve"> </w:t>
      </w:r>
      <w:r>
        <w:rPr>
          <w:bCs/>
          <w:b/>
        </w:rPr>
        <w:t xml:space="preserve">“</w:t>
      </w:r>
      <w:r>
        <w:rPr>
          <w:bCs/>
          <w:b/>
        </w:rPr>
        <w:t xml:space="preserve">true final</w:t>
      </w:r>
      <w:r>
        <w:rPr>
          <w:bCs/>
          <w:b/>
        </w:rPr>
        <w:t xml:space="preserve">”</w:t>
      </w:r>
      <w:r>
        <w:rPr>
          <w:bCs/>
          <w:b/>
        </w:rPr>
        <w:t xml:space="preserve"> </w:t>
      </w:r>
      <w:r>
        <w:rPr>
          <w:bCs/>
          <w:b/>
        </w:rPr>
        <w:t xml:space="preserve">row above was itself superseded by a second, independent correction</w:t>
      </w:r>
      <w:r>
        <w:t xml:space="preserve"> </w:t>
      </w:r>
      <w:r>
        <w:t xml:space="preserve">(S3.4) discovered after this table was first compiled. See S6 for the actual final, complete result incorporating both corrections together.</w:t>
      </w:r>
    </w:p>
    <w:bookmarkEnd w:id="31"/>
    <w:bookmarkStart w:id="32" w:name="X54695fd0652b25906cfc8bfc7e2359dfa5434ca"/>
    <w:p>
      <w:pPr>
        <w:pStyle w:val="Heading3"/>
      </w:pPr>
      <w:r>
        <w:t xml:space="preserve">S3.4 Perturbation-generation defect: root cause, five-target re-run, and resampling validation</w:t>
      </w:r>
    </w:p>
    <w:p>
      <w:pPr>
        <w:pStyle w:val="FirstParagraph"/>
      </w:pPr>
      <w:r>
        <w:t xml:space="preserve">A second, independent defect was found in the procedure used to establish the per-coordinate noise floor against which generative-ensemble signal is judged. The procedure constructs small structural perturbations of a target’s base-pair map to estimate expected background variability; it did not preserve pseudoknot base-pair type when doing so.</w:t>
      </w:r>
    </w:p>
    <w:p>
      <w:pPr>
        <w:pStyle w:val="BodyText"/>
      </w:pPr>
      <w:r>
        <w:rPr>
          <w:bCs/>
          <w:b/>
        </w:rPr>
        <w:t xml:space="preserve">Root cause, more severe than an initial pass characterized it as.</w:t>
      </w:r>
      <w:r>
        <w:t xml:space="preserve"> </w:t>
      </w:r>
      <w:r>
        <w:t xml:space="preserve">The perturbation code used a single bracket-matching stack for all base pairs regardless of type. Tested directly on a constructed example with known, verified crossing positions, this does not merely mislabel a crossing pair as nested – it silently reassigns which position pairs with which. An intended crossing pairing of (2,12)+(3,11)+(7,15)+(8,14) parsed, under the uncorrected code, as the structurally different (2,15)+(3,14)+(7,12)+(8,11). This means perturbations of pseudoknotted targets computed before the fix may have included structurally incorrect pairings that coincidentally matched the required output dimensionality, not merely an undersized sample of genuinely correct ones. The defect was corrected by tracking each kept pair’s bracket type through the perturbation logic and writing the correct symbol.</w:t>
      </w:r>
    </w:p>
    <w:p>
      <w:pPr>
        <w:pStyle w:val="BodyText"/>
      </w:pPr>
      <w:r>
        <w:rPr>
          <w:bCs/>
          <w:b/>
        </w:rPr>
        <w:t xml:space="preserve">Effect of the fix, measured directly, not assumed.</w:t>
      </w:r>
      <w:r>
        <w:t xml:space="preserve"> </w:t>
      </w:r>
      <w:r>
        <w:t xml:space="preserve">All five pseudoknotted targets from the original pilot cohort were reanalyzed under the corrected procedure.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Target</w:t>
            </w:r>
          </w:p>
        </w:tc>
        <w:tc>
          <w:tcPr/>
          <w:p>
            <w:pPr>
              <w:pStyle w:val="Compact"/>
              <w:jc w:val="left"/>
            </w:pPr>
            <w:r>
              <w:t xml:space="preserve">Crossing pairs</w:t>
            </w:r>
          </w:p>
        </w:tc>
        <w:tc>
          <w:tcPr/>
          <w:p>
            <w:pPr>
              <w:pStyle w:val="Compact"/>
              <w:jc w:val="left"/>
            </w:pPr>
            <w:r>
              <w:t xml:space="preserve">Valid perturbations, before fix</w:t>
            </w:r>
          </w:p>
        </w:tc>
        <w:tc>
          <w:tcPr/>
          <w:p>
            <w:pPr>
              <w:pStyle w:val="Compact"/>
              <w:jc w:val="left"/>
            </w:pPr>
            <w:r>
              <w:t xml:space="preserve">Valid perturbations, after fix</w:t>
            </w:r>
          </w:p>
        </w:tc>
      </w:tr>
      <w:tr>
        <w:tc>
          <w:tcPr/>
          <w:p>
            <w:pPr>
              <w:pStyle w:val="Compact"/>
              <w:jc w:val="left"/>
            </w:pPr>
            <w:r>
              <w:t xml:space="preserve">1Y26</w:t>
            </w:r>
          </w:p>
        </w:tc>
        <w:tc>
          <w:tcPr/>
          <w:p>
            <w:pPr>
              <w:pStyle w:val="Compact"/>
              <w:jc w:val="left"/>
            </w:pPr>
            <w:r>
              <w:t xml:space="preserve">2</w:t>
            </w:r>
          </w:p>
        </w:tc>
        <w:tc>
          <w:tcPr/>
          <w:p>
            <w:pPr>
              <w:pStyle w:val="Compact"/>
              <w:jc w:val="left"/>
            </w:pPr>
            <w:r>
              <w:t xml:space="preserve">34/300</w:t>
            </w:r>
          </w:p>
        </w:tc>
        <w:tc>
          <w:tcPr/>
          <w:p>
            <w:pPr>
              <w:pStyle w:val="Compact"/>
              <w:jc w:val="left"/>
            </w:pPr>
            <w:r>
              <w:t xml:space="preserve">43/300</w:t>
            </w:r>
          </w:p>
        </w:tc>
      </w:tr>
      <w:tr>
        <w:tc>
          <w:tcPr/>
          <w:p>
            <w:pPr>
              <w:pStyle w:val="Compact"/>
              <w:jc w:val="left"/>
            </w:pPr>
            <w:r>
              <w:t xml:space="preserve">4RZD</w:t>
            </w:r>
          </w:p>
        </w:tc>
        <w:tc>
          <w:tcPr/>
          <w:p>
            <w:pPr>
              <w:pStyle w:val="Compact"/>
              <w:jc w:val="left"/>
            </w:pPr>
            <w:r>
              <w:t xml:space="preserve">7</w:t>
            </w:r>
          </w:p>
        </w:tc>
        <w:tc>
          <w:tcPr/>
          <w:p>
            <w:pPr>
              <w:pStyle w:val="Compact"/>
              <w:jc w:val="left"/>
            </w:pPr>
            <w:r>
              <w:t xml:space="preserve">31/300</w:t>
            </w:r>
          </w:p>
        </w:tc>
        <w:tc>
          <w:tcPr/>
          <w:p>
            <w:pPr>
              <w:pStyle w:val="Compact"/>
              <w:jc w:val="left"/>
            </w:pPr>
            <w:r>
              <w:t xml:space="preserve">137/300</w:t>
            </w:r>
          </w:p>
        </w:tc>
      </w:tr>
      <w:tr>
        <w:tc>
          <w:tcPr/>
          <w:p>
            <w:pPr>
              <w:pStyle w:val="Compact"/>
              <w:jc w:val="left"/>
            </w:pPr>
            <w:r>
              <w:t xml:space="preserve">5KH8</w:t>
            </w:r>
          </w:p>
        </w:tc>
        <w:tc>
          <w:tcPr/>
          <w:p>
            <w:pPr>
              <w:pStyle w:val="Compact"/>
              <w:jc w:val="left"/>
            </w:pPr>
            <w:r>
              <w:t xml:space="preserve">4</w:t>
            </w:r>
          </w:p>
        </w:tc>
        <w:tc>
          <w:tcPr/>
          <w:p>
            <w:pPr>
              <w:pStyle w:val="Compact"/>
              <w:jc w:val="left"/>
            </w:pPr>
            <w:r>
              <w:t xml:space="preserve">n/a (no directly comparable pre-fix number recorded)</w:t>
            </w:r>
          </w:p>
        </w:tc>
        <w:tc>
          <w:tcPr/>
          <w:p>
            <w:pPr>
              <w:pStyle w:val="Compact"/>
              <w:jc w:val="left"/>
            </w:pPr>
            <w:r>
              <w:t xml:space="preserve">133/300</w:t>
            </w:r>
          </w:p>
        </w:tc>
      </w:tr>
      <w:tr>
        <w:tc>
          <w:tcPr/>
          <w:p>
            <w:pPr>
              <w:pStyle w:val="Compact"/>
              <w:jc w:val="left"/>
            </w:pPr>
            <w:r>
              <w:t xml:space="preserve">7KD1</w:t>
            </w:r>
          </w:p>
        </w:tc>
        <w:tc>
          <w:tcPr/>
          <w:p>
            <w:pPr>
              <w:pStyle w:val="Compact"/>
              <w:jc w:val="left"/>
            </w:pPr>
            <w:r>
              <w:t xml:space="preserve">2</w:t>
            </w:r>
          </w:p>
        </w:tc>
        <w:tc>
          <w:tcPr/>
          <w:p>
            <w:pPr>
              <w:pStyle w:val="Compact"/>
              <w:jc w:val="left"/>
            </w:pPr>
            <w:r>
              <w:t xml:space="preserve">34/300</w:t>
            </w:r>
          </w:p>
        </w:tc>
        <w:tc>
          <w:tcPr/>
          <w:p>
            <w:pPr>
              <w:pStyle w:val="Compact"/>
              <w:jc w:val="left"/>
            </w:pPr>
            <w:r>
              <w:t xml:space="preserve">13/300 (decrease; see below)</w:t>
            </w:r>
          </w:p>
        </w:tc>
      </w:tr>
      <w:tr>
        <w:tc>
          <w:tcPr/>
          <w:p>
            <w:pPr>
              <w:pStyle w:val="Compact"/>
              <w:jc w:val="left"/>
            </w:pPr>
            <w:r>
              <w:t xml:space="preserve">5E54</w:t>
            </w:r>
          </w:p>
        </w:tc>
        <w:tc>
          <w:tcPr/>
          <w:p>
            <w:pPr>
              <w:pStyle w:val="Compact"/>
              <w:jc w:val="left"/>
            </w:pPr>
            <w:r>
              <w:t xml:space="preserve">2</w:t>
            </w:r>
          </w:p>
        </w:tc>
        <w:tc>
          <w:tcPr/>
          <w:p>
            <w:pPr>
              <w:pStyle w:val="Compact"/>
              <w:jc w:val="left"/>
            </w:pPr>
            <w:r>
              <w:t xml:space="preserve">34/300</w:t>
            </w:r>
          </w:p>
        </w:tc>
        <w:tc>
          <w:tcPr/>
          <w:p>
            <w:pPr>
              <w:pStyle w:val="Compact"/>
              <w:jc w:val="left"/>
            </w:pPr>
            <w:r>
              <w:t xml:space="preserve">43/300</w:t>
            </w:r>
          </w:p>
        </w:tc>
      </w:tr>
    </w:tbl>
    <w:p>
      <w:pPr>
        <w:pStyle w:val="BodyText"/>
      </w:pPr>
      <w:r>
        <w:t xml:space="preserve">7KD1’s decrease is not a regression. Given the root-cause finding above, the pre-fix 34 accepted perturbations for this target very likely included structurally incorrect pairings that happened to match output dimensionality by coincidence; the corrected procedure rejects most of these, leaving a smaller but more trustworthy set. 7KD1’s post-fix result should be treated as the first correct noise-floor calculation for this target, not a weaker version of an existing one.</w:t>
      </w:r>
    </w:p>
    <w:p>
      <w:pPr>
        <w:pStyle w:val="BodyText"/>
      </w:pPr>
      <w:r>
        <w:t xml:space="preserve">Applied to the Stage 4 batch, this also resolved a near-complete failure for one target (2 crossing pairs): valid perturbations rose from 3/300 to 27/300, and the corrected result became the largest signal-to-floor result recorded in this study (S6). Applied to the most topologically dense target in the cohort (6 crossing pairs within 61 nucleotides, the densest of any target checked), the fix made no difference at all – 0/300 valid perturbations both before and after, traced to sheer local density (18 total base pairs across two separate crossing regions) rather than the bracket-typing defect, since the defect demonstrably mattered for every other pseudoknotted target and this one alone remained unaffected by its correction.</w:t>
      </w:r>
    </w:p>
    <w:p>
      <w:pPr>
        <w:pStyle w:val="BodyText"/>
      </w:pPr>
      <w:r>
        <w:rPr>
          <w:bCs/>
          <w:b/>
        </w:rPr>
        <w:t xml:space="preserve">Resampling-stability validation, run on the two results with the smallest accepted-perturbation counts, to test whether their unusually large values were genuine or small-sample artifacts.</w:t>
      </w:r>
      <w:r>
        <w:t xml:space="preserve"> </w:t>
      </w:r>
      <w:r>
        <w:t xml:space="preserve">Bootstrap subsampling down to n=10 from each target’s accepted set: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Target</w:t>
            </w:r>
          </w:p>
        </w:tc>
        <w:tc>
          <w:tcPr/>
          <w:p>
            <w:pPr>
              <w:pStyle w:val="Compact"/>
              <w:jc w:val="left"/>
            </w:pPr>
            <w:r>
              <w:t xml:space="preserve">Full-sample n</w:t>
            </w:r>
          </w:p>
        </w:tc>
        <w:tc>
          <w:tcPr/>
          <w:p>
            <w:pPr>
              <w:pStyle w:val="Compact"/>
              <w:jc w:val="left"/>
            </w:pPr>
            <w:r>
              <w:t xml:space="preserve">Max relative deviation at n=10</w:t>
            </w:r>
          </w:p>
        </w:tc>
        <w:tc>
          <w:tcPr/>
          <w:p>
            <w:pPr>
              <w:pStyle w:val="Compact"/>
              <w:jc w:val="left"/>
            </w:pPr>
            <w:r>
              <w:t xml:space="preserve">Max resample-to-resample CV at n=10</w:t>
            </w:r>
          </w:p>
        </w:tc>
      </w:tr>
      <w:tr>
        <w:tc>
          <w:tcPr/>
          <w:p>
            <w:pPr>
              <w:pStyle w:val="Compact"/>
              <w:jc w:val="left"/>
            </w:pPr>
            <w:r>
              <w:t xml:space="preserve">T07 (TPP riboswitch, 2 crossing pairs)</w:t>
            </w:r>
          </w:p>
        </w:tc>
        <w:tc>
          <w:tcPr/>
          <w:p>
            <w:pPr>
              <w:pStyle w:val="Compact"/>
              <w:jc w:val="left"/>
            </w:pPr>
            <w:r>
              <w:t xml:space="preserve">27</w:t>
            </w:r>
          </w:p>
        </w:tc>
        <w:tc>
          <w:tcPr/>
          <w:p>
            <w:pPr>
              <w:pStyle w:val="Compact"/>
              <w:jc w:val="left"/>
            </w:pPr>
            <w:r>
              <w:t xml:space="preserve">10.5%</w:t>
            </w:r>
          </w:p>
        </w:tc>
        <w:tc>
          <w:tcPr/>
          <w:p>
            <w:pPr>
              <w:pStyle w:val="Compact"/>
              <w:jc w:val="left"/>
            </w:pPr>
            <w:r>
              <w:t xml:space="preserve">47%</w:t>
            </w:r>
          </w:p>
        </w:tc>
      </w:tr>
      <w:tr>
        <w:tc>
          <w:tcPr/>
          <w:p>
            <w:pPr>
              <w:pStyle w:val="Compact"/>
              <w:jc w:val="left"/>
            </w:pPr>
            <w:r>
              <w:t xml:space="preserve">7KD1 (2 crossing pairs)</w:t>
            </w:r>
          </w:p>
        </w:tc>
        <w:tc>
          <w:tcPr/>
          <w:p>
            <w:pPr>
              <w:pStyle w:val="Compact"/>
              <w:jc w:val="left"/>
            </w:pPr>
            <w:r>
              <w:t xml:space="preserve">13</w:t>
            </w:r>
          </w:p>
        </w:tc>
        <w:tc>
          <w:tcPr/>
          <w:p>
            <w:pPr>
              <w:pStyle w:val="Compact"/>
              <w:jc w:val="left"/>
            </w:pPr>
            <w:r>
              <w:t xml:space="preserve">3.4%</w:t>
            </w:r>
          </w:p>
        </w:tc>
        <w:tc>
          <w:tcPr/>
          <w:p>
            <w:pPr>
              <w:pStyle w:val="Compact"/>
              <w:jc w:val="left"/>
            </w:pPr>
            <w:r>
              <w:t xml:space="preserve">34%</w:t>
            </w:r>
          </w:p>
        </w:tc>
      </w:tr>
    </w:tbl>
    <w:p>
      <w:pPr>
        <w:pStyle w:val="BodyText"/>
      </w:pPr>
      <w:r>
        <w:t xml:space="preserve">Both stay comfortably under the 50% stability threshold used to judge this check, and both show the expected pattern of shrinking deviation as sample size grows toward the full accepted set. The largest values recorded for either target are genuine, not small-sample artifacts.</w:t>
      </w:r>
    </w:p>
    <w:bookmarkEnd w:id="32"/>
    <w:bookmarkStart w:id="33" w:name="X4d617eeb1fdc017287879a0c3880facabe4eee2"/>
    <w:p>
      <w:pPr>
        <w:pStyle w:val="Heading3"/>
      </w:pPr>
      <w:r>
        <w:t xml:space="preserve">S3.3 Multi-modality diagnostic: validation and application</w:t>
      </w:r>
    </w:p>
    <w:p>
      <w:pPr>
        <w:pStyle w:val="FirstParagraph"/>
      </w:pPr>
      <w:r>
        <w:t xml:space="preserve">An exploratory clustering diagnostic (average-linkage hierarchical clustering in collective-coordinate space, across a range of cut heights, since no threshold has been pre-registered on independent development targets) was built to distinguish genuine broad conformational spread from a hidden, rare alternative structural mode. Two criteria were validated against synthetic positive and negative control cases before use on real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Cluster count across 5 cut heights</w:t>
            </w:r>
          </w:p>
        </w:tc>
        <w:tc>
          <w:tcPr/>
          <w:p>
            <w:pPr>
              <w:pStyle w:val="Compact"/>
              <w:jc w:val="left"/>
            </w:pPr>
            <w:r>
              <w:t xml:space="preserve">Per-cluster covariance norm ratio (widest spread)</w:t>
            </w:r>
          </w:p>
        </w:tc>
      </w:tr>
      <w:tr>
        <w:tc>
          <w:tcPr/>
          <w:p>
            <w:pPr>
              <w:pStyle w:val="Compact"/>
              <w:jc w:val="left"/>
            </w:pPr>
            <w:r>
              <w:t xml:space="preserve">Synthetic positive control (real bimodal mixture)</w:t>
            </w:r>
          </w:p>
        </w:tc>
        <w:tc>
          <w:tcPr/>
          <w:p>
            <w:pPr>
              <w:pStyle w:val="Compact"/>
              <w:jc w:val="left"/>
            </w:pPr>
            <w:r>
              <w:t xml:space="preserve">Fixed at 2 across all 5 heights</w:t>
            </w:r>
          </w:p>
        </w:tc>
        <w:tc>
          <w:tcPr/>
          <w:p>
            <w:pPr>
              <w:pStyle w:val="Compact"/>
              <w:jc w:val="left"/>
            </w:pPr>
            <w:r>
              <w:t xml:space="preserve">greater than 400x</w:t>
            </w:r>
          </w:p>
        </w:tc>
      </w:tr>
      <w:tr>
        <w:tc>
          <w:tcPr/>
          <w:p>
            <w:pPr>
              <w:pStyle w:val="Compact"/>
              <w:jc w:val="left"/>
            </w:pPr>
            <w:r>
              <w:t xml:space="preserve">Synthetic negative control (genuine unimodal spread)</w:t>
            </w:r>
          </w:p>
        </w:tc>
        <w:tc>
          <w:tcPr/>
          <w:p>
            <w:pPr>
              <w:pStyle w:val="Compact"/>
              <w:jc w:val="left"/>
            </w:pPr>
            <w:r>
              <w:t xml:space="preserve">Shifted at every height (5,3,3,2,2)</w:t>
            </w:r>
          </w:p>
        </w:tc>
        <w:tc>
          <w:tcPr/>
          <w:p>
            <w:pPr>
              <w:pStyle w:val="Compact"/>
              <w:jc w:val="left"/>
            </w:pPr>
            <w:r>
              <w:t xml:space="preserve">about 2x</w:t>
            </w:r>
          </w:p>
        </w:tc>
      </w:tr>
    </w:tbl>
    <w:p>
      <w:pPr>
        <w:pStyle w:val="BodyText"/>
      </w:pPr>
      <w:r>
        <w:t xml:space="preserve">Applied to real targets showing elevated convergence variability: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Target</w:t>
            </w:r>
          </w:p>
        </w:tc>
        <w:tc>
          <w:tcPr/>
          <w:p>
            <w:pPr>
              <w:pStyle w:val="Compact"/>
              <w:jc w:val="left"/>
            </w:pPr>
            <w:r>
              <w:t xml:space="preserve">Cluster count across 5 cut heights</w:t>
            </w:r>
          </w:p>
        </w:tc>
        <w:tc>
          <w:tcPr/>
          <w:p>
            <w:pPr>
              <w:pStyle w:val="Compact"/>
              <w:jc w:val="left"/>
            </w:pPr>
            <w:r>
              <w:t xml:space="preserve">Per-cluster norm ratio</w:t>
            </w:r>
          </w:p>
        </w:tc>
        <w:tc>
          <w:tcPr/>
          <w:p>
            <w:pPr>
              <w:pStyle w:val="Compact"/>
              <w:jc w:val="left"/>
            </w:pPr>
            <w:r>
              <w:t xml:space="preserve">Verdict</w:t>
            </w:r>
          </w:p>
        </w:tc>
      </w:tr>
      <w:tr>
        <w:tc>
          <w:tcPr/>
          <w:p>
            <w:pPr>
              <w:pStyle w:val="Compact"/>
              <w:jc w:val="left"/>
            </w:pPr>
            <w:r>
              <w:t xml:space="preserve">7KD1 (post-correction)</w:t>
            </w:r>
          </w:p>
        </w:tc>
        <w:tc>
          <w:tcPr/>
          <w:p>
            <w:pPr>
              <w:pStyle w:val="Compact"/>
              <w:jc w:val="left"/>
            </w:pPr>
            <w:r>
              <w:t xml:space="preserve">Shifted at every height (29,14,10,6,4)</w:t>
            </w:r>
          </w:p>
        </w:tc>
        <w:tc>
          <w:tcPr/>
          <w:p>
            <w:pPr>
              <w:pStyle w:val="Compact"/>
              <w:jc w:val="left"/>
            </w:pPr>
            <w:r>
              <w:t xml:space="preserve">about 2x</w:t>
            </w:r>
          </w:p>
        </w:tc>
        <w:tc>
          <w:tcPr/>
          <w:p>
            <w:pPr>
              <w:pStyle w:val="Compact"/>
              <w:jc w:val="left"/>
            </w:pPr>
            <w:r>
              <w:t xml:space="preserve">Genuine broad spread</w:t>
            </w:r>
          </w:p>
        </w:tc>
      </w:tr>
      <w:tr>
        <w:tc>
          <w:tcPr/>
          <w:p>
            <w:pPr>
              <w:pStyle w:val="Compact"/>
              <w:jc w:val="left"/>
            </w:pPr>
            <w:r>
              <w:t xml:space="preserve">4RZD</w:t>
            </w:r>
          </w:p>
        </w:tc>
        <w:tc>
          <w:tcPr/>
          <w:p>
            <w:pPr>
              <w:pStyle w:val="Compact"/>
              <w:jc w:val="left"/>
            </w:pPr>
            <w:r>
              <w:t xml:space="preserve">Shifted at every height (6,4,3,3,2)</w:t>
            </w:r>
          </w:p>
        </w:tc>
        <w:tc>
          <w:tcPr/>
          <w:p>
            <w:pPr>
              <w:pStyle w:val="Compact"/>
              <w:jc w:val="left"/>
            </w:pPr>
            <w:r>
              <w:t xml:space="preserve">about 1.8x</w:t>
            </w:r>
          </w:p>
        </w:tc>
        <w:tc>
          <w:tcPr/>
          <w:p>
            <w:pPr>
              <w:pStyle w:val="Compact"/>
              <w:jc w:val="left"/>
            </w:pPr>
            <w:r>
              <w:t xml:space="preserve">Genuine broad spread</w:t>
            </w:r>
          </w:p>
        </w:tc>
      </w:tr>
      <w:tr>
        <w:tc>
          <w:tcPr/>
          <w:p>
            <w:pPr>
              <w:pStyle w:val="Compact"/>
              <w:jc w:val="left"/>
            </w:pPr>
            <w:r>
              <w:t xml:space="preserve">5E54</w:t>
            </w:r>
          </w:p>
        </w:tc>
        <w:tc>
          <w:tcPr/>
          <w:p>
            <w:pPr>
              <w:pStyle w:val="Compact"/>
              <w:jc w:val="left"/>
            </w:pPr>
            <w:r>
              <w:t xml:space="preserve">Shifted at every height (11,7,5,4,3)</w:t>
            </w:r>
          </w:p>
        </w:tc>
        <w:tc>
          <w:tcPr/>
          <w:p>
            <w:pPr>
              <w:pStyle w:val="Compact"/>
              <w:jc w:val="left"/>
            </w:pPr>
            <w:r>
              <w:t xml:space="preserve">about 3.3x</w:t>
            </w:r>
          </w:p>
        </w:tc>
        <w:tc>
          <w:tcPr/>
          <w:p>
            <w:pPr>
              <w:pStyle w:val="Compact"/>
              <w:jc w:val="left"/>
            </w:pPr>
            <w:r>
              <w:t xml:space="preserve">Genuine broad spread</w:t>
            </w:r>
          </w:p>
        </w:tc>
      </w:tr>
    </w:tbl>
    <w:p>
      <w:pPr>
        <w:pStyle w:val="BodyText"/>
      </w:pPr>
      <w:r>
        <w:t xml:space="preserve">No target checked showed evidence of a hidden alternative conformational mode; in each case, elevated convergence variability reflected real, continuous conformational breadth rather than an artifact requiring separate handling.</w:t>
      </w:r>
    </w:p>
    <w:p>
      <w:r>
        <w:pict>
          <v:rect style="width:0;height:1.5pt" o:hralign="center" o:hrstd="t" o:hr="t"/>
        </w:pict>
      </w:r>
    </w:p>
    <w:bookmarkEnd w:id="33"/>
    <w:bookmarkEnd w:id="34"/>
    <w:bookmarkStart w:id="35" w:name="Xf5dd534d38745b032d06837cf064e6055058a49"/>
    <w:p>
      <w:pPr>
        <w:pStyle w:val="Heading2"/>
      </w:pPr>
      <w:r>
        <w:t xml:space="preserve">S4. Production sample count (K), all generated targets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Target</w:t>
            </w:r>
          </w:p>
        </w:tc>
        <w:tc>
          <w:tcPr/>
          <w:p>
            <w:pPr>
              <w:pStyle w:val="Compact"/>
              <w:jc w:val="left"/>
            </w:pPr>
            <w:r>
              <w:t xml:space="preserve">K = 50 coefficient of variation</w:t>
            </w:r>
          </w:p>
        </w:tc>
        <w:tc>
          <w:tcPr/>
          <w:p>
            <w:pPr>
              <w:pStyle w:val="Compact"/>
              <w:jc w:val="left"/>
            </w:pPr>
            <w:r>
              <w:t xml:space="preserve">K at which CV first drops below 10%</w:t>
            </w:r>
          </w:p>
        </w:tc>
        <w:tc>
          <w:tcPr/>
          <w:p>
            <w:pPr>
              <w:pStyle w:val="Compact"/>
              <w:jc w:val="left"/>
            </w:pPr>
            <w:r>
              <w:t xml:space="preserve">Assigned production K</w:t>
            </w:r>
          </w:p>
        </w:tc>
        <w:tc>
          <w:tcPr/>
          <w:p>
            <w:pPr>
              <w:pStyle w:val="Compact"/>
              <w:jc w:val="left"/>
            </w:pPr>
            <w:r>
              <w:t xml:space="preserve">Basis</w:t>
            </w:r>
          </w:p>
        </w:tc>
      </w:tr>
      <w:tr>
        <w:tc>
          <w:tcPr/>
          <w:p>
            <w:pPr>
              <w:pStyle w:val="Compact"/>
              <w:jc w:val="left"/>
            </w:pPr>
            <w:r>
              <w:t xml:space="preserve">2MIY</w:t>
            </w:r>
          </w:p>
        </w:tc>
        <w:tc>
          <w:tcPr/>
          <w:p>
            <w:pPr>
              <w:pStyle w:val="Compact"/>
              <w:jc w:val="left"/>
            </w:pPr>
            <w:r>
              <w:t xml:space="preserve">10.7%</w:t>
            </w:r>
          </w:p>
        </w:tc>
        <w:tc>
          <w:tcPr/>
          <w:p>
            <w:pPr>
              <w:pStyle w:val="Compact"/>
              <w:jc w:val="left"/>
            </w:pPr>
            <w:r>
              <w:t xml:space="preserve">50 or below</w:t>
            </w:r>
          </w:p>
        </w:tc>
        <w:tc>
          <w:tcPr/>
          <w:p>
            <w:pPr>
              <w:pStyle w:val="Compact"/>
              <w:jc w:val="left"/>
            </w:pPr>
            <w:r>
              <w:t xml:space="preserve">50</w:t>
            </w:r>
          </w:p>
        </w:tc>
        <w:tc>
          <w:tcPr/>
          <w:p>
            <w:pPr>
              <w:pStyle w:val="Compact"/>
              <w:jc w:val="left"/>
            </w:pPr>
            <w:r>
              <w:t xml:space="preserve">Comfortable at default</w:t>
            </w:r>
          </w:p>
        </w:tc>
      </w:tr>
      <w:tr>
        <w:tc>
          <w:tcPr/>
          <w:p>
            <w:pPr>
              <w:pStyle w:val="Compact"/>
              <w:jc w:val="left"/>
            </w:pPr>
            <w:r>
              <w:t xml:space="preserve">7KD1</w:t>
            </w:r>
          </w:p>
        </w:tc>
        <w:tc>
          <w:tcPr/>
          <w:p>
            <w:pPr>
              <w:pStyle w:val="Compact"/>
              <w:jc w:val="left"/>
            </w:pPr>
            <w:r>
              <w:t xml:space="preserve">10.8%</w:t>
            </w:r>
          </w:p>
        </w:tc>
        <w:tc>
          <w:tcPr/>
          <w:p>
            <w:pPr>
              <w:pStyle w:val="Compact"/>
              <w:jc w:val="left"/>
            </w:pPr>
            <w:r>
              <w:t xml:space="preserve">50 or below</w:t>
            </w:r>
          </w:p>
        </w:tc>
        <w:tc>
          <w:tcPr/>
          <w:p>
            <w:pPr>
              <w:pStyle w:val="Compact"/>
              <w:jc w:val="left"/>
            </w:pPr>
            <w:r>
              <w:t xml:space="preserve">50</w:t>
            </w:r>
          </w:p>
        </w:tc>
        <w:tc>
          <w:tcPr/>
          <w:p>
            <w:pPr>
              <w:pStyle w:val="Compact"/>
              <w:jc w:val="left"/>
            </w:pPr>
            <w:r>
              <w:t xml:space="preserve">Comfortable at default once topology corrected</w:t>
            </w:r>
          </w:p>
        </w:tc>
      </w:tr>
      <w:tr>
        <w:tc>
          <w:tcPr/>
          <w:p>
            <w:pPr>
              <w:pStyle w:val="Compact"/>
              <w:jc w:val="left"/>
            </w:pPr>
            <w:r>
              <w:t xml:space="preserve">5KH8</w:t>
            </w:r>
          </w:p>
        </w:tc>
        <w:tc>
          <w:tcPr/>
          <w:p>
            <w:pPr>
              <w:pStyle w:val="Compact"/>
              <w:jc w:val="left"/>
            </w:pPr>
            <w:r>
              <w:t xml:space="preserve">11.7%</w:t>
            </w:r>
          </w:p>
        </w:tc>
        <w:tc>
          <w:tcPr/>
          <w:p>
            <w:pPr>
              <w:pStyle w:val="Compact"/>
              <w:jc w:val="left"/>
            </w:pPr>
            <w:r>
              <w:t xml:space="preserve">50 or below</w:t>
            </w:r>
          </w:p>
        </w:tc>
        <w:tc>
          <w:tcPr/>
          <w:p>
            <w:pPr>
              <w:pStyle w:val="Compact"/>
              <w:jc w:val="left"/>
            </w:pPr>
            <w:r>
              <w:t xml:space="preserve">50</w:t>
            </w:r>
          </w:p>
        </w:tc>
        <w:tc>
          <w:tcPr/>
          <w:p>
            <w:pPr>
              <w:pStyle w:val="Compact"/>
              <w:jc w:val="left"/>
            </w:pPr>
            <w:r>
              <w:t xml:space="preserve">Comfortable at default</w:t>
            </w:r>
          </w:p>
        </w:tc>
      </w:tr>
      <w:tr>
        <w:tc>
          <w:tcPr/>
          <w:p>
            <w:pPr>
              <w:pStyle w:val="Compact"/>
              <w:jc w:val="left"/>
            </w:pPr>
            <w:r>
              <w:t xml:space="preserve">T09</w:t>
            </w:r>
          </w:p>
        </w:tc>
        <w:tc>
          <w:tcPr/>
          <w:p>
            <w:pPr>
              <w:pStyle w:val="Compact"/>
              <w:jc w:val="left"/>
            </w:pPr>
            <w:r>
              <w:t xml:space="preserve">7.5%</w:t>
            </w:r>
          </w:p>
        </w:tc>
        <w:tc>
          <w:tcPr/>
          <w:p>
            <w:pPr>
              <w:pStyle w:val="Compact"/>
              <w:jc w:val="left"/>
            </w:pPr>
            <w:r>
              <w:t xml:space="preserve">50 or below</w:t>
            </w:r>
          </w:p>
        </w:tc>
        <w:tc>
          <w:tcPr/>
          <w:p>
            <w:pPr>
              <w:pStyle w:val="Compact"/>
              <w:jc w:val="left"/>
            </w:pPr>
            <w:r>
              <w:t xml:space="preserve">50</w:t>
            </w:r>
          </w:p>
        </w:tc>
        <w:tc>
          <w:tcPr/>
          <w:p>
            <w:pPr>
              <w:pStyle w:val="Compact"/>
              <w:jc w:val="left"/>
            </w:pPr>
            <w:r>
              <w:t xml:space="preserve">Comfortable at default (noise-floor calibration separately unavailable, S3.4)</w:t>
            </w:r>
          </w:p>
        </w:tc>
      </w:tr>
      <w:tr>
        <w:tc>
          <w:tcPr/>
          <w:p>
            <w:pPr>
              <w:pStyle w:val="Compact"/>
              <w:jc w:val="left"/>
            </w:pPr>
            <w:r>
              <w:t xml:space="preserve">HCV IRES domain IIa</w:t>
            </w:r>
          </w:p>
        </w:tc>
        <w:tc>
          <w:tcPr/>
          <w:p>
            <w:pPr>
              <w:pStyle w:val="Compact"/>
              <w:jc w:val="left"/>
            </w:pPr>
            <w:r>
              <w:t xml:space="preserve">8.9%</w:t>
            </w:r>
          </w:p>
        </w:tc>
        <w:tc>
          <w:tcPr/>
          <w:p>
            <w:pPr>
              <w:pStyle w:val="Compact"/>
              <w:jc w:val="left"/>
            </w:pPr>
            <w:r>
              <w:t xml:space="preserve">50 or below</w:t>
            </w:r>
          </w:p>
        </w:tc>
        <w:tc>
          <w:tcPr/>
          <w:p>
            <w:pPr>
              <w:pStyle w:val="Compact"/>
              <w:jc w:val="left"/>
            </w:pPr>
            <w:r>
              <w:t xml:space="preserve">50</w:t>
            </w:r>
          </w:p>
        </w:tc>
        <w:tc>
          <w:tcPr/>
          <w:p>
            <w:pPr>
              <w:pStyle w:val="Compact"/>
              <w:jc w:val="left"/>
            </w:pPr>
            <w:r>
              <w:t xml:space="preserve">Comfortable at default</w:t>
            </w:r>
          </w:p>
        </w:tc>
      </w:tr>
      <w:tr>
        <w:tc>
          <w:tcPr/>
          <w:p>
            <w:pPr>
              <w:pStyle w:val="Compact"/>
              <w:jc w:val="left"/>
            </w:pPr>
            <w:r>
              <w:t xml:space="preserve">5E54</w:t>
            </w:r>
          </w:p>
        </w:tc>
        <w:tc>
          <w:tcPr/>
          <w:p>
            <w:pPr>
              <w:pStyle w:val="Compact"/>
              <w:jc w:val="left"/>
            </w:pPr>
            <w:r>
              <w:t xml:space="preserve">13.3%</w:t>
            </w:r>
          </w:p>
        </w:tc>
        <w:tc>
          <w:tcPr/>
          <w:p>
            <w:pPr>
              <w:pStyle w:val="Compact"/>
              <w:jc w:val="left"/>
            </w:pPr>
            <w:r>
              <w:t xml:space="preserve">70</w:t>
            </w:r>
          </w:p>
        </w:tc>
        <w:tc>
          <w:tcPr/>
          <w:p>
            <w:pPr>
              <w:pStyle w:val="Compact"/>
              <w:jc w:val="left"/>
            </w:pPr>
            <w:r>
              <w:t xml:space="preserve">70</w:t>
            </w:r>
          </w:p>
        </w:tc>
        <w:tc>
          <w:tcPr/>
          <w:p>
            <w:pPr>
              <w:pStyle w:val="Compact"/>
              <w:jc w:val="left"/>
            </w:pPr>
            <w:r>
              <w:t xml:space="preserve">Multi-modality-confirmed genuine spread</w:t>
            </w:r>
          </w:p>
        </w:tc>
      </w:tr>
      <w:tr>
        <w:tc>
          <w:tcPr/>
          <w:p>
            <w:pPr>
              <w:pStyle w:val="Compact"/>
              <w:jc w:val="left"/>
            </w:pPr>
            <w:r>
              <w:t xml:space="preserve">T02</w:t>
            </w:r>
          </w:p>
        </w:tc>
        <w:tc>
          <w:tcPr/>
          <w:p>
            <w:pPr>
              <w:pStyle w:val="Compact"/>
              <w:jc w:val="left"/>
            </w:pPr>
            <w:r>
              <w:t xml:space="preserve">17.4%</w:t>
            </w:r>
          </w:p>
        </w:tc>
        <w:tc>
          <w:tcPr/>
          <w:p>
            <w:pPr>
              <w:pStyle w:val="Compact"/>
              <w:jc w:val="left"/>
            </w:pPr>
            <w:r>
              <w:t xml:space="preserve">90 (non-monotonic near 70-80)</w:t>
            </w:r>
          </w:p>
        </w:tc>
        <w:tc>
          <w:tcPr/>
          <w:p>
            <w:pPr>
              <w:pStyle w:val="Compact"/>
              <w:jc w:val="left"/>
            </w:pPr>
            <w:r>
              <w:t xml:space="preserve">90</w:t>
            </w:r>
          </w:p>
        </w:tc>
        <w:tc>
          <w:tcPr/>
          <w:p>
            <w:pPr>
              <w:pStyle w:val="Compact"/>
              <w:jc w:val="left"/>
            </w:pPr>
            <w:r>
              <w:t xml:space="preserve">Multi-modality-confirmed genuine spread, least clean-cut of any target checked (see main log)</w:t>
            </w:r>
          </w:p>
        </w:tc>
      </w:tr>
      <w:tr>
        <w:tc>
          <w:tcPr/>
          <w:p>
            <w:pPr>
              <w:pStyle w:val="Compact"/>
              <w:jc w:val="left"/>
            </w:pPr>
            <w:r>
              <w:t xml:space="preserve">T06</w:t>
            </w:r>
          </w:p>
        </w:tc>
        <w:tc>
          <w:tcPr/>
          <w:p>
            <w:pPr>
              <w:pStyle w:val="Compact"/>
              <w:jc w:val="left"/>
            </w:pPr>
            <w:r>
              <w:t xml:space="preserve">21.5%</w:t>
            </w:r>
          </w:p>
        </w:tc>
        <w:tc>
          <w:tcPr/>
          <w:p>
            <w:pPr>
              <w:pStyle w:val="Compact"/>
              <w:jc w:val="left"/>
            </w:pPr>
            <w:r>
              <w:t xml:space="preserve">80</w:t>
            </w:r>
          </w:p>
        </w:tc>
        <w:tc>
          <w:tcPr/>
          <w:p>
            <w:pPr>
              <w:pStyle w:val="Compact"/>
              <w:jc w:val="left"/>
            </w:pPr>
            <w:r>
              <w:t xml:space="preserve">80</w:t>
            </w:r>
          </w:p>
        </w:tc>
        <w:tc>
          <w:tcPr/>
          <w:p>
            <w:pPr>
              <w:pStyle w:val="Compact"/>
              <w:jc w:val="left"/>
            </w:pPr>
            <w:r>
              <w:t xml:space="preserve">Multi-modality-confirmed genuine spread</w:t>
            </w:r>
          </w:p>
        </w:tc>
      </w:tr>
      <w:tr>
        <w:tc>
          <w:tcPr/>
          <w:p>
            <w:pPr>
              <w:pStyle w:val="Compact"/>
              <w:jc w:val="left"/>
            </w:pPr>
            <w:r>
              <w:t xml:space="preserve">4RZD</w:t>
            </w:r>
          </w:p>
        </w:tc>
        <w:tc>
          <w:tcPr/>
          <w:p>
            <w:pPr>
              <w:pStyle w:val="Compact"/>
              <w:jc w:val="left"/>
            </w:pPr>
            <w:r>
              <w:t xml:space="preserve">19.2%</w:t>
            </w:r>
          </w:p>
        </w:tc>
        <w:tc>
          <w:tcPr/>
          <w:p>
            <w:pPr>
              <w:pStyle w:val="Compact"/>
              <w:jc w:val="left"/>
            </w:pPr>
            <w:r>
              <w:t xml:space="preserve">90</w:t>
            </w:r>
          </w:p>
        </w:tc>
        <w:tc>
          <w:tcPr/>
          <w:p>
            <w:pPr>
              <w:pStyle w:val="Compact"/>
              <w:jc w:val="left"/>
            </w:pPr>
            <w:r>
              <w:t xml:space="preserve">90</w:t>
            </w:r>
          </w:p>
        </w:tc>
        <w:tc>
          <w:tcPr/>
          <w:p>
            <w:pPr>
              <w:pStyle w:val="Compact"/>
              <w:jc w:val="left"/>
            </w:pPr>
            <w:r>
              <w:t xml:space="preserve">Multi-modality-confirmed genuine spread</w:t>
            </w:r>
          </w:p>
        </w:tc>
      </w:tr>
      <w:tr>
        <w:tc>
          <w:tcPr/>
          <w:p>
            <w:pPr>
              <w:pStyle w:val="Compact"/>
              <w:jc w:val="left"/>
            </w:pPr>
            <w:r>
              <w:t xml:space="preserve">T04</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Zero collective-coordinate dimensions – single hairpin stem, no inter-helix relationship exists for this method to measure; not a convergence question</w:t>
            </w:r>
          </w:p>
        </w:tc>
      </w:tr>
    </w:tbl>
    <w:p>
      <w:pPr>
        <w:pStyle w:val="BodyText"/>
      </w:pPr>
      <w:r>
        <w:t xml:space="preserve">All 10 generated, convergence-checked targets are resolved. T04 is real, leakage-clean, and Tier 1-2 eligible, but structurally cannot contribute to the collective-coordinate covariance analysis this study’s primary hypothesis depends on.</w:t>
      </w:r>
    </w:p>
    <w:p>
      <w:r>
        <w:pict>
          <v:rect style="width:0;height:1.5pt" o:hralign="center" o:hrstd="t" o:hr="t"/>
        </w:pict>
      </w:r>
    </w:p>
    <w:bookmarkEnd w:id="35"/>
    <w:bookmarkStart w:id="39" w:name="Xf26f9fd37193c69e32ab0ca0d127a4118af1423"/>
    <w:p>
      <w:pPr>
        <w:pStyle w:val="Heading2"/>
      </w:pPr>
      <w:r>
        <w:t xml:space="preserve">S5. T15, T17, T19: primary-cohort composition, verified directly against source</w:t>
      </w:r>
    </w:p>
    <w:p>
      <w:pPr>
        <w:pStyle w:val="FirstParagraph"/>
      </w:pPr>
      <w:r>
        <w:t xml:space="preserve">Three further leakage-clean, Tier 1-2 targets do not contribute to the primary apo-to-holo directional analysis. Each was checked directly against its real structural record before this section was finalized, not assumed from earlier curation notes – two of the three required a real correction once checked.</w:t>
      </w:r>
    </w:p>
    <w:bookmarkStart w:id="36" w:name="s5.1-t15-c-di-gmp-riboswitch"/>
    <w:p>
      <w:pPr>
        <w:pStyle w:val="Heading3"/>
      </w:pPr>
      <w:r>
        <w:t xml:space="preserve">S5.1 T15 (c-di-GMP riboswitch)</w:t>
      </w:r>
    </w:p>
    <w:p>
      <w:pPr>
        <w:pStyle w:val="FirstParagraph"/>
      </w:pPr>
      <w:r>
        <w:t xml:space="preserve">Only a ligand-bound structure (3IRW) passes the leakage audit; no clean unbound counterpart exists in the cohort. Checked directly: 3IRW is also a protein-RNA co-crystal, using a human U1A protein as a crystallization chaperone – the same technique already disclosed for T09 (5DDO), not previously noted for this target. Read as a disclosure-worthy caveat, not a disqualifying one, matching the same reasoning already applied to T09: every source describes the underlying switch as intrinsically ligand- and ion-driven, with U1A serving only as a crystallization aid.</w:t>
      </w:r>
    </w:p>
    <w:bookmarkEnd w:id="36"/>
    <w:bookmarkStart w:id="37" w:name="X11218be07a5134ac0e480392d98fd89956c331d"/>
    <w:p>
      <w:pPr>
        <w:pStyle w:val="Heading3"/>
      </w:pPr>
      <w:r>
        <w:t xml:space="preserve">S5.2 T17 (cobalamin riboswitch) – corrected after a real citation error was found and fixed</w:t>
      </w:r>
    </w:p>
    <w:p>
      <w:pPr>
        <w:pStyle w:val="FirstParagraph"/>
      </w:pPr>
      <w:r>
        <w:t xml:space="preserve">The candidate was originally characterized as having a genuine 5-conformer apo heterogeneity set (PDB 8FW4), a strong basis for elevating it to a case study. This was wrong, traced to a conflation between two similarly-described but distinct depositions. Checked directly against RCSB: 8FW4 is a separate X-ray structure (Ding and Stagno, 2023,</w:t>
      </w:r>
      <w:r>
        <w:t xml:space="preserve"> </w:t>
      </w:r>
      <w:r>
        <w:t xml:space="preserve">“</w:t>
      </w:r>
      <w:r>
        <w:t xml:space="preserve">holo conformation in absence of ligand,</w:t>
      </w:r>
      <w:r>
        <w:t xml:space="preserve">”</w:t>
      </w:r>
      <w:r>
        <w:t xml:space="preserve"> </w:t>
      </w:r>
      <w:r>
        <w:t xml:space="preserve">single clean RNA chain) cited by the cryo-EM heterogeneity study only as a comparison point, not one of its own five new depositions. The real cryo-EM apo structure from that study is 8SA6, confirmed directly – and 8SA6 is a genuine two-chain homodimer (entity table:</w:t>
      </w:r>
      <w:r>
        <w:t xml:space="preserve"> </w:t>
      </w:r>
      <w:r>
        <w:t xml:space="preserve">“</w:t>
      </w:r>
      <w:r>
        <w:t xml:space="preserve">Chains A, B,</w:t>
      </w:r>
      <w:r>
        <w:t xml:space="preserve">”</w:t>
      </w:r>
      <w:r>
        <w:t xml:space="preserve"> </w:t>
      </w:r>
      <w:r>
        <w:t xml:space="preserve">420 residues deposited for a 210nt sequence), the same disqualifying stoichiometry category already established for the HIV-1 dimerization initiation site and the r(CUG) repeat candidate (S2.2, rows 8 and 11). The real apo-to-holo transition for this system is well characterized and quantitatively dramatic (P5-P3 helix distance: 11.6 angstrom apo to 26.8 angstrom in one holo conformer), but is fundamentally a two-chain phenomenon, incompatible with this study’s single-sequence architecture. The case-study elevation is retracted; T17 is disclosed alongside T15 and T19, for a different specific reason than either.</w:t>
      </w:r>
    </w:p>
    <w:bookmarkEnd w:id="37"/>
    <w:bookmarkStart w:id="38" w:name="s5.3-t19-ztpzmp-riboswitch"/>
    <w:p>
      <w:pPr>
        <w:pStyle w:val="Heading3"/>
      </w:pPr>
      <w:r>
        <w:t xml:space="preserve">S5.3 T19 (ZTP/ZMP riboswitch)</w:t>
      </w:r>
    </w:p>
    <w:p>
      <w:pPr>
        <w:pStyle w:val="FirstParagraph"/>
      </w:pPr>
      <w:r>
        <w:t xml:space="preserve">Only a ligand-bound structure (6OD9) passes the leakage audit; no apo structure for this organism surfaced during verification. Two chains appear in the deposited asymmetric unit, but the structure lists two separate, independently assigned biological assemblies rather than one combined assembly – the same pattern already established for T07 (8F4O) as ordinary crystallographic packing of two independent monomeric copies, not a real dimer, consistent with this riboswitch class’s actual architecture (a single chain with two subdomains joined by an intramolecular pseudoknot). Confirmed correct as originally characterized.</w:t>
      </w:r>
    </w:p>
    <w:p>
      <w:r>
        <w:pict>
          <v:rect style="width:0;height:1.5pt" o:hralign="center" o:hrstd="t" o:hr="t"/>
        </w:pict>
      </w:r>
    </w:p>
    <w:bookmarkEnd w:id="38"/>
    <w:bookmarkEnd w:id="39"/>
    <w:bookmarkStart w:id="40" w:name="X046864c0dc4094d4d0c8018a5002a359f6b3159"/>
    <w:p>
      <w:pPr>
        <w:pStyle w:val="Heading2"/>
      </w:pPr>
      <w:r>
        <w:t xml:space="preserve">S6. Finding 1: complete, final cohort-wide result</w:t>
      </w:r>
    </w:p>
    <w:p>
      <w:pPr>
        <w:pStyle w:val="FirstParagraph"/>
      </w:pPr>
      <w:r>
        <w:t xml:space="preserve">Combining the five original pilot targets (2MIY, 4RZD, 5KH8, 7KD1, 5E54, all under the corrections in S3.1-S3.4) with the four analyzable Stage 4 targets (T02, T06, T07, HCV IRES domain IIa; T04 and T09 excluded per S4) gives the first complete result across the full generated, analyzable cohort.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Target</w:t>
            </w:r>
          </w:p>
        </w:tc>
        <w:tc>
          <w:tcPr/>
          <w:p>
            <w:pPr>
              <w:pStyle w:val="Compact"/>
              <w:jc w:val="left"/>
            </w:pPr>
            <w:r>
              <w:t xml:space="preserve">Distance dimensions clearing noise floor</w:t>
            </w:r>
          </w:p>
        </w:tc>
        <w:tc>
          <w:tcPr/>
          <w:p>
            <w:pPr>
              <w:pStyle w:val="Compact"/>
              <w:jc w:val="left"/>
            </w:pPr>
            <w:r>
              <w:t xml:space="preserve">Angle dimensions clearing noise floor</w:t>
            </w:r>
          </w:p>
        </w:tc>
      </w:tr>
      <w:tr>
        <w:tc>
          <w:tcPr/>
          <w:p>
            <w:pPr>
              <w:pStyle w:val="Compact"/>
              <w:jc w:val="left"/>
            </w:pPr>
            <w:r>
              <w:t xml:space="preserve">2MIY</w:t>
            </w:r>
          </w:p>
        </w:tc>
        <w:tc>
          <w:tcPr/>
          <w:p>
            <w:pPr>
              <w:pStyle w:val="Compact"/>
              <w:jc w:val="left"/>
            </w:pPr>
            <w:r>
              <w:t xml:space="preserve">1/1</w:t>
            </w:r>
          </w:p>
        </w:tc>
        <w:tc>
          <w:tcPr/>
          <w:p>
            <w:pPr>
              <w:pStyle w:val="Compact"/>
              <w:jc w:val="left"/>
            </w:pPr>
            <w:r>
              <w:t xml:space="preserve">1/1</w:t>
            </w:r>
          </w:p>
        </w:tc>
      </w:tr>
      <w:tr>
        <w:tc>
          <w:tcPr/>
          <w:p>
            <w:pPr>
              <w:pStyle w:val="Compact"/>
              <w:jc w:val="left"/>
            </w:pPr>
            <w:r>
              <w:t xml:space="preserve">4RZD</w:t>
            </w:r>
          </w:p>
        </w:tc>
        <w:tc>
          <w:tcPr/>
          <w:p>
            <w:pPr>
              <w:pStyle w:val="Compact"/>
              <w:jc w:val="left"/>
            </w:pPr>
            <w:r>
              <w:t xml:space="preserve">1/2</w:t>
            </w:r>
          </w:p>
        </w:tc>
        <w:tc>
          <w:tcPr/>
          <w:p>
            <w:pPr>
              <w:pStyle w:val="Compact"/>
              <w:jc w:val="left"/>
            </w:pPr>
            <w:r>
              <w:t xml:space="preserve">1/2</w:t>
            </w:r>
          </w:p>
        </w:tc>
      </w:tr>
      <w:tr>
        <w:tc>
          <w:tcPr/>
          <w:p>
            <w:pPr>
              <w:pStyle w:val="Compact"/>
              <w:jc w:val="left"/>
            </w:pPr>
            <w:r>
              <w:t xml:space="preserve">5KH8</w:t>
            </w:r>
          </w:p>
        </w:tc>
        <w:tc>
          <w:tcPr/>
          <w:p>
            <w:pPr>
              <w:pStyle w:val="Compact"/>
              <w:jc w:val="left"/>
            </w:pPr>
            <w:r>
              <w:t xml:space="preserve">2/2</w:t>
            </w:r>
          </w:p>
        </w:tc>
        <w:tc>
          <w:tcPr/>
          <w:p>
            <w:pPr>
              <w:pStyle w:val="Compact"/>
              <w:jc w:val="left"/>
            </w:pPr>
            <w:r>
              <w:t xml:space="preserve">2/2</w:t>
            </w:r>
          </w:p>
        </w:tc>
      </w:tr>
      <w:tr>
        <w:tc>
          <w:tcPr/>
          <w:p>
            <w:pPr>
              <w:pStyle w:val="Compact"/>
              <w:jc w:val="left"/>
            </w:pPr>
            <w:r>
              <w:t xml:space="preserve">7KD1</w:t>
            </w:r>
          </w:p>
        </w:tc>
        <w:tc>
          <w:tcPr/>
          <w:p>
            <w:pPr>
              <w:pStyle w:val="Compact"/>
              <w:jc w:val="left"/>
            </w:pPr>
            <w:r>
              <w:t xml:space="preserve">2/5</w:t>
            </w:r>
          </w:p>
        </w:tc>
        <w:tc>
          <w:tcPr/>
          <w:p>
            <w:pPr>
              <w:pStyle w:val="Compact"/>
              <w:jc w:val="left"/>
            </w:pPr>
            <w:r>
              <w:t xml:space="preserve">1/5</w:t>
            </w:r>
          </w:p>
        </w:tc>
      </w:tr>
      <w:tr>
        <w:tc>
          <w:tcPr/>
          <w:p>
            <w:pPr>
              <w:pStyle w:val="Compact"/>
              <w:jc w:val="left"/>
            </w:pPr>
            <w:r>
              <w:t xml:space="preserve">5E54</w:t>
            </w:r>
          </w:p>
        </w:tc>
        <w:tc>
          <w:tcPr/>
          <w:p>
            <w:pPr>
              <w:pStyle w:val="Compact"/>
              <w:jc w:val="left"/>
            </w:pPr>
            <w:r>
              <w:t xml:space="preserve">1/5</w:t>
            </w:r>
          </w:p>
        </w:tc>
        <w:tc>
          <w:tcPr/>
          <w:p>
            <w:pPr>
              <w:pStyle w:val="Compact"/>
              <w:jc w:val="left"/>
            </w:pPr>
            <w:r>
              <w:t xml:space="preserve">3/5</w:t>
            </w:r>
          </w:p>
        </w:tc>
      </w:tr>
      <w:tr>
        <w:tc>
          <w:tcPr/>
          <w:p>
            <w:pPr>
              <w:pStyle w:val="Compact"/>
              <w:jc w:val="left"/>
            </w:pPr>
            <w:r>
              <w:t xml:space="preserve">T02</w:t>
            </w:r>
          </w:p>
        </w:tc>
        <w:tc>
          <w:tcPr/>
          <w:p>
            <w:pPr>
              <w:pStyle w:val="Compact"/>
              <w:jc w:val="left"/>
            </w:pPr>
            <w:r>
              <w:t xml:space="preserve">0/1</w:t>
            </w:r>
          </w:p>
        </w:tc>
        <w:tc>
          <w:tcPr/>
          <w:p>
            <w:pPr>
              <w:pStyle w:val="Compact"/>
              <w:jc w:val="left"/>
            </w:pPr>
            <w:r>
              <w:t xml:space="preserve">0/1</w:t>
            </w:r>
          </w:p>
        </w:tc>
      </w:tr>
      <w:tr>
        <w:tc>
          <w:tcPr/>
          <w:p>
            <w:pPr>
              <w:pStyle w:val="Compact"/>
              <w:jc w:val="left"/>
            </w:pPr>
            <w:r>
              <w:t xml:space="preserve">T06</w:t>
            </w:r>
          </w:p>
        </w:tc>
        <w:tc>
          <w:tcPr/>
          <w:p>
            <w:pPr>
              <w:pStyle w:val="Compact"/>
              <w:jc w:val="left"/>
            </w:pPr>
            <w:r>
              <w:t xml:space="preserve">0/1</w:t>
            </w:r>
          </w:p>
        </w:tc>
        <w:tc>
          <w:tcPr/>
          <w:p>
            <w:pPr>
              <w:pStyle w:val="Compact"/>
              <w:jc w:val="left"/>
            </w:pPr>
            <w:r>
              <w:t xml:space="preserve">0/1</w:t>
            </w:r>
          </w:p>
        </w:tc>
      </w:tr>
      <w:tr>
        <w:tc>
          <w:tcPr/>
          <w:p>
            <w:pPr>
              <w:pStyle w:val="Compact"/>
              <w:jc w:val="left"/>
            </w:pPr>
            <w:r>
              <w:t xml:space="preserve">T07</w:t>
            </w:r>
          </w:p>
        </w:tc>
        <w:tc>
          <w:tcPr/>
          <w:p>
            <w:pPr>
              <w:pStyle w:val="Compact"/>
              <w:jc w:val="left"/>
            </w:pPr>
            <w:r>
              <w:t xml:space="preserve">6/8</w:t>
            </w:r>
          </w:p>
        </w:tc>
        <w:tc>
          <w:tcPr/>
          <w:p>
            <w:pPr>
              <w:pStyle w:val="Compact"/>
              <w:jc w:val="left"/>
            </w:pPr>
            <w:r>
              <w:t xml:space="preserve">7/8</w:t>
            </w:r>
          </w:p>
        </w:tc>
      </w:tr>
      <w:tr>
        <w:tc>
          <w:tcPr/>
          <w:p>
            <w:pPr>
              <w:pStyle w:val="Compact"/>
              <w:jc w:val="left"/>
            </w:pPr>
            <w:r>
              <w:t xml:space="preserve">HCV IRES domain IIa</w:t>
            </w:r>
          </w:p>
        </w:tc>
        <w:tc>
          <w:tcPr/>
          <w:p>
            <w:pPr>
              <w:pStyle w:val="Compact"/>
              <w:jc w:val="left"/>
            </w:pPr>
            <w:r>
              <w:t xml:space="preserve">0/4</w:t>
            </w:r>
          </w:p>
        </w:tc>
        <w:tc>
          <w:tcPr/>
          <w:p>
            <w:pPr>
              <w:pStyle w:val="Compact"/>
              <w:jc w:val="left"/>
            </w:pPr>
            <w:r>
              <w:t xml:space="preserve">0/4</w:t>
            </w:r>
          </w:p>
        </w:tc>
      </w:tr>
      <w:tr>
        <w:tc>
          <w:tcPr/>
          <w:p>
            <w:pPr>
              <w:pStyle w:val="Compact"/>
              <w:jc w:val="left"/>
            </w:pPr>
            <w:r>
              <w:rPr>
                <w:bCs/>
                <w:b/>
              </w:rPr>
              <w:t xml:space="preserve">Total (9 targets, 29 dimensions)</w:t>
            </w:r>
          </w:p>
        </w:tc>
        <w:tc>
          <w:tcPr/>
          <w:p>
            <w:pPr>
              <w:pStyle w:val="Compact"/>
              <w:jc w:val="left"/>
            </w:pPr>
            <w:r>
              <w:rPr>
                <w:bCs/>
                <w:b/>
              </w:rPr>
              <w:t xml:space="preserve">13/29 (45%)</w:t>
            </w:r>
          </w:p>
        </w:tc>
        <w:tc>
          <w:tcPr/>
          <w:p>
            <w:pPr>
              <w:pStyle w:val="Compact"/>
              <w:jc w:val="left"/>
            </w:pPr>
            <w:r>
              <w:rPr>
                <w:bCs/>
                <w:b/>
              </w:rPr>
              <w:t xml:space="preserve">15/29 (52%)</w:t>
            </w:r>
          </w:p>
        </w:tc>
      </w:tr>
    </w:tbl>
    <w:p>
      <w:pPr>
        <w:pStyle w:val="BodyText"/>
      </w:pPr>
      <w:r>
        <w:t xml:space="preserve">Close to the 5-target-only figure recorded earlier in this document (47%/53%) despite the dimension count nearly doubling – the result did not shift meaningfully once the cohort grew.</w:t>
      </w:r>
    </w:p>
    <w:p>
      <w:pPr>
        <w:pStyle w:val="BodyText"/>
      </w:pPr>
      <w:r>
        <w:rPr>
          <w:bCs/>
          <w:b/>
        </w:rPr>
        <w:t xml:space="preserve">Concentration check.</w:t>
      </w:r>
      <w:r>
        <w:t xml:space="preserve"> </w:t>
      </w:r>
      <w:r>
        <w:t xml:space="preserve">T07 alone accounts for 6 of 13 distance clears (46%) and 7 of 15 angle clears (47%) – close to half of the cohort’s total clearing dimensions from one target of nine. A leave-one-out check with T07 removed: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Distance</w:t>
            </w:r>
          </w:p>
        </w:tc>
        <w:tc>
          <w:tcPr/>
          <w:p>
            <w:pPr>
              <w:pStyle w:val="Compact"/>
              <w:jc w:val="left"/>
            </w:pPr>
            <w:r>
              <w:t xml:space="preserve">Angle</w:t>
            </w:r>
          </w:p>
        </w:tc>
      </w:tr>
      <w:tr>
        <w:tc>
          <w:tcPr/>
          <w:p>
            <w:pPr>
              <w:pStyle w:val="Compact"/>
              <w:jc w:val="left"/>
            </w:pPr>
            <w:r>
              <w:t xml:space="preserve">With T07 (9 targets, 29 dimensions)</w:t>
            </w:r>
          </w:p>
        </w:tc>
        <w:tc>
          <w:tcPr/>
          <w:p>
            <w:pPr>
              <w:pStyle w:val="Compact"/>
              <w:jc w:val="left"/>
            </w:pPr>
            <w:r>
              <w:t xml:space="preserve">13/29 (45%)</w:t>
            </w:r>
          </w:p>
        </w:tc>
        <w:tc>
          <w:tcPr/>
          <w:p>
            <w:pPr>
              <w:pStyle w:val="Compact"/>
              <w:jc w:val="left"/>
            </w:pPr>
            <w:r>
              <w:t xml:space="preserve">15/29 (52%)</w:t>
            </w:r>
          </w:p>
        </w:tc>
      </w:tr>
      <w:tr>
        <w:tc>
          <w:tcPr/>
          <w:p>
            <w:pPr>
              <w:pStyle w:val="Compact"/>
              <w:jc w:val="left"/>
            </w:pPr>
            <w:r>
              <w:t xml:space="preserve">Without T07 (8 targets, 21 dimensions)</w:t>
            </w:r>
          </w:p>
        </w:tc>
        <w:tc>
          <w:tcPr/>
          <w:p>
            <w:pPr>
              <w:pStyle w:val="Compact"/>
              <w:jc w:val="left"/>
            </w:pPr>
            <w:r>
              <w:t xml:space="preserve">7/21 (33%)</w:t>
            </w:r>
          </w:p>
        </w:tc>
        <w:tc>
          <w:tcPr/>
          <w:p>
            <w:pPr>
              <w:pStyle w:val="Compact"/>
              <w:jc w:val="left"/>
            </w:pPr>
            <w:r>
              <w:t xml:space="preserve">8/21 (38%)</w:t>
            </w:r>
          </w:p>
        </w:tc>
      </w:tr>
    </w:tbl>
    <w:p>
      <w:pPr>
        <w:pStyle w:val="BodyText"/>
      </w:pPr>
      <w:r>
        <w:t xml:space="preserve">The direction (angle clears more consistently than distance) holds with T07 removed entirely. The magnitude does not: T07 materially inflates both blocks, and its own largest values were independently resampling-validated as genuine (S3.4), not an artifact of its comparatively small accepted-perturbation count. Both the pooled result and the leave-T07-out result are reported together in the main text; the direction holds regardless of any single target’s removal, the exact magnitude does not.</w:t>
      </w:r>
    </w:p>
    <w:p>
      <w:r>
        <w:pict>
          <v:rect style="width:0;height:1.5pt" o:hralign="center" o:hrstd="t" o:hr="t"/>
        </w:pict>
      </w:r>
    </w:p>
    <w:bookmarkEnd w:id="40"/>
    <w:bookmarkStart w:id="44" w:name="Xdd949192a69a55a2c2f4e34828bfc4d043fbbfb"/>
    <w:p>
      <w:pPr>
        <w:pStyle w:val="Heading2"/>
      </w:pPr>
      <w:r>
        <w:t xml:space="preserve">S7. Statistical significance and a magnitude-correlation test – two independent null results</w:t>
      </w:r>
    </w:p>
    <w:bookmarkStart w:id="41" w:name="X221ea43147ecdc56ddeac99edec64eed6ed7be8"/>
    <w:p>
      <w:pPr>
        <w:pStyle w:val="Heading3"/>
      </w:pPr>
      <w:r>
        <w:t xml:space="preserve">S7.1 Statistical significance of Finding 1</w:t>
      </w:r>
    </w:p>
    <w:p>
      <w:pPr>
        <w:pStyle w:val="FirstParagraph"/>
      </w:pPr>
      <w:r>
        <w:t xml:space="preserve">Every dimension contributes an equal number of distance and angle observations per target (one matched pair per stem relationship), making McNemar’s exact test the appropriate paired comparison. Wilson 95% confidence intervals on the two pooled proportions overlap substantially in both the full cohort and the leave-T07-out subset.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Distance</w:t>
            </w:r>
          </w:p>
        </w:tc>
        <w:tc>
          <w:tcPr/>
          <w:p>
            <w:pPr>
              <w:pStyle w:val="Compact"/>
              <w:jc w:val="left"/>
            </w:pPr>
            <w:r>
              <w:t xml:space="preserve">Angle</w:t>
            </w:r>
          </w:p>
        </w:tc>
        <w:tc>
          <w:tcPr/>
          <w:p>
            <w:pPr>
              <w:pStyle w:val="Compact"/>
              <w:jc w:val="left"/>
            </w:pPr>
            <w:r>
              <w:t xml:space="preserve">95% CI (distance)</w:t>
            </w:r>
          </w:p>
        </w:tc>
        <w:tc>
          <w:tcPr/>
          <w:p>
            <w:pPr>
              <w:pStyle w:val="Compact"/>
              <w:jc w:val="left"/>
            </w:pPr>
            <w:r>
              <w:t xml:space="preserve">95% CI (angle)</w:t>
            </w:r>
          </w:p>
        </w:tc>
        <w:tc>
          <w:tcPr/>
          <w:p>
            <w:pPr>
              <w:pStyle w:val="Compact"/>
              <w:jc w:val="left"/>
            </w:pPr>
            <w:r>
              <w:t xml:space="preserve">McNemar exact p</w:t>
            </w:r>
          </w:p>
        </w:tc>
      </w:tr>
      <w:tr>
        <w:tc>
          <w:tcPr/>
          <w:p>
            <w:pPr>
              <w:pStyle w:val="Compact"/>
              <w:jc w:val="left"/>
            </w:pPr>
            <w:r>
              <w:t xml:space="preserve">With T07 (n=29 pairs)</w:t>
            </w:r>
          </w:p>
        </w:tc>
        <w:tc>
          <w:tcPr/>
          <w:p>
            <w:pPr>
              <w:pStyle w:val="Compact"/>
              <w:jc w:val="left"/>
            </w:pPr>
            <w:r>
              <w:t xml:space="preserve">45%</w:t>
            </w:r>
          </w:p>
        </w:tc>
        <w:tc>
          <w:tcPr/>
          <w:p>
            <w:pPr>
              <w:pStyle w:val="Compact"/>
              <w:jc w:val="left"/>
            </w:pPr>
            <w:r>
              <w:t xml:space="preserve">52%</w:t>
            </w:r>
          </w:p>
        </w:tc>
        <w:tc>
          <w:tcPr/>
          <w:p>
            <w:pPr>
              <w:pStyle w:val="Compact"/>
              <w:jc w:val="left"/>
            </w:pPr>
            <w:r>
              <w:t xml:space="preserve">[28%, 62%]</w:t>
            </w:r>
          </w:p>
        </w:tc>
        <w:tc>
          <w:tcPr/>
          <w:p>
            <w:pPr>
              <w:pStyle w:val="Compact"/>
              <w:jc w:val="left"/>
            </w:pPr>
            <w:r>
              <w:t xml:space="preserve">[34%, 69%]</w:t>
            </w:r>
          </w:p>
        </w:tc>
        <w:tc>
          <w:tcPr/>
          <w:p>
            <w:pPr>
              <w:pStyle w:val="Compact"/>
              <w:jc w:val="left"/>
            </w:pPr>
            <w:r>
              <w:t xml:space="preserve">0.6875</w:t>
            </w:r>
          </w:p>
        </w:tc>
      </w:tr>
      <w:tr>
        <w:tc>
          <w:tcPr/>
          <w:p>
            <w:pPr>
              <w:pStyle w:val="Compact"/>
              <w:jc w:val="left"/>
            </w:pPr>
            <w:r>
              <w:t xml:space="preserve">Without T07 (n=21 pairs)</w:t>
            </w:r>
          </w:p>
        </w:tc>
        <w:tc>
          <w:tcPr/>
          <w:p>
            <w:pPr>
              <w:pStyle w:val="Compact"/>
              <w:jc w:val="left"/>
            </w:pPr>
            <w:r>
              <w:t xml:space="preserve">33%</w:t>
            </w:r>
          </w:p>
        </w:tc>
        <w:tc>
          <w:tcPr/>
          <w:p>
            <w:pPr>
              <w:pStyle w:val="Compact"/>
              <w:jc w:val="left"/>
            </w:pPr>
            <w:r>
              <w:t xml:space="preserve">38%</w:t>
            </w:r>
          </w:p>
        </w:tc>
        <w:tc>
          <w:tcPr/>
          <w:p>
            <w:pPr>
              <w:pStyle w:val="Compact"/>
              <w:jc w:val="left"/>
            </w:pPr>
            <w:r>
              <w:t xml:space="preserve">[17%, 55%]</w:t>
            </w:r>
          </w:p>
        </w:tc>
        <w:tc>
          <w:tcPr/>
          <w:p>
            <w:pPr>
              <w:pStyle w:val="Compact"/>
              <w:jc w:val="left"/>
            </w:pPr>
            <w:r>
              <w:t xml:space="preserve">[21%, 59%]</w:t>
            </w:r>
          </w:p>
        </w:tc>
        <w:tc>
          <w:tcPr/>
          <w:p>
            <w:pPr>
              <w:pStyle w:val="Compact"/>
              <w:jc w:val="left"/>
            </w:pPr>
            <w:r>
              <w:t xml:space="preserve">1.0000</w:t>
            </w:r>
          </w:p>
        </w:tc>
      </w:tr>
    </w:tbl>
    <w:p>
      <w:pPr>
        <w:pStyle w:val="BodyText"/>
      </w:pPr>
      <w:r>
        <w:t xml:space="preserve">The direction (angle over distance) is consistent across every version of this tally computed this session, but consistency of direction at this sample size does not establish statistical significance. A threshold-sensitivity sweep (0.5 through 5.0) confirms both findings are stable across the choice of clearing threshold: the direction holds at every threshold tested, and no threshold reaches conventional significance (closest: p = 0.125 at threshold 0.5).</w:t>
      </w:r>
    </w:p>
    <w:bookmarkEnd w:id="41"/>
    <w:bookmarkStart w:id="42" w:name="X35bd65135ad938be91eb40c4abd9f3d492a2e51"/>
    <w:p>
      <w:pPr>
        <w:pStyle w:val="Heading3"/>
      </w:pPr>
      <w:r>
        <w:t xml:space="preserve">S7.2 Does model signal magnitude track real biological transition magnitude?</w:t>
      </w:r>
    </w:p>
    <w:p>
      <w:pPr>
        <w:pStyle w:val="FirstParagraph"/>
      </w:pPr>
      <w:r>
        <w:t xml:space="preserve">A separate, independently motivated test: whether the model’s signal strength for a target scales with the real, literature-reported size of that target’s known conformational change, rather than only whether a threshold is cleared.</w:t>
      </w:r>
    </w:p>
    <w:p>
      <w:pPr>
        <w:pStyle w:val="BodyText"/>
      </w:pPr>
      <w:r>
        <w:t xml:space="preserve">Real, sourced apo/holo structure pairs with a directly comparable, same-methodology transition magnitude exist for 3 of the 9 Finding-1 targets, confirmed against a single peer-reviewed source (Stagno and Wang, Int. J. Mol. Sci. 2024, 25(19):10682) that reports all-atom RMSD for each using one consistent method. The same source explicitly states it excludes preQ1 riboswitches on architectural grounds, accounting for the absence of comparable data for three further cohort targets rather than a gap in this search.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Target</w:t>
            </w:r>
          </w:p>
        </w:tc>
        <w:tc>
          <w:tcPr/>
          <w:p>
            <w:pPr>
              <w:pStyle w:val="Compact"/>
              <w:jc w:val="left"/>
            </w:pPr>
            <w:r>
              <w:t xml:space="preserve">Real transition (all-atom RMSD, Å)</w:t>
            </w:r>
          </w:p>
        </w:tc>
        <w:tc>
          <w:tcPr/>
          <w:p>
            <w:pPr>
              <w:pStyle w:val="Compact"/>
              <w:jc w:val="left"/>
            </w:pPr>
            <w:r>
              <w:t xml:space="preserve">Model mean signal</w:t>
            </w:r>
          </w:p>
        </w:tc>
        <w:tc>
          <w:tcPr/>
          <w:p>
            <w:pPr>
              <w:pStyle w:val="Compact"/>
              <w:jc w:val="left"/>
            </w:pPr>
            <w:r>
              <w:t xml:space="preserve">Model max signal</w:t>
            </w:r>
          </w:p>
        </w:tc>
      </w:tr>
      <w:tr>
        <w:tc>
          <w:tcPr/>
          <w:p>
            <w:pPr>
              <w:pStyle w:val="Compact"/>
              <w:jc w:val="left"/>
            </w:pPr>
            <w:r>
              <w:t xml:space="preserve">T01 (5E54)</w:t>
            </w:r>
          </w:p>
        </w:tc>
        <w:tc>
          <w:tcPr/>
          <w:p>
            <w:pPr>
              <w:pStyle w:val="Compact"/>
              <w:jc w:val="left"/>
            </w:pPr>
            <w:r>
              <w:t xml:space="preserve">3.6</w:t>
            </w:r>
          </w:p>
        </w:tc>
        <w:tc>
          <w:tcPr/>
          <w:p>
            <w:pPr>
              <w:pStyle w:val="Compact"/>
              <w:jc w:val="left"/>
            </w:pPr>
            <w:r>
              <w:t xml:space="preserve">10.61</w:t>
            </w:r>
          </w:p>
        </w:tc>
        <w:tc>
          <w:tcPr/>
          <w:p>
            <w:pPr>
              <w:pStyle w:val="Compact"/>
              <w:jc w:val="left"/>
            </w:pPr>
            <w:r>
              <w:t xml:space="preserve">77.96</w:t>
            </w:r>
          </w:p>
        </w:tc>
      </w:tr>
      <w:tr>
        <w:tc>
          <w:tcPr/>
          <w:p>
            <w:pPr>
              <w:pStyle w:val="Compact"/>
              <w:jc w:val="left"/>
            </w:pPr>
            <w:r>
              <w:t xml:space="preserve">T07 (8F4O)</w:t>
            </w:r>
          </w:p>
        </w:tc>
        <w:tc>
          <w:tcPr/>
          <w:p>
            <w:pPr>
              <w:pStyle w:val="Compact"/>
              <w:jc w:val="left"/>
            </w:pPr>
            <w:r>
              <w:t xml:space="preserve">11.2</w:t>
            </w:r>
          </w:p>
        </w:tc>
        <w:tc>
          <w:tcPr/>
          <w:p>
            <w:pPr>
              <w:pStyle w:val="Compact"/>
              <w:jc w:val="left"/>
            </w:pPr>
            <w:r>
              <w:t xml:space="preserve">20.66</w:t>
            </w:r>
          </w:p>
        </w:tc>
        <w:tc>
          <w:tcPr/>
          <w:p>
            <w:pPr>
              <w:pStyle w:val="Compact"/>
              <w:jc w:val="left"/>
            </w:pPr>
            <w:r>
              <w:t xml:space="preserve">123.97</w:t>
            </w:r>
          </w:p>
        </w:tc>
      </w:tr>
      <w:tr>
        <w:tc>
          <w:tcPr/>
          <w:p>
            <w:pPr>
              <w:pStyle w:val="Compact"/>
              <w:jc w:val="left"/>
            </w:pPr>
            <w:r>
              <w:t xml:space="preserve">T10 (7KD1)</w:t>
            </w:r>
          </w:p>
        </w:tc>
        <w:tc>
          <w:tcPr/>
          <w:p>
            <w:pPr>
              <w:pStyle w:val="Compact"/>
              <w:jc w:val="left"/>
            </w:pPr>
            <w:r>
              <w:t xml:space="preserve">3.6</w:t>
            </w:r>
          </w:p>
        </w:tc>
        <w:tc>
          <w:tcPr/>
          <w:p>
            <w:pPr>
              <w:pStyle w:val="Compact"/>
              <w:jc w:val="left"/>
            </w:pPr>
            <w:r>
              <w:t xml:space="preserve">121.57</w:t>
            </w:r>
          </w:p>
        </w:tc>
        <w:tc>
          <w:tcPr/>
          <w:p>
            <w:pPr>
              <w:pStyle w:val="Compact"/>
              <w:jc w:val="left"/>
            </w:pPr>
            <w:r>
              <w:t xml:space="preserve">1192.40</w:t>
            </w:r>
          </w:p>
        </w:tc>
      </w:tr>
    </w:tbl>
    <w:p>
      <w:pPr>
        <w:pStyle w:val="BodyText"/>
      </w:pPr>
      <w:r>
        <w:t xml:space="preserve">Spearman correlation (n=3): rho = 0.000, p = 1.000 against both model mean and model max signal. At this sample size the p-value carries little evidential weight, but the underlying pattern is informative on its own: T01 and T10 share an identical real transition magnitude yet their model signals differ by more than an order of magnitude, and T07’s larger real transition (more than three times T01/T10’s) does not correspond to the largest model signal.</w:t>
      </w:r>
    </w:p>
    <w:bookmarkEnd w:id="42"/>
    <w:bookmarkStart w:id="43" w:name="s7.3-taken-together"/>
    <w:p>
      <w:pPr>
        <w:pStyle w:val="Heading3"/>
      </w:pPr>
      <w:r>
        <w:t xml:space="preserve">S7.3 Taken together</w:t>
      </w:r>
    </w:p>
    <w:p>
      <w:pPr>
        <w:pStyle w:val="FirstParagraph"/>
      </w:pPr>
      <w:r>
        <w:t xml:space="preserve">Two independently motivated analyses – a direct significance test on the primary finding, and a magnitude-correlation test using a different real dataset – both return without support for the hypothesis that this generative model’s ensemble diversity preferentially captures real conformational information, on the current cohort. Neither result proves the hypothesis false; both are limited by small sample size rather than a large, well-powered null. Reported in full, alongside the finding itself, rather than omitted.</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2026-09-25T03:32:00Z</dcterms:created>
  <dcterms:modified xsi:type="dcterms:W3CDTF">2026-09-25T03:32:00Z</dcterms:modified>
</cp:coreProperties>
</file>

<file path=docProps/custom.xml><?xml version="1.0" encoding="utf-8"?>
<Properties xmlns="http://schemas.openxmlformats.org/officeDocument/2006/custom-properties" xmlns:vt="http://schemas.openxmlformats.org/officeDocument/2006/docPropsVTypes"/>
</file>