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60" w:line="240" w:lineRule="auto"/>
        <w:ind w:firstLine="0"/>
        <w:jc w:val="center"/>
      </w:pPr>
      <w:r>
        <w:rPr>
          <w:rFonts w:ascii="Times New Roman" w:hAnsi="Times New Roman" w:cs="Times New Roman"/>
          <w:b w:val="0"/>
          <w:i w:val="0"/>
          <w:smallCaps w:val="0"/>
          <w:sz w:val="40"/>
        </w:rPr>
        <w:t>What a Subgroup Accuracy Gap Measures: Separating Sampling Noise, Annotation Artefacts, and Model Bias in Facial Aesthetic Assessment</w:t>
      </w:r>
    </w:p>
    <w:p>
      <w:pPr>
        <w:keepNext w:val="0"/>
        <w:spacing w:before="0" w:after="80" w:line="240" w:lineRule="auto"/>
        <w:ind w:firstLine="0"/>
        <w:jc w:val="center"/>
      </w:pPr>
      <w:r>
        <w:rPr>
          <w:rFonts w:ascii="Times New Roman" w:hAnsi="Times New Roman" w:cs="Times New Roman"/>
          <w:b w:val="0"/>
          <w:i w:val="0"/>
          <w:smallCaps w:val="0"/>
          <w:sz w:val="22"/>
        </w:rPr>
        <w:t>Qaim Mehdi Rizvi, Tehzeeb Fatima, and Sana Talat</w:t>
      </w:r>
    </w:p>
    <w:p>
      <w:pPr>
        <w:keepNext w:val="0"/>
        <w:spacing w:before="0" w:after="200" w:line="240" w:lineRule="auto"/>
        <w:ind w:firstLine="0"/>
        <w:jc w:val="center"/>
      </w:pPr>
      <w:r>
        <w:rPr>
          <w:rFonts w:ascii="Times New Roman" w:hAnsi="Times New Roman" w:cs="Times New Roman"/>
          <w:b w:val="0"/>
          <w:i w:val="0"/>
          <w:smallCaps w:val="0"/>
          <w:sz w:val="16"/>
        </w:rPr>
        <w:t>Q. M. Rizvi is with the Department of CSE-CSDS and is Head of the Research and Development Cell, Brainware University, Barasat, Kolkata, West Bengal 700125, India (e-mail: sirqaim@gmail.com). T. Fatima is a Research Scholar with the Department of Biotechnology and Bioengineering, Khwaja Moinuddin Chishti Language University, Lucknow, India (e-mail: tehzeebfatima1272@gmail.com). S. Talat is a Research Scholar with the Department of CSE-CSDS, Brainware University, Kolkata, India.</w:t>
      </w:r>
    </w:p>
    <w:p>
      <w:pPr>
        <w:sectPr>
          <w:pgSz w:w="12240" w:h="15840"/>
          <w:pgMar w:top="1080" w:right="900" w:bottom="1440" w:left="900" w:header="720" w:footer="720" w:gutter="0"/>
          <w:docGrid w:linePitch="360"/>
          <w:cols w:num="1" w:space="288" w:equalWidth="1"/>
        </w:sectPr>
      </w:pPr>
    </w:p>
    <w:p>
      <w:pPr>
        <w:spacing w:after="80"/>
        <w:jc w:val="both"/>
      </w:pPr>
      <w:r>
        <w:rPr>
          <w:rFonts w:ascii="Times New Roman" w:hAnsi="Times New Roman" w:cs="Times New Roman"/>
          <w:b/>
          <w:i/>
          <w:smallCaps w:val="0"/>
          <w:sz w:val="18"/>
        </w:rPr>
        <w:t>Abstract—</w:t>
      </w:r>
      <w:r>
        <w:rPr>
          <w:rFonts w:ascii="Times New Roman" w:hAnsi="Times New Roman" w:cs="Times New Roman"/>
          <w:b/>
          <w:i w:val="0"/>
          <w:smallCaps w:val="0"/>
          <w:sz w:val="18"/>
        </w:rPr>
        <w:t>Subgroup accuracy audits have become the standard evidence that an automated system treats demographic groups equally, and the standard statistic is the spread between the best- and worst-served group. We show that this statistic is not a property of the model. It contains three separable quantities: sampling noise, which produces a positive expected spread even when every group is served identically; annotation artefacts, which arise because per-group label reliability and label spread differ and both distort correlation-type accuracy; and the residual model-side disparity, which is the only part an audit is actually about. We give estimators for the first two, validate each against a known answer, and apply the decomposition to facial aesthetic assessment on two datasets. On MEBeauty, a reported spread of 0.202 in Pearson correlation across six populations is 51% sampling noise, and nothing survives both corrections. On SCUT-FBP5500, where groups are larger and annotation is uniform, the floor is 28% of the reported spread and an excess of 0.067 survives. That residual is traceable to training representation: equalizing the training mix removes 67% of it for 0.012 of pooled accuracy. The two datasets yield opposite verdicts from superficially similar numbers, which is the point. We argue that an audit reporting an uncorrected gap can both manufacture findings and conceal them, and we set out what a credible subgroup report must disclose.</w:t>
      </w:r>
    </w:p>
    <w:p>
      <w:pPr>
        <w:spacing w:after="160"/>
        <w:jc w:val="both"/>
      </w:pPr>
      <w:r>
        <w:rPr>
          <w:rFonts w:ascii="Times New Roman" w:hAnsi="Times New Roman" w:cs="Times New Roman"/>
          <w:b/>
          <w:i/>
          <w:smallCaps w:val="0"/>
          <w:sz w:val="18"/>
        </w:rPr>
        <w:t>Index Terms—</w:t>
      </w:r>
      <w:r>
        <w:rPr>
          <w:rFonts w:ascii="Times New Roman" w:hAnsi="Times New Roman" w:cs="Times New Roman"/>
          <w:b/>
          <w:i w:val="0"/>
          <w:smallCaps w:val="0"/>
          <w:sz w:val="18"/>
        </w:rPr>
        <w:t>Algorithmic auditing, annotation reliability, facial beauty prediction, fairness evaluation, measurement error, subgroup disparity.</w:t>
      </w:r>
    </w:p>
    <w:p>
      <w:pPr>
        <w:keepNext/>
        <w:spacing w:before="200" w:after="80" w:line="240" w:lineRule="auto"/>
        <w:ind w:firstLine="0"/>
        <w:jc w:val="center"/>
      </w:pPr>
      <w:r>
        <w:rPr>
          <w:rFonts w:ascii="Times New Roman" w:hAnsi="Times New Roman" w:cs="Times New Roman"/>
          <w:b w:val="0"/>
          <w:i w:val="0"/>
          <w:smallCaps/>
          <w:sz w:val="20"/>
        </w:rPr>
        <w:t>I.  Introduction</w:t>
      </w:r>
    </w:p>
    <w:p>
      <w:pPr>
        <w:keepNext w:val="0"/>
        <w:spacing w:before="0" w:after="80" w:line="240" w:lineRule="auto"/>
        <w:ind w:firstLine="0"/>
        <w:jc w:val="both"/>
      </w:pPr>
      <w:r>
        <w:rPr>
          <w:rFonts w:ascii="Times New Roman" w:hAnsi="Times New Roman" w:cs="Times New Roman"/>
          <w:b w:val="0"/>
          <w:i w:val="0"/>
          <w:smallCaps w:val="0"/>
          <w:sz w:val="20"/>
        </w:rPr>
        <w:t>Reporting accuracy separately for demographic subgroups is now the normal way to show that an automated system does not work better for some people than for others. The practice was established by audits of commercial face analysis [1], [2] and of face recognition at scale [3]; it is embedded in reporting conventions such as model cards [4] and datasheets [5]; and it is assumed by regulatory instruments that require providers to examine their systems for group-differentiated performance [6], [7]. In almost every case the headline quantity is the same: a per-group accuracy, and the spread between the highest and the lowest.</w:t>
      </w:r>
    </w:p>
    <w:p>
      <w:pPr>
        <w:keepNext w:val="0"/>
        <w:spacing w:before="0" w:after="80" w:line="240" w:lineRule="auto"/>
        <w:ind w:firstLine="288"/>
        <w:jc w:val="both"/>
      </w:pPr>
      <w:r>
        <w:rPr>
          <w:rFonts w:ascii="Times New Roman" w:hAnsi="Times New Roman" w:cs="Times New Roman"/>
          <w:b w:val="0"/>
          <w:i w:val="0"/>
          <w:smallCaps w:val="0"/>
          <w:sz w:val="20"/>
        </w:rPr>
        <w:t>That quantity is read as a property of the model. It is not. A measured spread across groups is a sum of at least three things, only one of which is the model.</w:t>
      </w:r>
    </w:p>
    <w:p>
      <w:pPr>
        <w:keepNext w:val="0"/>
        <w:spacing w:before="0" w:after="80" w:line="240" w:lineRule="auto"/>
        <w:ind w:firstLine="288"/>
        <w:jc w:val="both"/>
      </w:pPr>
      <w:r>
        <w:rPr>
          <w:rFonts w:ascii="Times New Roman" w:hAnsi="Times New Roman" w:cs="Times New Roman"/>
          <w:b w:val="0"/>
          <w:i w:val="0"/>
          <w:smallCaps w:val="0"/>
          <w:sz w:val="20"/>
        </w:rPr>
        <w:t>The first is sampling noise. Group accuracies are estimated on finite and usually very unequal samples. The maximum minus the minimum of a set of noisy estimates has a positive expectation even when the underlying quantities are identical, and that expectation grows with the number of groups and with the imbalance between them. An intersectional audit over twelve cells, several of which contain fewer than a hundred faces, is close to the worst case for this statistic.</w:t>
      </w:r>
    </w:p>
    <w:p>
      <w:pPr>
        <w:keepNext w:val="0"/>
        <w:spacing w:before="0" w:after="80" w:line="240" w:lineRule="auto"/>
        <w:ind w:firstLine="288"/>
        <w:jc w:val="both"/>
      </w:pPr>
      <w:r>
        <w:rPr>
          <w:rFonts w:ascii="Times New Roman" w:hAnsi="Times New Roman" w:cs="Times New Roman"/>
          <w:b w:val="0"/>
          <w:i w:val="0"/>
          <w:smallCaps w:val="0"/>
          <w:sz w:val="20"/>
        </w:rPr>
        <w:t>The second is the annotation. Accuracy against human-assigned labels is bounded by how reliable those labels are, and reliability is not constant across groups: it depends on how many annotators rated each item and how much they agreed. Where accuracy is measured by correlation, it is also sensitive to how widely the labels are spread within the group. Both effects are well understood in psychometrics [8], [9], [10] and both are group-specific, so both show up in a subgroup comparison as apparent model behaviour.</w:t>
      </w:r>
    </w:p>
    <w:p>
      <w:pPr>
        <w:keepNext w:val="0"/>
        <w:spacing w:before="0" w:after="80" w:line="240" w:lineRule="auto"/>
        <w:ind w:firstLine="288"/>
        <w:jc w:val="both"/>
      </w:pPr>
      <w:r>
        <w:rPr>
          <w:rFonts w:ascii="Times New Roman" w:hAnsi="Times New Roman" w:cs="Times New Roman"/>
          <w:b w:val="0"/>
          <w:i w:val="0"/>
          <w:smallCaps w:val="0"/>
          <w:sz w:val="20"/>
        </w:rPr>
        <w:t>The third is what remains: a difference in how well the model serves different groups that is not explained by the first two. This is what an audit is for.</w:t>
      </w:r>
    </w:p>
    <w:p>
      <w:pPr>
        <w:keepNext w:val="0"/>
        <w:spacing w:before="0" w:after="80" w:line="240" w:lineRule="auto"/>
        <w:ind w:firstLine="288"/>
        <w:jc w:val="both"/>
      </w:pPr>
      <w:r>
        <w:rPr>
          <w:rFonts w:ascii="Times New Roman" w:hAnsi="Times New Roman" w:cs="Times New Roman"/>
          <w:b w:val="0"/>
          <w:i w:val="0"/>
          <w:smallCaps w:val="0"/>
          <w:sz w:val="20"/>
        </w:rPr>
        <w:t>The distinction matters because the three have different remedies and different owners. Sampling noise is fixed by collecting more data or by reporting an interval. Annotation artefacts are fixed by the people who commission the labels. Only the residual is a statement about the model, and only the residual tells a developer what to change. An audit that reports the undecomposed spread cannot say which of the three it has found.</w:t>
      </w:r>
    </w:p>
    <w:p>
      <w:pPr>
        <w:keepNext w:val="0"/>
        <w:spacing w:before="0" w:after="80" w:line="240" w:lineRule="auto"/>
        <w:ind w:firstLine="288"/>
        <w:jc w:val="both"/>
      </w:pPr>
      <w:r>
        <w:rPr>
          <w:rFonts w:ascii="Times New Roman" w:hAnsi="Times New Roman" w:cs="Times New Roman"/>
          <w:b w:val="0"/>
          <w:i w:val="0"/>
          <w:smallCaps w:val="0"/>
          <w:sz w:val="20"/>
        </w:rPr>
        <w:t>It also cuts both ways, which is the part usually missed. An uncorrected gap can manufacture a finding, by reporting as bias a spread that equal treatment would produce anyway. It can equally conceal one, because a reader who has learned to discount subgroup gaps as noisy will discount a real one. The remedy is not to distrust subgroup audits; it is to report the gap against the floor it should be measured from.</w:t>
      </w:r>
    </w:p>
    <w:p>
      <w:pPr>
        <w:keepNext w:val="0"/>
        <w:spacing w:before="0" w:after="80" w:line="240" w:lineRule="auto"/>
        <w:ind w:firstLine="288"/>
        <w:jc w:val="both"/>
      </w:pPr>
      <w:r>
        <w:rPr>
          <w:rFonts w:ascii="Times New Roman" w:hAnsi="Times New Roman" w:cs="Times New Roman"/>
          <w:b w:val="0"/>
          <w:i w:val="0"/>
          <w:smallCaps w:val="0"/>
          <w:sz w:val="20"/>
        </w:rPr>
        <w:t>We develop the decomposition in the setting of facial aesthetic assessment. The choice is deliberate. The label is explicitly an aggregate of human opinion, so annotation quality is measurable rather than assumed; large public datasets record every individual rating; the groups of interest are the ones audits care about; and the applications, which include retouching filters, cosmetic-surgery planning tools, and the ranking of people in dating and recruitment products, are consequential enough that a wrong audit verdict has a cost. The domain is also one where the construct itself is contested, which we address in Section VII rather than set aside.</w:t>
      </w:r>
    </w:p>
    <w:p>
      <w:pPr>
        <w:keepNext w:val="0"/>
        <w:spacing w:before="0" w:after="80" w:line="240" w:lineRule="auto"/>
        <w:ind w:firstLine="288"/>
        <w:jc w:val="both"/>
      </w:pPr>
      <w:r>
        <w:rPr>
          <w:rFonts w:ascii="Times New Roman" w:hAnsi="Times New Roman" w:cs="Times New Roman"/>
          <w:b w:val="0"/>
          <w:i w:val="0"/>
          <w:smallCaps w:val="0"/>
          <w:sz w:val="20"/>
        </w:rPr>
        <w:t>Our contributions are as follows.</w:t>
      </w:r>
    </w:p>
    <w:p>
      <w:pPr>
        <w:keepNext w:val="0"/>
        <w:spacing w:before="0" w:after="80" w:line="240" w:lineRule="auto"/>
        <w:ind w:firstLine="288"/>
        <w:jc w:val="both"/>
      </w:pPr>
      <w:r>
        <w:rPr>
          <w:rFonts w:ascii="Times New Roman" w:hAnsi="Times New Roman" w:cs="Times New Roman"/>
          <w:b w:val="0"/>
          <w:i/>
          <w:smallCaps w:val="0"/>
          <w:sz w:val="20"/>
        </w:rPr>
        <w:t>A decomposition</w:t>
      </w:r>
      <w:r>
        <w:rPr>
          <w:rFonts w:ascii="Times New Roman" w:hAnsi="Times New Roman" w:cs="Times New Roman"/>
          <w:b w:val="0"/>
          <w:i w:val="0"/>
          <w:smallCaps w:val="0"/>
          <w:sz w:val="20"/>
        </w:rPr>
        <w:t xml:space="preserve"> of a reported subgroup accuracy gap into a sampling-noise floor, an annotation-artefact component, and a residual, with an estimator for each (Section III).</w:t>
      </w:r>
    </w:p>
    <w:p>
      <w:pPr>
        <w:keepNext w:val="0"/>
        <w:spacing w:before="0" w:after="80" w:line="240" w:lineRule="auto"/>
        <w:ind w:firstLine="288"/>
        <w:jc w:val="both"/>
      </w:pPr>
      <w:r>
        <w:rPr>
          <w:rFonts w:ascii="Times New Roman" w:hAnsi="Times New Roman" w:cs="Times New Roman"/>
          <w:b w:val="0"/>
          <w:i/>
          <w:smallCaps w:val="0"/>
          <w:sz w:val="20"/>
        </w:rPr>
        <w:t>Known-answer validation</w:t>
      </w:r>
      <w:r>
        <w:rPr>
          <w:rFonts w:ascii="Times New Roman" w:hAnsi="Times New Roman" w:cs="Times New Roman"/>
          <w:b w:val="0"/>
          <w:i w:val="0"/>
          <w:smallCaps w:val="0"/>
          <w:sz w:val="20"/>
        </w:rPr>
        <w:t xml:space="preserve"> of every estimator. Each correction is run on data where the true value is fixed in advance, and is required to return it (Section III-E). A correction that has not been shown to recover a known answer is an assertion, and the literature on subgroup auditing contains few such demonstrations.</w:t>
      </w:r>
    </w:p>
    <w:p>
      <w:pPr>
        <w:keepNext w:val="0"/>
        <w:spacing w:before="0" w:after="80" w:line="240" w:lineRule="auto"/>
        <w:ind w:firstLine="288"/>
        <w:jc w:val="both"/>
      </w:pPr>
      <w:r>
        <w:rPr>
          <w:rFonts w:ascii="Times New Roman" w:hAnsi="Times New Roman" w:cs="Times New Roman"/>
          <w:b w:val="0"/>
          <w:i/>
          <w:smallCaps w:val="0"/>
          <w:sz w:val="20"/>
        </w:rPr>
        <w:t>A two-dataset application</w:t>
      </w:r>
      <w:r>
        <w:rPr>
          <w:rFonts w:ascii="Times New Roman" w:hAnsi="Times New Roman" w:cs="Times New Roman"/>
          <w:b w:val="0"/>
          <w:i w:val="0"/>
          <w:smallCaps w:val="0"/>
          <w:sz w:val="20"/>
        </w:rPr>
        <w:t xml:space="preserve"> in which the same pipeline produces opposite verdicts. On MEBeauty, 51% of the reported gap is noise and the remainder does not survive the annotation corrections. On SCUT-FBP5500 the floor is small and a disparity survives everything we can remove (Section V).</w:t>
      </w:r>
    </w:p>
    <w:p>
      <w:pPr>
        <w:keepNext w:val="0"/>
        <w:spacing w:before="0" w:after="80" w:line="240" w:lineRule="auto"/>
        <w:ind w:firstLine="288"/>
        <w:jc w:val="both"/>
      </w:pPr>
      <w:r>
        <w:rPr>
          <w:rFonts w:ascii="Times New Roman" w:hAnsi="Times New Roman" w:cs="Times New Roman"/>
          <w:b w:val="0"/>
          <w:i/>
          <w:smallCaps w:val="0"/>
          <w:sz w:val="20"/>
        </w:rPr>
        <w:t>An attribution of the surviving disparity.</w:t>
      </w:r>
      <w:r>
        <w:rPr>
          <w:rFonts w:ascii="Times New Roman" w:hAnsi="Times New Roman" w:cs="Times New Roman"/>
          <w:b w:val="0"/>
          <w:i w:val="0"/>
          <w:smallCaps w:val="0"/>
          <w:sz w:val="20"/>
        </w:rPr>
        <w:t xml:space="preserve"> On SCUT it tracks training representation: re-training with an ethnicity-balanced training mix removes 67% of it at a cost of 0.012 in pooled correlation (Section V-E).</w:t>
      </w:r>
    </w:p>
    <w:p>
      <w:pPr>
        <w:keepNext w:val="0"/>
        <w:spacing w:before="0" w:after="80" w:line="240" w:lineRule="auto"/>
        <w:ind w:firstLine="288"/>
        <w:jc w:val="both"/>
      </w:pPr>
      <w:r>
        <w:rPr>
          <w:rFonts w:ascii="Times New Roman" w:hAnsi="Times New Roman" w:cs="Times New Roman"/>
          <w:b w:val="0"/>
          <w:i/>
          <w:smallCaps w:val="0"/>
          <w:sz w:val="20"/>
        </w:rPr>
        <w:t>A reporting standard</w:t>
      </w:r>
      <w:r>
        <w:rPr>
          <w:rFonts w:ascii="Times New Roman" w:hAnsi="Times New Roman" w:cs="Times New Roman"/>
          <w:b w:val="0"/>
          <w:i w:val="0"/>
          <w:smallCaps w:val="0"/>
          <w:sz w:val="20"/>
        </w:rPr>
        <w:t xml:space="preserve"> for subgroup audits that follows from the above, and a discussion of the one thing correction does not do, which is change what the deployed system does to the people it serves worse (Section VI).</w:t>
      </w:r>
    </w:p>
    <w:p>
      <w:pPr>
        <w:keepNext/>
        <w:spacing w:before="200" w:after="80" w:line="240" w:lineRule="auto"/>
        <w:ind w:firstLine="0"/>
        <w:jc w:val="center"/>
      </w:pPr>
      <w:r>
        <w:rPr>
          <w:rFonts w:ascii="Times New Roman" w:hAnsi="Times New Roman" w:cs="Times New Roman"/>
          <w:b w:val="0"/>
          <w:i w:val="0"/>
          <w:smallCaps/>
          <w:sz w:val="20"/>
        </w:rPr>
        <w:t>II.  Related Work</w:t>
      </w:r>
    </w:p>
    <w:p>
      <w:pPr>
        <w:keepNext/>
        <w:spacing w:before="120" w:after="40" w:line="240" w:lineRule="auto"/>
        <w:ind w:firstLine="0"/>
        <w:jc w:val="left"/>
      </w:pPr>
      <w:r>
        <w:rPr>
          <w:rFonts w:ascii="Times New Roman" w:hAnsi="Times New Roman" w:cs="Times New Roman"/>
          <w:b w:val="0"/>
          <w:i/>
          <w:smallCaps w:val="0"/>
          <w:sz w:val="20"/>
        </w:rPr>
        <w:t>A. Subgroup auditing of face analysis</w:t>
      </w:r>
    </w:p>
    <w:p>
      <w:pPr>
        <w:keepNext w:val="0"/>
        <w:spacing w:before="0" w:after="80" w:line="240" w:lineRule="auto"/>
        <w:ind w:firstLine="0"/>
        <w:jc w:val="both"/>
      </w:pPr>
      <w:r>
        <w:rPr>
          <w:rFonts w:ascii="Times New Roman" w:hAnsi="Times New Roman" w:cs="Times New Roman"/>
          <w:b w:val="0"/>
          <w:i w:val="0"/>
          <w:smallCaps w:val="0"/>
          <w:sz w:val="20"/>
        </w:rPr>
        <w:t>Gender Shades [1] established the intersectional subgroup audit as a method and demonstrated its force; the follow-up study of vendor responses [2] showed that published audits change products. NIST’s demographic-effects report [3] extended the approach to face recognition across a large algorithm population. Kotwal and Marcel [11] survey demographic fairness in face recognition and note the recurring problem that reported differentials are rarely accompanied by uncertainty. Fairness-specific datasets such as FairFace [12] address the composition of the evaluation set but not the precision of the resulting per-group estimates. Our concern is orthogonal to all of these: given a subgroup evaluation, what does the reported number contain.</w:t>
      </w:r>
    </w:p>
    <w:p>
      <w:pPr>
        <w:keepNext/>
        <w:spacing w:before="120" w:after="40" w:line="240" w:lineRule="auto"/>
        <w:ind w:firstLine="0"/>
        <w:jc w:val="left"/>
      </w:pPr>
      <w:r>
        <w:rPr>
          <w:rFonts w:ascii="Times New Roman" w:hAnsi="Times New Roman" w:cs="Times New Roman"/>
          <w:b w:val="0"/>
          <w:i/>
          <w:smallCaps w:val="0"/>
          <w:sz w:val="20"/>
        </w:rPr>
        <w:t>B. Measurement error in fairness evaluation</w:t>
      </w:r>
    </w:p>
    <w:p>
      <w:pPr>
        <w:keepNext w:val="0"/>
        <w:spacing w:before="0" w:after="80" w:line="240" w:lineRule="auto"/>
        <w:ind w:firstLine="0"/>
        <w:jc w:val="both"/>
      </w:pPr>
      <w:r>
        <w:rPr>
          <w:rFonts w:ascii="Times New Roman" w:hAnsi="Times New Roman" w:cs="Times New Roman"/>
          <w:b w:val="0"/>
          <w:i w:val="0"/>
          <w:smallCaps w:val="0"/>
          <w:sz w:val="20"/>
        </w:rPr>
        <w:t>Jacobs and Wallach [13] argue that fairness claims are measurement claims and inherit the validity problems of the measurement. Fogliato et al. [14] show that fairness assessments made against biased noisy labels can invert, and Mitchell et al. [15] catalogue how different parity definitions encode different assumptions. The impossibility results [16] show that parity criteria conflict with one another. What this literature establishes is that labels are not ground truth. What it does not supply is a procedure that takes a specific audit, estimates the label-side contribution to the specific number reported, and says how much is left. That is what we provide.</w:t>
      </w:r>
    </w:p>
    <w:p>
      <w:pPr>
        <w:keepNext/>
        <w:spacing w:before="120" w:after="40" w:line="240" w:lineRule="auto"/>
        <w:ind w:firstLine="0"/>
        <w:jc w:val="left"/>
      </w:pPr>
      <w:r>
        <w:rPr>
          <w:rFonts w:ascii="Times New Roman" w:hAnsi="Times New Roman" w:cs="Times New Roman"/>
          <w:b w:val="0"/>
          <w:i/>
          <w:smallCaps w:val="0"/>
          <w:sz w:val="20"/>
        </w:rPr>
        <w:t>C. Correcting for unreliability and restricted range</w:t>
      </w:r>
    </w:p>
    <w:p>
      <w:pPr>
        <w:keepNext w:val="0"/>
        <w:spacing w:before="0" w:after="80" w:line="240" w:lineRule="auto"/>
        <w:ind w:firstLine="0"/>
        <w:jc w:val="both"/>
      </w:pPr>
      <w:r>
        <w:rPr>
          <w:rFonts w:ascii="Times New Roman" w:hAnsi="Times New Roman" w:cs="Times New Roman"/>
          <w:b w:val="0"/>
          <w:i w:val="0"/>
          <w:smallCaps w:val="0"/>
          <w:sz w:val="20"/>
        </w:rPr>
        <w:t>Correction for attenuation [8] and Thorndike’s case II correction for range restriction [9] are standard in personnel selection and meta-analysis [10], where they are applied to validity coefficients that are structurally identical to a per-group Pearson correlation between a model score and a human-assigned criterion. They are, to our knowledge, not part of the subgroup-auditing toolkit, and they are not applied in the facial beauty prediction literature, although the field reports Pearson correlation against mean human ratings as its primary metric.</w:t>
      </w:r>
    </w:p>
    <w:p>
      <w:pPr>
        <w:keepNext/>
        <w:spacing w:before="120" w:after="40" w:line="240" w:lineRule="auto"/>
        <w:ind w:firstLine="0"/>
        <w:jc w:val="left"/>
      </w:pPr>
      <w:r>
        <w:rPr>
          <w:rFonts w:ascii="Times New Roman" w:hAnsi="Times New Roman" w:cs="Times New Roman"/>
          <w:b w:val="0"/>
          <w:i/>
          <w:smallCaps w:val="0"/>
          <w:sz w:val="20"/>
        </w:rPr>
        <w:t>D. Facial beauty prediction</w:t>
      </w:r>
    </w:p>
    <w:p>
      <w:pPr>
        <w:keepNext w:val="0"/>
        <w:spacing w:before="0" w:after="80" w:line="240" w:lineRule="auto"/>
        <w:ind w:firstLine="0"/>
        <w:jc w:val="both"/>
      </w:pPr>
      <w:r>
        <w:rPr>
          <w:rFonts w:ascii="Times New Roman" w:hAnsi="Times New Roman" w:cs="Times New Roman"/>
          <w:b w:val="0"/>
          <w:i w:val="0"/>
          <w:smallCaps w:val="0"/>
          <w:sz w:val="20"/>
        </w:rPr>
        <w:t>The field is surveyed in [17] and [18]. Early work used geometric features derived from anthropometric canons [19], [20], [21], [22], including the first author’s earlier study [23]; later work replaced them with learned appearance representations [24], [25], [26], [27], [28], typically trained on SCUT-FBP5500 [29] with label-distribution objectives [30]. MEBeauty [31] was introduced to address the ethnic narrowness of earlier benchmarks and is accompanied by a multi-method benchmark [32]. Hamel and Busch [33] report demographic bias in deep beauty regressors and conclude that the models are biased; their analysis compares per-group performance without reference to group size or annotation quality, and is a direct example of the inference this paper examines. The normative canons themselves are contested both empirically [34] and as a theory of attractiveness [35], [36], [37], [38].</w:t>
      </w:r>
    </w:p>
    <w:p>
      <w:pPr>
        <w:keepNext/>
        <w:spacing w:before="200" w:after="80" w:line="240" w:lineRule="auto"/>
        <w:ind w:firstLine="0"/>
        <w:jc w:val="center"/>
      </w:pPr>
      <w:r>
        <w:rPr>
          <w:rFonts w:ascii="Times New Roman" w:hAnsi="Times New Roman" w:cs="Times New Roman"/>
          <w:b w:val="0"/>
          <w:i w:val="0"/>
          <w:smallCaps/>
          <w:sz w:val="20"/>
        </w:rPr>
        <w:t>III.  What a Subgroup Gap Contains</w:t>
      </w:r>
    </w:p>
    <w:p>
      <w:pPr>
        <w:keepNext/>
        <w:spacing w:before="120" w:after="40" w:line="240" w:lineRule="auto"/>
        <w:ind w:firstLine="0"/>
        <w:jc w:val="left"/>
      </w:pPr>
      <w:r>
        <w:rPr>
          <w:rFonts w:ascii="Times New Roman" w:hAnsi="Times New Roman" w:cs="Times New Roman"/>
          <w:b w:val="0"/>
          <w:i/>
          <w:smallCaps w:val="0"/>
          <w:sz w:val="20"/>
        </w:rPr>
        <w:t>A. Setup</w:t>
      </w:r>
    </w:p>
    <w:p>
      <w:pPr>
        <w:keepNext w:val="0"/>
        <w:spacing w:before="0" w:after="80" w:line="240" w:lineRule="auto"/>
        <w:ind w:firstLine="0"/>
        <w:jc w:val="both"/>
      </w:pPr>
      <w:r>
        <w:rPr>
          <w:rFonts w:ascii="Times New Roman" w:hAnsi="Times New Roman" w:cs="Times New Roman"/>
          <w:b w:val="0"/>
          <w:i w:val="0"/>
          <w:smallCaps w:val="0"/>
          <w:sz w:val="20"/>
        </w:rPr>
        <w:t>Let a model produce a score for each item, let each item carry a label obtained by averaging the ratings of several annotators, and let items be partitioned into groups indexed by g with sizes n</w:t>
      </w:r>
      <w:r>
        <w:rPr>
          <w:rFonts w:ascii="Times New Roman" w:hAnsi="Times New Roman" w:cs="Times New Roman"/>
          <w:b w:val="0"/>
          <w:i/>
          <w:smallCaps w:val="0"/>
          <w:sz w:val="20"/>
          <w:vertAlign w:val="subscript"/>
        </w:rPr>
        <w:t>g</w:t>
      </w:r>
      <w:r>
        <w:rPr>
          <w:rFonts w:ascii="Times New Roman" w:hAnsi="Times New Roman" w:cs="Times New Roman"/>
          <w:b w:val="0"/>
          <w:i w:val="0"/>
          <w:smallCaps w:val="0"/>
          <w:sz w:val="20"/>
        </w:rPr>
        <w:t>. Per-group accuracy is the Pearson correlation r</w:t>
      </w:r>
      <w:r>
        <w:rPr>
          <w:rFonts w:ascii="Times New Roman" w:hAnsi="Times New Roman" w:cs="Times New Roman"/>
          <w:b w:val="0"/>
          <w:i/>
          <w:smallCaps w:val="0"/>
          <w:sz w:val="20"/>
          <w:vertAlign w:val="subscript"/>
        </w:rPr>
        <w:t>g</w:t>
      </w:r>
      <w:r>
        <w:rPr>
          <w:rFonts w:ascii="Times New Roman" w:hAnsi="Times New Roman" w:cs="Times New Roman"/>
          <w:b w:val="0"/>
          <w:i w:val="0"/>
          <w:smallCaps w:val="0"/>
          <w:sz w:val="20"/>
        </w:rPr>
        <w:t xml:space="preserve"> between score and label within the group, which is the primary metric in this domain and the one whose behaviour under measurement error is best characterised. The reported disparity is D = max</w:t>
      </w:r>
      <w:r>
        <w:rPr>
          <w:rFonts w:ascii="Times New Roman" w:hAnsi="Times New Roman" w:cs="Times New Roman"/>
          <w:b w:val="0"/>
          <w:i/>
          <w:smallCaps w:val="0"/>
          <w:sz w:val="20"/>
          <w:vertAlign w:val="subscript"/>
        </w:rPr>
        <w:t>g</w:t>
      </w:r>
      <w:r>
        <w:rPr>
          <w:rFonts w:ascii="Times New Roman" w:hAnsi="Times New Roman" w:cs="Times New Roman"/>
          <w:b w:val="0"/>
          <w:i w:val="0"/>
          <w:smallCaps w:val="0"/>
          <w:sz w:val="20"/>
        </w:rPr>
        <w:t xml:space="preserve"> r</w:t>
      </w:r>
      <w:r>
        <w:rPr>
          <w:rFonts w:ascii="Times New Roman" w:hAnsi="Times New Roman" w:cs="Times New Roman"/>
          <w:b w:val="0"/>
          <w:i/>
          <w:smallCaps w:val="0"/>
          <w:sz w:val="20"/>
          <w:vertAlign w:val="subscript"/>
        </w:rPr>
        <w:t>g</w:t>
      </w:r>
      <w:r>
        <w:rPr>
          <w:rFonts w:ascii="Times New Roman" w:hAnsi="Times New Roman" w:cs="Times New Roman"/>
          <w:b w:val="0"/>
          <w:i w:val="0"/>
          <w:smallCaps w:val="0"/>
          <w:sz w:val="20"/>
        </w:rPr>
        <w:t xml:space="preserve"> − min</w:t>
      </w:r>
      <w:r>
        <w:rPr>
          <w:rFonts w:ascii="Times New Roman" w:hAnsi="Times New Roman" w:cs="Times New Roman"/>
          <w:b w:val="0"/>
          <w:i/>
          <w:smallCaps w:val="0"/>
          <w:sz w:val="20"/>
          <w:vertAlign w:val="subscript"/>
        </w:rPr>
        <w:t>g</w:t>
      </w:r>
      <w:r>
        <w:rPr>
          <w:rFonts w:ascii="Times New Roman" w:hAnsi="Times New Roman" w:cs="Times New Roman"/>
          <w:b w:val="0"/>
          <w:i w:val="0"/>
          <w:smallCaps w:val="0"/>
          <w:sz w:val="20"/>
        </w:rPr>
        <w:t xml:space="preserve"> r</w:t>
      </w:r>
      <w:r>
        <w:rPr>
          <w:rFonts w:ascii="Times New Roman" w:hAnsi="Times New Roman" w:cs="Times New Roman"/>
          <w:b w:val="0"/>
          <w:i/>
          <w:smallCaps w:val="0"/>
          <w:sz w:val="20"/>
          <w:vertAlign w:val="subscript"/>
        </w:rPr>
        <w:t>g</w:t>
      </w:r>
      <w:r>
        <w:rPr>
          <w:rFonts w:ascii="Times New Roman" w:hAnsi="Times New Roman" w:cs="Times New Roman"/>
          <w:b w:val="0"/>
          <w:i w:val="0"/>
          <w:smallCaps w:val="0"/>
          <w:sz w:val="20"/>
        </w:rPr>
        <w:t>. We decompose D as illustrated in Fig. 1.</w:t>
      </w:r>
    </w:p>
    <w:p>
      <w:pPr>
        <w:spacing w:before="120" w:after="40"/>
        <w:jc w:val="center"/>
      </w:pPr>
      <w:r>
        <w:drawing>
          <wp:inline xmlns:a="http://schemas.openxmlformats.org/drawingml/2006/main" xmlns:pic="http://schemas.openxmlformats.org/drawingml/2006/picture">
            <wp:extent cx="3108960" cy="2024131"/>
            <wp:docPr id="1" name="Picture 1"/>
            <wp:cNvGraphicFramePr>
              <a:graphicFrameLocks noChangeAspect="1"/>
            </wp:cNvGraphicFramePr>
            <a:graphic>
              <a:graphicData uri="http://schemas.openxmlformats.org/drawingml/2006/picture">
                <pic:pic>
                  <pic:nvPicPr>
                    <pic:cNvPr id="0" name="fig1_decomposition.png"/>
                    <pic:cNvPicPr/>
                  </pic:nvPicPr>
                  <pic:blipFill>
                    <a:blip r:embed="rId9"/>
                    <a:stretch>
                      <a:fillRect/>
                    </a:stretch>
                  </pic:blipFill>
                  <pic:spPr>
                    <a:xfrm>
                      <a:off x="0" y="0"/>
                      <a:ext cx="3108960" cy="2024131"/>
                    </a:xfrm>
                    <a:prstGeom prst="rect"/>
                  </pic:spPr>
                </pic:pic>
              </a:graphicData>
            </a:graphic>
          </wp:inline>
        </w:drawing>
      </w:r>
    </w:p>
    <w:p>
      <w:pPr>
        <w:spacing w:after="160" w:line="240" w:lineRule="auto"/>
        <w:jc w:val="both"/>
      </w:pPr>
      <w:r>
        <w:rPr>
          <w:rFonts w:ascii="Times New Roman" w:hAnsi="Times New Roman" w:cs="Times New Roman"/>
          <w:b w:val="0"/>
          <w:i w:val="0"/>
          <w:smallCaps w:val="0"/>
          <w:sz w:val="16"/>
        </w:rPr>
        <w:t xml:space="preserve">Fig. 1. </w:t>
      </w:r>
      <w:r>
        <w:rPr>
          <w:rFonts w:ascii="Times New Roman" w:hAnsi="Times New Roman" w:cs="Times New Roman"/>
          <w:b w:val="0"/>
          <w:i w:val="0"/>
          <w:smallCaps w:val="0"/>
          <w:sz w:val="16"/>
        </w:rPr>
        <w:t>A reported subgroup disparity and the three quantities inside it. Only the third is a statement about the model. The first two are properties of the evaluation design and the annotation protocol respectively, and both can be estimated from information an auditor already has.</w:t>
      </w:r>
    </w:p>
    <w:p>
      <w:pPr>
        <w:keepNext/>
        <w:spacing w:before="120" w:after="40" w:line="240" w:lineRule="auto"/>
        <w:ind w:firstLine="0"/>
        <w:jc w:val="left"/>
      </w:pPr>
      <w:r>
        <w:rPr>
          <w:rFonts w:ascii="Times New Roman" w:hAnsi="Times New Roman" w:cs="Times New Roman"/>
          <w:b w:val="0"/>
          <w:i/>
          <w:smallCaps w:val="0"/>
          <w:sz w:val="20"/>
        </w:rPr>
        <w:t>B. Source one: the sampling-noise floor</w:t>
      </w:r>
    </w:p>
    <w:p>
      <w:pPr>
        <w:keepNext w:val="0"/>
        <w:spacing w:before="0" w:after="80" w:line="240" w:lineRule="auto"/>
        <w:ind w:firstLine="0"/>
        <w:jc w:val="both"/>
      </w:pPr>
      <w:r>
        <w:rPr>
          <w:rFonts w:ascii="Times New Roman" w:hAnsi="Times New Roman" w:cs="Times New Roman"/>
          <w:b w:val="0"/>
          <w:i w:val="0"/>
          <w:smallCaps w:val="0"/>
          <w:sz w:val="20"/>
        </w:rPr>
        <w:t>Each r</w:t>
      </w:r>
      <w:r>
        <w:rPr>
          <w:rFonts w:ascii="Times New Roman" w:hAnsi="Times New Roman" w:cs="Times New Roman"/>
          <w:b w:val="0"/>
          <w:i/>
          <w:smallCaps w:val="0"/>
          <w:sz w:val="20"/>
          <w:vertAlign w:val="subscript"/>
        </w:rPr>
        <w:t>g</w:t>
      </w:r>
      <w:r>
        <w:rPr>
          <w:rFonts w:ascii="Times New Roman" w:hAnsi="Times New Roman" w:cs="Times New Roman"/>
          <w:b w:val="0"/>
          <w:i w:val="0"/>
          <w:smallCaps w:val="0"/>
          <w:sz w:val="20"/>
        </w:rPr>
        <w:t xml:space="preserve"> is an estimate from n</w:t>
      </w:r>
      <w:r>
        <w:rPr>
          <w:rFonts w:ascii="Times New Roman" w:hAnsi="Times New Roman" w:cs="Times New Roman"/>
          <w:b w:val="0"/>
          <w:i/>
          <w:smallCaps w:val="0"/>
          <w:sz w:val="20"/>
          <w:vertAlign w:val="subscript"/>
        </w:rPr>
        <w:t>g</w:t>
      </w:r>
      <w:r>
        <w:rPr>
          <w:rFonts w:ascii="Times New Roman" w:hAnsi="Times New Roman" w:cs="Times New Roman"/>
          <w:b w:val="0"/>
          <w:i w:val="0"/>
          <w:smallCaps w:val="0"/>
          <w:sz w:val="20"/>
        </w:rPr>
        <w:t xml:space="preserve"> items, with standard error that grows as n</w:t>
      </w:r>
      <w:r>
        <w:rPr>
          <w:rFonts w:ascii="Times New Roman" w:hAnsi="Times New Roman" w:cs="Times New Roman"/>
          <w:b w:val="0"/>
          <w:i/>
          <w:smallCaps w:val="0"/>
          <w:sz w:val="20"/>
          <w:vertAlign w:val="subscript"/>
        </w:rPr>
        <w:t>g</w:t>
      </w:r>
      <w:r>
        <w:rPr>
          <w:rFonts w:ascii="Times New Roman" w:hAnsi="Times New Roman" w:cs="Times New Roman"/>
          <w:b w:val="0"/>
          <w:i w:val="0"/>
          <w:smallCaps w:val="0"/>
          <w:sz w:val="20"/>
        </w:rPr>
        <w:t xml:space="preserve"> falls. The maximum minus the minimum of G such estimates is a biased estimator of the true spread: its expectation is positive when the true spread is zero, and it increases with G and with the dispersion of the n</w:t>
      </w:r>
      <w:r>
        <w:rPr>
          <w:rFonts w:ascii="Times New Roman" w:hAnsi="Times New Roman" w:cs="Times New Roman"/>
          <w:b w:val="0"/>
          <w:i/>
          <w:smallCaps w:val="0"/>
          <w:sz w:val="20"/>
          <w:vertAlign w:val="subscript"/>
        </w:rPr>
        <w:t>g</w:t>
      </w:r>
      <w:r>
        <w:rPr>
          <w:rFonts w:ascii="Times New Roman" w:hAnsi="Times New Roman" w:cs="Times New Roman"/>
          <w:b w:val="0"/>
          <w:i w:val="0"/>
          <w:smallCaps w:val="0"/>
          <w:sz w:val="20"/>
        </w:rPr>
        <w:t>. We estimate the floor directly. For a reference skill level ρ, taken as the mean of the observed per-group correlations, we simulate G groups at the observed sizes in which every group has identical true skill and identical annotation quality, compute max minus min, and repeat. The mean of that distribution is the gap an audit of this design will report when there is nothing to find; its upper tail gives a one-sided test of the observed D against the hypothesis of equal treatment.</w:t>
      </w:r>
    </w:p>
    <w:p>
      <w:pPr>
        <w:tabs>
          <w:tab w:pos="2448" w:val="center"/>
          <w:tab w:pos="4896" w:val="right"/>
        </w:tabs>
        <w:spacing w:before="80" w:after="80" w:line="240" w:lineRule="auto"/>
        <w:jc w:val="left"/>
      </w:pPr>
      <w:r>
        <w:rPr>
          <w:rFonts w:ascii="Times New Roman" w:hAnsi="Times New Roman" w:cs="Times New Roman"/>
          <w:b w:val="0"/>
          <w:i/>
          <w:smallCaps w:val="0"/>
          <w:sz w:val="20"/>
        </w:rPr>
        <w:tab/>
        <w:t>F(ρ; n</w:t>
      </w:r>
      <w:r>
        <w:rPr>
          <w:rFonts w:ascii="Times New Roman" w:hAnsi="Times New Roman" w:cs="Times New Roman"/>
          <w:b w:val="0"/>
          <w:i/>
          <w:smallCaps w:val="0"/>
          <w:sz w:val="20"/>
          <w:vertAlign w:val="subscript"/>
        </w:rPr>
        <w:t>1</w:t>
      </w:r>
      <w:r>
        <w:rPr>
          <w:rFonts w:ascii="Times New Roman" w:hAnsi="Times New Roman" w:cs="Times New Roman"/>
          <w:b w:val="0"/>
          <w:i/>
          <w:smallCaps w:val="0"/>
          <w:sz w:val="20"/>
        </w:rPr>
        <w:t>, …, n</w:t>
      </w:r>
      <w:r>
        <w:rPr>
          <w:rFonts w:ascii="Times New Roman" w:hAnsi="Times New Roman" w:cs="Times New Roman"/>
          <w:b w:val="0"/>
          <w:i/>
          <w:smallCaps w:val="0"/>
          <w:sz w:val="20"/>
          <w:vertAlign w:val="subscript"/>
        </w:rPr>
        <w:t>G</w:t>
      </w:r>
      <w:r>
        <w:rPr>
          <w:rFonts w:ascii="Times New Roman" w:hAnsi="Times New Roman" w:cs="Times New Roman"/>
          <w:b w:val="0"/>
          <w:i/>
          <w:smallCaps w:val="0"/>
          <w:sz w:val="20"/>
        </w:rPr>
        <w:t>) = E[ max</w:t>
      </w:r>
      <w:r>
        <w:rPr>
          <w:rFonts w:ascii="Times New Roman" w:hAnsi="Times New Roman" w:cs="Times New Roman"/>
          <w:b w:val="0"/>
          <w:i/>
          <w:smallCaps w:val="0"/>
          <w:sz w:val="20"/>
          <w:vertAlign w:val="subscript"/>
        </w:rPr>
        <w:t>g</w:t>
      </w:r>
      <w:r>
        <w:rPr>
          <w:rFonts w:ascii="Times New Roman" w:hAnsi="Times New Roman" w:cs="Times New Roman"/>
          <w:b w:val="0"/>
          <w:i/>
          <w:smallCaps w:val="0"/>
          <w:sz w:val="20"/>
        </w:rPr>
        <w:t xml:space="preserve"> r̂</w:t>
      </w:r>
      <w:r>
        <w:rPr>
          <w:rFonts w:ascii="Times New Roman" w:hAnsi="Times New Roman" w:cs="Times New Roman"/>
          <w:b w:val="0"/>
          <w:i/>
          <w:smallCaps w:val="0"/>
          <w:sz w:val="20"/>
          <w:vertAlign w:val="subscript"/>
        </w:rPr>
        <w:t>g</w:t>
      </w:r>
      <w:r>
        <w:rPr>
          <w:rFonts w:ascii="Times New Roman" w:hAnsi="Times New Roman" w:cs="Times New Roman"/>
          <w:b w:val="0"/>
          <w:i/>
          <w:smallCaps w:val="0"/>
          <w:sz w:val="20"/>
        </w:rPr>
        <w:t xml:space="preserve"> − min</w:t>
      </w:r>
      <w:r>
        <w:rPr>
          <w:rFonts w:ascii="Times New Roman" w:hAnsi="Times New Roman" w:cs="Times New Roman"/>
          <w:b w:val="0"/>
          <w:i/>
          <w:smallCaps w:val="0"/>
          <w:sz w:val="20"/>
          <w:vertAlign w:val="subscript"/>
        </w:rPr>
        <w:t>g</w:t>
      </w:r>
      <w:r>
        <w:rPr>
          <w:rFonts w:ascii="Times New Roman" w:hAnsi="Times New Roman" w:cs="Times New Roman"/>
          <w:b w:val="0"/>
          <w:i/>
          <w:smallCaps w:val="0"/>
          <w:sz w:val="20"/>
        </w:rPr>
        <w:t xml:space="preserve"> r̂</w:t>
      </w:r>
      <w:r>
        <w:rPr>
          <w:rFonts w:ascii="Times New Roman" w:hAnsi="Times New Roman" w:cs="Times New Roman"/>
          <w:b w:val="0"/>
          <w:i/>
          <w:smallCaps w:val="0"/>
          <w:sz w:val="20"/>
          <w:vertAlign w:val="subscript"/>
        </w:rPr>
        <w:t>g</w:t>
      </w:r>
      <w:r>
        <w:rPr>
          <w:rFonts w:ascii="Times New Roman" w:hAnsi="Times New Roman" w:cs="Times New Roman"/>
          <w:b w:val="0"/>
          <w:i/>
          <w:smallCaps w:val="0"/>
          <w:sz w:val="20"/>
        </w:rPr>
        <w:t xml:space="preserve"> ]</w:t>
        <w:tab/>
        <w:t>(1)</w:t>
      </w:r>
    </w:p>
    <w:p>
      <w:pPr>
        <w:keepNext w:val="0"/>
        <w:spacing w:before="0" w:after="80" w:line="240" w:lineRule="auto"/>
        <w:ind w:firstLine="288"/>
        <w:jc w:val="both"/>
      </w:pPr>
      <w:r>
        <w:rPr>
          <w:rFonts w:ascii="Times New Roman" w:hAnsi="Times New Roman" w:cs="Times New Roman"/>
          <w:b w:val="0"/>
          <w:i w:val="0"/>
          <w:smallCaps w:val="0"/>
          <w:sz w:val="20"/>
        </w:rPr>
        <w:t>where each r̂</w:t>
      </w:r>
      <w:r>
        <w:rPr>
          <w:rFonts w:ascii="Times New Roman" w:hAnsi="Times New Roman" w:cs="Times New Roman"/>
          <w:b w:val="0"/>
          <w:i/>
          <w:smallCaps w:val="0"/>
          <w:sz w:val="20"/>
          <w:vertAlign w:val="subscript"/>
        </w:rPr>
        <w:t>g</w:t>
      </w:r>
      <w:r>
        <w:rPr>
          <w:rFonts w:ascii="Times New Roman" w:hAnsi="Times New Roman" w:cs="Times New Roman"/>
          <w:b w:val="0"/>
          <w:i w:val="0"/>
          <w:smallCaps w:val="0"/>
          <w:sz w:val="20"/>
        </w:rPr>
        <w:t xml:space="preserve"> is drawn as the sample correlation of n</w:t>
      </w:r>
      <w:r>
        <w:rPr>
          <w:rFonts w:ascii="Times New Roman" w:hAnsi="Times New Roman" w:cs="Times New Roman"/>
          <w:b w:val="0"/>
          <w:i/>
          <w:smallCaps w:val="0"/>
          <w:sz w:val="20"/>
          <w:vertAlign w:val="subscript"/>
        </w:rPr>
        <w:t>g</w:t>
      </w:r>
      <w:r>
        <w:rPr>
          <w:rFonts w:ascii="Times New Roman" w:hAnsi="Times New Roman" w:cs="Times New Roman"/>
          <w:b w:val="0"/>
          <w:i w:val="0"/>
          <w:smallCaps w:val="0"/>
          <w:sz w:val="20"/>
        </w:rPr>
        <w:t xml:space="preserve"> pairs whose population correlation is ρ. The observed D is referred to this distribution, giving both the expected gap under equal treatment and a one-sided p-value.</w:t>
      </w:r>
    </w:p>
    <w:p>
      <w:pPr>
        <w:keepNext w:val="0"/>
        <w:spacing w:before="0" w:after="80" w:line="240" w:lineRule="auto"/>
        <w:ind w:firstLine="288"/>
        <w:jc w:val="both"/>
      </w:pPr>
      <w:r>
        <w:rPr>
          <w:rFonts w:ascii="Times New Roman" w:hAnsi="Times New Roman" w:cs="Times New Roman"/>
          <w:b w:val="0"/>
          <w:i w:val="0"/>
          <w:smallCaps w:val="0"/>
          <w:sz w:val="20"/>
        </w:rPr>
        <w:t>This is not a correction applied to D. It is the null that D must be compared against, and it has to be recomputed whenever the reference skill level changes, because the sampling variance of a correlation depends on its magnitude. In particular, a correction that raises the mean per-group correlation lowers the floor, so a corrected gap must be judged against a correspondingly corrected floor rather than the original one.</w:t>
      </w:r>
    </w:p>
    <w:p>
      <w:pPr>
        <w:keepNext/>
        <w:spacing w:before="120" w:after="40" w:line="240" w:lineRule="auto"/>
        <w:ind w:firstLine="0"/>
        <w:jc w:val="left"/>
      </w:pPr>
      <w:r>
        <w:rPr>
          <w:rFonts w:ascii="Times New Roman" w:hAnsi="Times New Roman" w:cs="Times New Roman"/>
          <w:b w:val="0"/>
          <w:i/>
          <w:smallCaps w:val="0"/>
          <w:sz w:val="20"/>
        </w:rPr>
        <w:t>C. Source two: annotation artefacts</w:t>
      </w:r>
    </w:p>
    <w:p>
      <w:pPr>
        <w:keepNext w:val="0"/>
        <w:spacing w:before="0" w:after="80" w:line="240" w:lineRule="auto"/>
        <w:ind w:firstLine="0"/>
        <w:jc w:val="both"/>
      </w:pPr>
      <w:r>
        <w:rPr>
          <w:rFonts w:ascii="Times New Roman" w:hAnsi="Times New Roman" w:cs="Times New Roman"/>
          <w:b w:val="0"/>
          <w:i w:val="0"/>
          <w:smallCaps w:val="0"/>
          <w:sz w:val="20"/>
        </w:rPr>
        <w:t>Two distinct effects operate. The first is attenuation. If the label for group g has reliability ρ</w:t>
      </w:r>
      <w:r>
        <w:rPr>
          <w:rFonts w:ascii="Times New Roman" w:hAnsi="Times New Roman" w:cs="Times New Roman"/>
          <w:b w:val="0"/>
          <w:i/>
          <w:smallCaps w:val="0"/>
          <w:sz w:val="20"/>
          <w:vertAlign w:val="subscript"/>
        </w:rPr>
        <w:t>g</w:t>
      </w:r>
      <w:r>
        <w:rPr>
          <w:rFonts w:ascii="Times New Roman" w:hAnsi="Times New Roman" w:cs="Times New Roman"/>
          <w:b w:val="0"/>
          <w:i w:val="0"/>
          <w:smallCaps w:val="0"/>
          <w:sz w:val="20"/>
        </w:rPr>
        <w:t>, no predictor can correlate with it above √ρ</w:t>
      </w:r>
      <w:r>
        <w:rPr>
          <w:rFonts w:ascii="Times New Roman" w:hAnsi="Times New Roman" w:cs="Times New Roman"/>
          <w:b w:val="0"/>
          <w:i/>
          <w:smallCaps w:val="0"/>
          <w:sz w:val="20"/>
          <w:vertAlign w:val="subscript"/>
        </w:rPr>
        <w:t>g</w:t>
      </w:r>
      <w:r>
        <w:rPr>
          <w:rFonts w:ascii="Times New Roman" w:hAnsi="Times New Roman" w:cs="Times New Roman"/>
          <w:b w:val="0"/>
          <w:i w:val="0"/>
          <w:smallCaps w:val="0"/>
          <w:sz w:val="20"/>
        </w:rPr>
        <w:t>, and an observed r</w:t>
      </w:r>
      <w:r>
        <w:rPr>
          <w:rFonts w:ascii="Times New Roman" w:hAnsi="Times New Roman" w:cs="Times New Roman"/>
          <w:b w:val="0"/>
          <w:i/>
          <w:smallCaps w:val="0"/>
          <w:sz w:val="20"/>
          <w:vertAlign w:val="subscript"/>
        </w:rPr>
        <w:t>g</w:t>
      </w:r>
      <w:r>
        <w:rPr>
          <w:rFonts w:ascii="Times New Roman" w:hAnsi="Times New Roman" w:cs="Times New Roman"/>
          <w:b w:val="0"/>
          <w:i w:val="0"/>
          <w:smallCaps w:val="0"/>
          <w:sz w:val="20"/>
        </w:rPr>
        <w:t xml:space="preserve"> understates the correlation with the underlying quantity by that factor. We estimate ρ</w:t>
      </w:r>
      <w:r>
        <w:rPr>
          <w:rFonts w:ascii="Times New Roman" w:hAnsi="Times New Roman" w:cs="Times New Roman"/>
          <w:b w:val="0"/>
          <w:i/>
          <w:smallCaps w:val="0"/>
          <w:sz w:val="20"/>
          <w:vertAlign w:val="subscript"/>
        </w:rPr>
        <w:t>g</w:t>
      </w:r>
      <w:r>
        <w:rPr>
          <w:rFonts w:ascii="Times New Roman" w:hAnsi="Times New Roman" w:cs="Times New Roman"/>
          <w:b w:val="0"/>
          <w:i w:val="0"/>
          <w:smallCaps w:val="0"/>
          <w:sz w:val="20"/>
        </w:rPr>
        <w:t xml:space="preserve"> from the individual ratings using the variance components of a crossed random-effects decomposition, which gives the reliability of a mean of k</w:t>
      </w:r>
      <w:r>
        <w:rPr>
          <w:rFonts w:ascii="Times New Roman" w:hAnsi="Times New Roman" w:cs="Times New Roman"/>
          <w:b w:val="0"/>
          <w:i/>
          <w:smallCaps w:val="0"/>
          <w:sz w:val="20"/>
          <w:vertAlign w:val="subscript"/>
        </w:rPr>
        <w:t>g</w:t>
      </w:r>
      <w:r>
        <w:rPr>
          <w:rFonts w:ascii="Times New Roman" w:hAnsi="Times New Roman" w:cs="Times New Roman"/>
          <w:b w:val="0"/>
          <w:i w:val="0"/>
          <w:smallCaps w:val="0"/>
          <w:sz w:val="20"/>
        </w:rPr>
        <w:t xml:space="preserve"> raters by the Spearman–Brown relation; the disattenuated value is r</w:t>
      </w:r>
      <w:r>
        <w:rPr>
          <w:rFonts w:ascii="Times New Roman" w:hAnsi="Times New Roman" w:cs="Times New Roman"/>
          <w:b w:val="0"/>
          <w:i/>
          <w:smallCaps w:val="0"/>
          <w:sz w:val="20"/>
          <w:vertAlign w:val="subscript"/>
        </w:rPr>
        <w:t>g</w:t>
      </w:r>
      <w:r>
        <w:rPr>
          <w:rFonts w:ascii="Times New Roman" w:hAnsi="Times New Roman" w:cs="Times New Roman"/>
          <w:b w:val="0"/>
          <w:i w:val="0"/>
          <w:smallCaps w:val="0"/>
          <w:sz w:val="20"/>
        </w:rPr>
        <w:t>/√ρ</w:t>
      </w:r>
      <w:r>
        <w:rPr>
          <w:rFonts w:ascii="Times New Roman" w:hAnsi="Times New Roman" w:cs="Times New Roman"/>
          <w:b w:val="0"/>
          <w:i/>
          <w:smallCaps w:val="0"/>
          <w:sz w:val="20"/>
          <w:vertAlign w:val="subscript"/>
        </w:rPr>
        <w:t>g</w:t>
      </w:r>
      <w:r>
        <w:rPr>
          <w:rFonts w:ascii="Times New Roman" w:hAnsi="Times New Roman" w:cs="Times New Roman"/>
          <w:b w:val="0"/>
          <w:i w:val="0"/>
          <w:smallCaps w:val="0"/>
          <w:sz w:val="20"/>
        </w:rPr>
        <w:t>. Reliability varies across groups whenever the number of annotators per item or the level of agreement varies, and in datasets assembled from convenience pools both do.</w:t>
      </w:r>
    </w:p>
    <w:p>
      <w:pPr>
        <w:tabs>
          <w:tab w:pos="2448" w:val="center"/>
          <w:tab w:pos="4896" w:val="right"/>
        </w:tabs>
        <w:spacing w:before="80" w:after="80" w:line="240" w:lineRule="auto"/>
        <w:jc w:val="left"/>
      </w:pPr>
      <w:r>
        <w:rPr>
          <w:rFonts w:ascii="Times New Roman" w:hAnsi="Times New Roman" w:cs="Times New Roman"/>
          <w:b w:val="0"/>
          <w:i/>
          <w:smallCaps w:val="0"/>
          <w:sz w:val="20"/>
        </w:rPr>
        <w:tab/>
        <w:t>r̄</w:t>
      </w:r>
      <w:r>
        <w:rPr>
          <w:rFonts w:ascii="Times New Roman" w:hAnsi="Times New Roman" w:cs="Times New Roman"/>
          <w:b w:val="0"/>
          <w:i/>
          <w:smallCaps w:val="0"/>
          <w:sz w:val="20"/>
          <w:vertAlign w:val="subscript"/>
        </w:rPr>
        <w:t>g</w:t>
      </w:r>
      <w:r>
        <w:rPr>
          <w:rFonts w:ascii="Times New Roman" w:hAnsi="Times New Roman" w:cs="Times New Roman"/>
          <w:b w:val="0"/>
          <w:i/>
          <w:smallCaps w:val="0"/>
          <w:sz w:val="20"/>
        </w:rPr>
        <w:t xml:space="preserve"> = r</w:t>
      </w:r>
      <w:r>
        <w:rPr>
          <w:rFonts w:ascii="Times New Roman" w:hAnsi="Times New Roman" w:cs="Times New Roman"/>
          <w:b w:val="0"/>
          <w:i/>
          <w:smallCaps w:val="0"/>
          <w:sz w:val="20"/>
          <w:vertAlign w:val="subscript"/>
        </w:rPr>
        <w:t>g</w:t>
      </w:r>
      <w:r>
        <w:rPr>
          <w:rFonts w:ascii="Times New Roman" w:hAnsi="Times New Roman" w:cs="Times New Roman"/>
          <w:b w:val="0"/>
          <w:i/>
          <w:smallCaps w:val="0"/>
          <w:sz w:val="20"/>
        </w:rPr>
        <w:t xml:space="preserve"> / √ρ</w:t>
      </w:r>
      <w:r>
        <w:rPr>
          <w:rFonts w:ascii="Times New Roman" w:hAnsi="Times New Roman" w:cs="Times New Roman"/>
          <w:b w:val="0"/>
          <w:i/>
          <w:smallCaps w:val="0"/>
          <w:sz w:val="20"/>
          <w:vertAlign w:val="subscript"/>
        </w:rPr>
        <w:t>g</w:t>
      </w:r>
      <w:r>
        <w:rPr>
          <w:rFonts w:ascii="Times New Roman" w:hAnsi="Times New Roman" w:cs="Times New Roman"/>
          <w:b w:val="0"/>
          <w:i/>
          <w:smallCaps w:val="0"/>
          <w:sz w:val="20"/>
        </w:rPr>
        <w:tab/>
        <w:t>(2)</w:t>
      </w:r>
    </w:p>
    <w:p>
      <w:pPr>
        <w:keepNext w:val="0"/>
        <w:spacing w:before="0" w:after="80" w:line="240" w:lineRule="auto"/>
        <w:ind w:firstLine="288"/>
        <w:jc w:val="both"/>
      </w:pPr>
      <w:r>
        <w:rPr>
          <w:rFonts w:ascii="Times New Roman" w:hAnsi="Times New Roman" w:cs="Times New Roman"/>
          <w:b w:val="0"/>
          <w:i w:val="0"/>
          <w:smallCaps w:val="0"/>
          <w:sz w:val="20"/>
        </w:rPr>
        <w:t>The second is range restriction. Pearson correlation falls when the spread of the criterion within a group is narrower than in the pooled sample, even with no change in the underlying relation. With u</w:t>
      </w:r>
      <w:r>
        <w:rPr>
          <w:rFonts w:ascii="Times New Roman" w:hAnsi="Times New Roman" w:cs="Times New Roman"/>
          <w:b w:val="0"/>
          <w:i/>
          <w:smallCaps w:val="0"/>
          <w:sz w:val="20"/>
          <w:vertAlign w:val="subscript"/>
        </w:rPr>
        <w:t>g</w:t>
      </w:r>
      <w:r>
        <w:rPr>
          <w:rFonts w:ascii="Times New Roman" w:hAnsi="Times New Roman" w:cs="Times New Roman"/>
          <w:b w:val="0"/>
          <w:i w:val="0"/>
          <w:smallCaps w:val="0"/>
          <w:sz w:val="20"/>
        </w:rPr>
        <w:t xml:space="preserve"> the ratio of the pooled label standard deviation to the group’s, Thorndike’s case II correction gives the value that would be observed at the pooled spread. Groups whose faces happen to be rated over a narrow band therefore appear to be served worse, and groups rated over a wide band appear to be served better, purely as an artefact of the sample composition.</w:t>
      </w:r>
    </w:p>
    <w:p>
      <w:pPr>
        <w:tabs>
          <w:tab w:pos="2448" w:val="center"/>
          <w:tab w:pos="4896" w:val="right"/>
        </w:tabs>
        <w:spacing w:before="80" w:after="80" w:line="240" w:lineRule="auto"/>
        <w:jc w:val="left"/>
      </w:pPr>
      <w:r>
        <w:rPr>
          <w:rFonts w:ascii="Times New Roman" w:hAnsi="Times New Roman" w:cs="Times New Roman"/>
          <w:b w:val="0"/>
          <w:i/>
          <w:smallCaps w:val="0"/>
          <w:sz w:val="20"/>
        </w:rPr>
        <w:tab/>
        <w:t>r̃</w:t>
      </w:r>
      <w:r>
        <w:rPr>
          <w:rFonts w:ascii="Times New Roman" w:hAnsi="Times New Roman" w:cs="Times New Roman"/>
          <w:b w:val="0"/>
          <w:i/>
          <w:smallCaps w:val="0"/>
          <w:sz w:val="20"/>
          <w:vertAlign w:val="subscript"/>
        </w:rPr>
        <w:t>g</w:t>
      </w:r>
      <w:r>
        <w:rPr>
          <w:rFonts w:ascii="Times New Roman" w:hAnsi="Times New Roman" w:cs="Times New Roman"/>
          <w:b w:val="0"/>
          <w:i/>
          <w:smallCaps w:val="0"/>
          <w:sz w:val="20"/>
        </w:rPr>
        <w:t xml:space="preserve"> = u</w:t>
      </w:r>
      <w:r>
        <w:rPr>
          <w:rFonts w:ascii="Times New Roman" w:hAnsi="Times New Roman" w:cs="Times New Roman"/>
          <w:b w:val="0"/>
          <w:i/>
          <w:smallCaps w:val="0"/>
          <w:sz w:val="20"/>
          <w:vertAlign w:val="subscript"/>
        </w:rPr>
        <w:t>g</w:t>
      </w:r>
      <w:r>
        <w:rPr>
          <w:rFonts w:ascii="Times New Roman" w:hAnsi="Times New Roman" w:cs="Times New Roman"/>
          <w:b w:val="0"/>
          <w:i/>
          <w:smallCaps w:val="0"/>
          <w:sz w:val="20"/>
        </w:rPr>
        <w:t xml:space="preserve"> r</w:t>
      </w:r>
      <w:r>
        <w:rPr>
          <w:rFonts w:ascii="Times New Roman" w:hAnsi="Times New Roman" w:cs="Times New Roman"/>
          <w:b w:val="0"/>
          <w:i/>
          <w:smallCaps w:val="0"/>
          <w:sz w:val="20"/>
          <w:vertAlign w:val="subscript"/>
        </w:rPr>
        <w:t>g</w:t>
      </w:r>
      <w:r>
        <w:rPr>
          <w:rFonts w:ascii="Times New Roman" w:hAnsi="Times New Roman" w:cs="Times New Roman"/>
          <w:b w:val="0"/>
          <w:i/>
          <w:smallCaps w:val="0"/>
          <w:sz w:val="20"/>
        </w:rPr>
        <w:t xml:space="preserve"> / √(1 + r</w:t>
      </w:r>
      <w:r>
        <w:rPr>
          <w:rFonts w:ascii="Times New Roman" w:hAnsi="Times New Roman" w:cs="Times New Roman"/>
          <w:b w:val="0"/>
          <w:i/>
          <w:smallCaps w:val="0"/>
          <w:sz w:val="20"/>
          <w:vertAlign w:val="subscript"/>
        </w:rPr>
        <w:t>g</w:t>
      </w:r>
      <w:r>
        <w:rPr>
          <w:rFonts w:ascii="Times New Roman" w:hAnsi="Times New Roman" w:cs="Times New Roman"/>
          <w:b w:val="0"/>
          <w:i/>
          <w:smallCaps w:val="0"/>
          <w:sz w:val="20"/>
        </w:rPr>
        <w:t>² (u</w:t>
      </w:r>
      <w:r>
        <w:rPr>
          <w:rFonts w:ascii="Times New Roman" w:hAnsi="Times New Roman" w:cs="Times New Roman"/>
          <w:b w:val="0"/>
          <w:i/>
          <w:smallCaps w:val="0"/>
          <w:sz w:val="20"/>
          <w:vertAlign w:val="subscript"/>
        </w:rPr>
        <w:t>g</w:t>
      </w:r>
      <w:r>
        <w:rPr>
          <w:rFonts w:ascii="Times New Roman" w:hAnsi="Times New Roman" w:cs="Times New Roman"/>
          <w:b w:val="0"/>
          <w:i/>
          <w:smallCaps w:val="0"/>
          <w:sz w:val="20"/>
        </w:rPr>
        <w:t>² − 1))</w:t>
        <w:tab/>
        <w:t>(3)</w:t>
      </w:r>
    </w:p>
    <w:p>
      <w:pPr>
        <w:keepNext w:val="0"/>
        <w:spacing w:before="0" w:after="80" w:line="240" w:lineRule="auto"/>
        <w:ind w:firstLine="288"/>
        <w:jc w:val="both"/>
      </w:pPr>
      <w:r>
        <w:rPr>
          <w:rFonts w:ascii="Times New Roman" w:hAnsi="Times New Roman" w:cs="Times New Roman"/>
          <w:b w:val="0"/>
          <w:i w:val="0"/>
          <w:smallCaps w:val="0"/>
          <w:sz w:val="20"/>
        </w:rPr>
        <w:t>The two corrections act in opposite directions for some groups, so neither can be applied alone without risk of overstating the other. We therefore report the gap after each correction separately and after both.</w:t>
      </w:r>
    </w:p>
    <w:p>
      <w:pPr>
        <w:keepNext/>
        <w:spacing w:before="120" w:after="40" w:line="240" w:lineRule="auto"/>
        <w:ind w:firstLine="0"/>
        <w:jc w:val="left"/>
      </w:pPr>
      <w:r>
        <w:rPr>
          <w:rFonts w:ascii="Times New Roman" w:hAnsi="Times New Roman" w:cs="Times New Roman"/>
          <w:b w:val="0"/>
          <w:i/>
          <w:smallCaps w:val="0"/>
          <w:sz w:val="20"/>
        </w:rPr>
        <w:t>D. Source three: the residual</w:t>
      </w:r>
    </w:p>
    <w:p>
      <w:pPr>
        <w:keepNext w:val="0"/>
        <w:spacing w:before="0" w:after="80" w:line="240" w:lineRule="auto"/>
        <w:ind w:firstLine="0"/>
        <w:jc w:val="both"/>
      </w:pPr>
      <w:r>
        <w:rPr>
          <w:rFonts w:ascii="Times New Roman" w:hAnsi="Times New Roman" w:cs="Times New Roman"/>
          <w:b w:val="0"/>
          <w:i w:val="0"/>
          <w:smallCaps w:val="0"/>
          <w:sz w:val="20"/>
        </w:rPr>
        <w:t>What remains after the annotation corrections, measured against the recomputed floor, is the model-side disparity. It is the quantity an audit should report, and the only one for which a developer is answerable. In Section V-E we take the analysis one step further and ask what the residual on SCUT-FBP5500 is made of, since a residual that is an artefact of the training mix has an immediate remedy and one that is not does not.</w:t>
      </w:r>
    </w:p>
    <w:p>
      <w:pPr>
        <w:keepNext/>
        <w:spacing w:before="120" w:after="40" w:line="240" w:lineRule="auto"/>
        <w:ind w:firstLine="0"/>
        <w:jc w:val="left"/>
      </w:pPr>
      <w:r>
        <w:rPr>
          <w:rFonts w:ascii="Times New Roman" w:hAnsi="Times New Roman" w:cs="Times New Roman"/>
          <w:b w:val="0"/>
          <w:i/>
          <w:smallCaps w:val="0"/>
          <w:sz w:val="20"/>
        </w:rPr>
        <w:t>E. Validating the estimators</w:t>
      </w:r>
    </w:p>
    <w:p>
      <w:pPr>
        <w:keepNext w:val="0"/>
        <w:spacing w:before="0" w:after="80" w:line="240" w:lineRule="auto"/>
        <w:ind w:firstLine="0"/>
        <w:jc w:val="both"/>
      </w:pPr>
      <w:r>
        <w:rPr>
          <w:rFonts w:ascii="Times New Roman" w:hAnsi="Times New Roman" w:cs="Times New Roman"/>
          <w:b w:val="0"/>
          <w:i w:val="0"/>
          <w:smallCaps w:val="0"/>
          <w:sz w:val="20"/>
        </w:rPr>
        <w:t>Each estimator is required to recover a value fixed in advance. For attenuation, we generate a predictor whose true correlation with a latent trait is 0.80, observe it against a label of known reliability, and require r/√ρ to return 0.80. For range restriction, we truncate the latent trait to produce groups of known restricted spread and require the Thorndike correction to return 0.80 from each. Results are in Table I. All six recoveries land within 0.002 of the true value at n = 200,000, so the estimators are implemented correctly and any failure to remove a gap in the real data is a statement about the data and not about the arithmetic.</w:t>
      </w:r>
    </w:p>
    <w:p>
      <w:pPr>
        <w:keepNext/>
        <w:spacing w:before="160" w:after="20" w:line="240" w:lineRule="auto"/>
        <w:ind w:firstLine="0"/>
        <w:jc w:val="center"/>
      </w:pPr>
      <w:r>
        <w:rPr>
          <w:rFonts w:ascii="Times New Roman" w:hAnsi="Times New Roman" w:cs="Times New Roman"/>
          <w:b w:val="0"/>
          <w:i w:val="0"/>
          <w:smallCaps w:val="0"/>
          <w:sz w:val="16"/>
        </w:rPr>
        <w:t>TABLE I</w:t>
      </w:r>
    </w:p>
    <w:p>
      <w:pPr>
        <w:keepNext/>
        <w:spacing w:before="0" w:after="60" w:line="240" w:lineRule="auto"/>
        <w:ind w:firstLine="0"/>
        <w:jc w:val="both"/>
      </w:pPr>
      <w:r>
        <w:rPr>
          <w:rFonts w:ascii="Times New Roman" w:hAnsi="Times New Roman" w:cs="Times New Roman"/>
          <w:b w:val="0"/>
          <w:i w:val="0"/>
          <w:smallCaps w:val="0"/>
          <w:sz w:val="16"/>
        </w:rPr>
        <w:t>Known-answer recovery of the two label-side estimators. Each row generates data in which the true correlation is 0.80 by construction and requires the estimator to return it; n = 200,000 per condition. All six recoveries land within 0.002 of the target.</w:t>
      </w:r>
    </w:p>
    <w:tbl>
      <w:tblPr>
        <w:jc w:val="center"/>
        <w:tblLook w:firstColumn="1" w:firstRow="1" w:lastColumn="0" w:lastRow="0" w:noHBand="0" w:noVBand="1" w:val="04A0"/>
        <w:tblW w:w="4896" w:type="dxa"/>
        <w:tblLayout w:type="fixed"/>
      </w:tblPr>
      <w:tblGrid>
        <w:gridCol w:w="2332"/>
        <w:gridCol w:w="892"/>
        <w:gridCol w:w="921"/>
        <w:gridCol w:w="748"/>
      </w:tblGrid>
      <w:tr>
        <w:trPr>
          <w:cantSplit/>
        </w:trPr>
        <w:tc>
          <w:tcPr>
            <w:tcW w:type="dxa" w:w="2333"/>
            <w:tcBorders>
              <w:top w:val="single" w:sz="8" w:color="000000"/>
              <w:bottom w:val="nil" w:sz="0" w:color="000000"/>
            </w:tcBorders>
          </w:tcPr>
          <w:p>
            <w:pPr>
              <w:keepNext/>
              <w:spacing w:before="12" w:after="12" w:line="240" w:lineRule="auto"/>
              <w:jc w:val="left"/>
            </w:pPr>
            <w:r/>
            <w:r>
              <w:rPr>
                <w:rFonts w:ascii="Times New Roman" w:hAnsi="Times New Roman" w:cs="Times New Roman"/>
                <w:b/>
                <w:i w:val="0"/>
                <w:smallCaps w:val="0"/>
                <w:sz w:val="15"/>
              </w:rPr>
              <w:t>Condition</w:t>
            </w:r>
          </w:p>
        </w:tc>
        <w:tc>
          <w:tcPr>
            <w:tcW w:type="dxa" w:w="893"/>
            <w:tcBorders>
              <w:top w:val="single" w:sz="8" w:color="000000"/>
              <w:bottom w:val="nil" w:sz="0" w:color="000000"/>
            </w:tcBorders>
          </w:tcPr>
          <w:p>
            <w:pPr>
              <w:keepNext/>
              <w:spacing w:before="12" w:after="12" w:line="240" w:lineRule="auto"/>
              <w:jc w:val="center"/>
            </w:pPr>
            <w:r/>
            <w:r>
              <w:rPr>
                <w:rFonts w:ascii="Times New Roman" w:hAnsi="Times New Roman" w:cs="Times New Roman"/>
                <w:b/>
                <w:i w:val="0"/>
                <w:smallCaps w:val="0"/>
                <w:sz w:val="15"/>
              </w:rPr>
              <w:t>Observed</w:t>
            </w:r>
          </w:p>
        </w:tc>
        <w:tc>
          <w:tcPr>
            <w:tcW w:type="dxa" w:w="922"/>
            <w:tcBorders>
              <w:top w:val="single" w:sz="8" w:color="000000"/>
              <w:bottom w:val="nil" w:sz="0" w:color="000000"/>
            </w:tcBorders>
          </w:tcPr>
          <w:p>
            <w:pPr>
              <w:keepNext/>
              <w:spacing w:before="12" w:after="12" w:line="240" w:lineRule="auto"/>
              <w:jc w:val="center"/>
            </w:pPr>
            <w:r/>
            <w:r>
              <w:rPr>
                <w:rFonts w:ascii="Times New Roman" w:hAnsi="Times New Roman" w:cs="Times New Roman"/>
                <w:b/>
                <w:i w:val="0"/>
                <w:smallCaps w:val="0"/>
                <w:sz w:val="15"/>
              </w:rPr>
              <w:t>Corrected</w:t>
            </w:r>
          </w:p>
        </w:tc>
        <w:tc>
          <w:tcPr>
            <w:tcW w:type="dxa" w:w="749"/>
            <w:tcBorders>
              <w:top w:val="single" w:sz="8" w:color="000000"/>
              <w:bottom w:val="nil" w:sz="0" w:color="000000"/>
            </w:tcBorders>
          </w:tcPr>
          <w:p>
            <w:pPr>
              <w:keepNext/>
              <w:spacing w:before="12" w:after="12" w:line="240" w:lineRule="auto"/>
              <w:jc w:val="center"/>
            </w:pPr>
            <w:r/>
            <w:r>
              <w:rPr>
                <w:rFonts w:ascii="Times New Roman" w:hAnsi="Times New Roman" w:cs="Times New Roman"/>
                <w:b/>
                <w:i w:val="0"/>
                <w:smallCaps w:val="0"/>
                <w:sz w:val="15"/>
              </w:rPr>
              <w:t>True ρ</w:t>
            </w:r>
          </w:p>
        </w:tc>
      </w:tr>
      <w:tr>
        <w:trPr>
          <w:cantSplit/>
        </w:trPr>
        <w:tc>
          <w:tcPr>
            <w:tcW w:type="dxa" w:w="2333"/>
            <w:tcBorders>
              <w:top w:val="single" w:sz="4" w:color="000000"/>
              <w:bottom w:val="nil" w:sz="0" w:color="000000"/>
            </w:tcBorders>
          </w:tcPr>
          <w:p>
            <w:pPr>
              <w:keepNext/>
              <w:spacing w:before="12" w:after="12" w:line="240" w:lineRule="auto"/>
              <w:jc w:val="left"/>
            </w:pPr>
            <w:r/>
            <w:r>
              <w:rPr>
                <w:rFonts w:ascii="Times New Roman" w:hAnsi="Times New Roman" w:cs="Times New Roman"/>
                <w:b w:val="0"/>
                <w:i w:val="0"/>
                <w:smallCaps w:val="0"/>
                <w:sz w:val="15"/>
              </w:rPr>
              <w:t>Attenuation, reliability 0.85</w:t>
            </w:r>
          </w:p>
        </w:tc>
        <w:tc>
          <w:tcPr>
            <w:tcW w:type="dxa" w:w="893"/>
            <w:tcBorders>
              <w:top w:val="single" w:sz="4"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0.7375</w:t>
            </w:r>
          </w:p>
        </w:tc>
        <w:tc>
          <w:tcPr>
            <w:tcW w:type="dxa" w:w="922"/>
            <w:tcBorders>
              <w:top w:val="single" w:sz="4"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0.8000</w:t>
            </w:r>
          </w:p>
        </w:tc>
        <w:tc>
          <w:tcPr>
            <w:tcW w:type="dxa" w:w="749"/>
            <w:tcBorders>
              <w:top w:val="single" w:sz="4"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0.80</w:t>
            </w:r>
          </w:p>
        </w:tc>
      </w:tr>
      <w:tr>
        <w:trPr>
          <w:cantSplit/>
        </w:trPr>
        <w:tc>
          <w:tcPr>
            <w:tcW w:type="dxa" w:w="2333"/>
            <w:tcBorders>
              <w:top w:val="nil" w:sz="0" w:color="000000"/>
              <w:bottom w:val="nil" w:sz="0" w:color="000000"/>
            </w:tcBorders>
          </w:tcPr>
          <w:p>
            <w:pPr>
              <w:keepNext/>
              <w:spacing w:before="12" w:after="12" w:line="240" w:lineRule="auto"/>
              <w:jc w:val="left"/>
            </w:pPr>
            <w:r/>
            <w:r>
              <w:rPr>
                <w:rFonts w:ascii="Times New Roman" w:hAnsi="Times New Roman" w:cs="Times New Roman"/>
                <w:b w:val="0"/>
                <w:i w:val="0"/>
                <w:smallCaps w:val="0"/>
                <w:sz w:val="15"/>
              </w:rPr>
              <w:t>Attenuation, reliability 0.90</w:t>
            </w:r>
          </w:p>
        </w:tc>
        <w:tc>
          <w:tcPr>
            <w:tcW w:type="dxa" w:w="893"/>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0.7585</w:t>
            </w:r>
          </w:p>
        </w:tc>
        <w:tc>
          <w:tcPr>
            <w:tcW w:type="dxa" w:w="922"/>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0.7996</w:t>
            </w:r>
          </w:p>
        </w:tc>
        <w:tc>
          <w:tcPr>
            <w:tcW w:type="dxa" w:w="749"/>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0.80</w:t>
            </w:r>
          </w:p>
        </w:tc>
      </w:tr>
      <w:tr>
        <w:trPr>
          <w:cantSplit/>
        </w:trPr>
        <w:tc>
          <w:tcPr>
            <w:tcW w:type="dxa" w:w="2333"/>
            <w:tcBorders>
              <w:top w:val="nil" w:sz="0" w:color="000000"/>
              <w:bottom w:val="nil" w:sz="0" w:color="000000"/>
            </w:tcBorders>
          </w:tcPr>
          <w:p>
            <w:pPr>
              <w:keepNext/>
              <w:spacing w:before="12" w:after="12" w:line="240" w:lineRule="auto"/>
              <w:jc w:val="left"/>
            </w:pPr>
            <w:r/>
            <w:r>
              <w:rPr>
                <w:rFonts w:ascii="Times New Roman" w:hAnsi="Times New Roman" w:cs="Times New Roman"/>
                <w:b w:val="0"/>
                <w:i w:val="0"/>
                <w:smallCaps w:val="0"/>
                <w:sz w:val="15"/>
              </w:rPr>
              <w:t>Attenuation, reliability 0.95</w:t>
            </w:r>
          </w:p>
        </w:tc>
        <w:tc>
          <w:tcPr>
            <w:tcW w:type="dxa" w:w="893"/>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0.7807</w:t>
            </w:r>
          </w:p>
        </w:tc>
        <w:tc>
          <w:tcPr>
            <w:tcW w:type="dxa" w:w="922"/>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0.8010</w:t>
            </w:r>
          </w:p>
        </w:tc>
        <w:tc>
          <w:tcPr>
            <w:tcW w:type="dxa" w:w="749"/>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0.80</w:t>
            </w:r>
          </w:p>
        </w:tc>
      </w:tr>
      <w:tr>
        <w:trPr>
          <w:cantSplit/>
        </w:trPr>
        <w:tc>
          <w:tcPr>
            <w:tcW w:type="dxa" w:w="2333"/>
            <w:tcBorders>
              <w:top w:val="nil" w:sz="0" w:color="000000"/>
              <w:bottom w:val="nil" w:sz="0" w:color="000000"/>
            </w:tcBorders>
          </w:tcPr>
          <w:p>
            <w:pPr>
              <w:keepNext/>
              <w:spacing w:before="12" w:after="12" w:line="240" w:lineRule="auto"/>
              <w:jc w:val="left"/>
            </w:pPr>
            <w:r/>
            <w:r>
              <w:rPr>
                <w:rFonts w:ascii="Times New Roman" w:hAnsi="Times New Roman" w:cs="Times New Roman"/>
                <w:b w:val="0"/>
                <w:i w:val="0"/>
                <w:smallCaps w:val="0"/>
                <w:sz w:val="15"/>
              </w:rPr>
              <w:t>Range restriction, u=1.014 (n=199,436)</w:t>
            </w:r>
          </w:p>
        </w:tc>
        <w:tc>
          <w:tcPr>
            <w:tcW w:type="dxa" w:w="893"/>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0.7973</w:t>
            </w:r>
          </w:p>
        </w:tc>
        <w:tc>
          <w:tcPr>
            <w:tcW w:type="dxa" w:w="922"/>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0.8014</w:t>
            </w:r>
          </w:p>
        </w:tc>
        <w:tc>
          <w:tcPr>
            <w:tcW w:type="dxa" w:w="749"/>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0.80</w:t>
            </w:r>
          </w:p>
        </w:tc>
      </w:tr>
      <w:tr>
        <w:trPr>
          <w:cantSplit/>
        </w:trPr>
        <w:tc>
          <w:tcPr>
            <w:tcW w:type="dxa" w:w="2333"/>
            <w:tcBorders>
              <w:top w:val="nil" w:sz="0" w:color="000000"/>
              <w:bottom w:val="nil" w:sz="0" w:color="000000"/>
            </w:tcBorders>
          </w:tcPr>
          <w:p>
            <w:pPr>
              <w:keepNext/>
              <w:spacing w:before="12" w:after="12" w:line="240" w:lineRule="auto"/>
              <w:jc w:val="left"/>
            </w:pPr>
            <w:r/>
            <w:r>
              <w:rPr>
                <w:rFonts w:ascii="Times New Roman" w:hAnsi="Times New Roman" w:cs="Times New Roman"/>
                <w:b w:val="0"/>
                <w:i w:val="0"/>
                <w:smallCaps w:val="0"/>
                <w:sz w:val="15"/>
              </w:rPr>
              <w:t>Range restriction, u=1.590 (n=154,136)</w:t>
            </w:r>
          </w:p>
        </w:tc>
        <w:tc>
          <w:tcPr>
            <w:tcW w:type="dxa" w:w="893"/>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0.6450</w:t>
            </w:r>
          </w:p>
        </w:tc>
        <w:tc>
          <w:tcPr>
            <w:tcW w:type="dxa" w:w="922"/>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0.8018</w:t>
            </w:r>
          </w:p>
        </w:tc>
        <w:tc>
          <w:tcPr>
            <w:tcW w:type="dxa" w:w="749"/>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0.80</w:t>
            </w:r>
          </w:p>
        </w:tc>
      </w:tr>
      <w:tr>
        <w:trPr>
          <w:cantSplit/>
        </w:trPr>
        <w:tc>
          <w:tcPr>
            <w:tcW w:type="dxa" w:w="2333"/>
            <w:tcBorders>
              <w:top w:val="nil" w:sz="0" w:color="000000"/>
              <w:bottom w:val="single" w:sz="8" w:color="000000"/>
            </w:tcBorders>
          </w:tcPr>
          <w:p>
            <w:pPr>
              <w:keepNext w:val="0"/>
              <w:spacing w:before="12" w:after="12" w:line="240" w:lineRule="auto"/>
              <w:jc w:val="left"/>
            </w:pPr>
            <w:r/>
            <w:r>
              <w:rPr>
                <w:rFonts w:ascii="Times New Roman" w:hAnsi="Times New Roman" w:cs="Times New Roman"/>
                <w:b w:val="0"/>
                <w:i w:val="0"/>
                <w:smallCaps w:val="0"/>
                <w:sz w:val="15"/>
              </w:rPr>
              <w:t>Range restriction, u=2.252 (n=115,452)</w:t>
            </w:r>
          </w:p>
        </w:tc>
        <w:tc>
          <w:tcPr>
            <w:tcW w:type="dxa" w:w="893"/>
            <w:tcBorders>
              <w:top w:val="nil" w:sz="0" w:color="000000"/>
              <w:bottom w:val="single" w:sz="8" w:color="000000"/>
            </w:tcBorders>
          </w:tcPr>
          <w:p>
            <w:pPr>
              <w:keepNext w:val="0"/>
              <w:spacing w:before="12" w:after="12" w:line="240" w:lineRule="auto"/>
              <w:jc w:val="center"/>
            </w:pPr>
            <w:r/>
            <w:r>
              <w:rPr>
                <w:rFonts w:ascii="Times New Roman" w:hAnsi="Times New Roman" w:cs="Times New Roman"/>
                <w:b w:val="0"/>
                <w:i w:val="0"/>
                <w:smallCaps w:val="0"/>
                <w:sz w:val="15"/>
              </w:rPr>
              <w:t>0.5109</w:t>
            </w:r>
          </w:p>
        </w:tc>
        <w:tc>
          <w:tcPr>
            <w:tcW w:type="dxa" w:w="922"/>
            <w:tcBorders>
              <w:top w:val="nil" w:sz="0" w:color="000000"/>
              <w:bottom w:val="single" w:sz="8" w:color="000000"/>
            </w:tcBorders>
          </w:tcPr>
          <w:p>
            <w:pPr>
              <w:keepNext w:val="0"/>
              <w:spacing w:before="12" w:after="12" w:line="240" w:lineRule="auto"/>
              <w:jc w:val="center"/>
            </w:pPr>
            <w:r/>
            <w:r>
              <w:rPr>
                <w:rFonts w:ascii="Times New Roman" w:hAnsi="Times New Roman" w:cs="Times New Roman"/>
                <w:b w:val="0"/>
                <w:i w:val="0"/>
                <w:smallCaps w:val="0"/>
                <w:sz w:val="15"/>
              </w:rPr>
              <w:t>0.8011</w:t>
            </w:r>
          </w:p>
        </w:tc>
        <w:tc>
          <w:tcPr>
            <w:tcW w:type="dxa" w:w="749"/>
            <w:tcBorders>
              <w:top w:val="nil" w:sz="0" w:color="000000"/>
              <w:bottom w:val="single" w:sz="8" w:color="000000"/>
            </w:tcBorders>
          </w:tcPr>
          <w:p>
            <w:pPr>
              <w:keepNext w:val="0"/>
              <w:spacing w:before="12" w:after="12" w:line="240" w:lineRule="auto"/>
              <w:jc w:val="center"/>
            </w:pPr>
            <w:r/>
            <w:r>
              <w:rPr>
                <w:rFonts w:ascii="Times New Roman" w:hAnsi="Times New Roman" w:cs="Times New Roman"/>
                <w:b w:val="0"/>
                <w:i w:val="0"/>
                <w:smallCaps w:val="0"/>
                <w:sz w:val="15"/>
              </w:rPr>
              <w:t>0.80</w:t>
            </w:r>
          </w:p>
        </w:tc>
      </w:tr>
    </w:tbl>
    <w:p>
      <w:pPr>
        <w:keepNext w:val="0"/>
        <w:spacing w:before="0" w:after="120" w:line="240" w:lineRule="auto"/>
        <w:ind w:firstLine="0"/>
        <w:jc w:val="both"/>
      </w:pPr>
    </w:p>
    <w:p>
      <w:pPr>
        <w:keepNext w:val="0"/>
        <w:spacing w:before="0" w:after="80" w:line="240" w:lineRule="auto"/>
        <w:ind w:firstLine="0"/>
        <w:jc w:val="both"/>
      </w:pPr>
      <w:r>
        <w:rPr>
          <w:rFonts w:ascii="Times New Roman" w:hAnsi="Times New Roman" w:cs="Times New Roman"/>
          <w:b w:val="0"/>
          <w:i w:val="0"/>
          <w:smallCaps w:val="0"/>
          <w:sz w:val="20"/>
        </w:rPr>
        <w:t>The floor estimator is validated by construction: in the simulation every group has identical true skill, so any spread it reports is by definition sampling noise. We draw 4,000 replicates at each design and reference level. Table II gives the floor for the three groupings analysed in this paper. The MEBeauty design, with six groups ranging from 72 to 581 items, produces an expected gap of 0.104 at a reference correlation of 0.70 with nothing whatever to find; the SCUT-FBP5500 design, with four groups from 719 to 1,993, produces 0.032.</w:t>
      </w:r>
    </w:p>
    <w:p>
      <w:pPr>
        <w:keepNext/>
        <w:spacing w:before="160" w:after="20" w:line="240" w:lineRule="auto"/>
        <w:ind w:firstLine="0"/>
        <w:jc w:val="center"/>
      </w:pPr>
      <w:r>
        <w:rPr>
          <w:rFonts w:ascii="Times New Roman" w:hAnsi="Times New Roman" w:cs="Times New Roman"/>
          <w:b w:val="0"/>
          <w:i w:val="0"/>
          <w:smallCaps w:val="0"/>
          <w:sz w:val="16"/>
        </w:rPr>
        <w:t>TABLE II</w:t>
      </w:r>
    </w:p>
    <w:p>
      <w:pPr>
        <w:keepNext/>
        <w:spacing w:before="0" w:after="60" w:line="240" w:lineRule="auto"/>
        <w:ind w:firstLine="0"/>
        <w:jc w:val="both"/>
      </w:pPr>
      <w:r>
        <w:rPr>
          <w:rFonts w:ascii="Times New Roman" w:hAnsi="Times New Roman" w:cs="Times New Roman"/>
          <w:b w:val="0"/>
          <w:i w:val="0"/>
          <w:smallCaps w:val="0"/>
          <w:sz w:val="16"/>
        </w:rPr>
        <w:t>The sampling-noise floor: the expected max−min spread in Pearson r when every group has identical true skill and identical annotation quality, at the observed group sizes. ρ is the common true skill level; 4,000 replicates each. These are the values an audit of each design will report when there is nothing to find.</w:t>
      </w:r>
    </w:p>
    <w:tbl>
      <w:tblPr>
        <w:jc w:val="center"/>
        <w:tblLook w:firstColumn="1" w:firstRow="1" w:lastColumn="0" w:lastRow="0" w:noHBand="0" w:noVBand="1" w:val="04A0"/>
        <w:tblW w:w="4896" w:type="dxa"/>
        <w:tblLayout w:type="fixed"/>
      </w:tblPr>
      <w:tblGrid>
        <w:gridCol w:w="2131"/>
        <w:gridCol w:w="374"/>
        <w:gridCol w:w="792"/>
        <w:gridCol w:w="792"/>
        <w:gridCol w:w="806"/>
      </w:tblGrid>
      <w:tr>
        <w:trPr>
          <w:cantSplit/>
        </w:trPr>
        <w:tc>
          <w:tcPr>
            <w:tcW w:type="dxa" w:w="2131"/>
            <w:tcBorders>
              <w:top w:val="single" w:sz="8" w:color="000000"/>
              <w:bottom w:val="nil" w:sz="0" w:color="000000"/>
            </w:tcBorders>
          </w:tcPr>
          <w:p>
            <w:pPr>
              <w:keepNext/>
              <w:spacing w:before="12" w:after="12" w:line="240" w:lineRule="auto"/>
              <w:jc w:val="left"/>
            </w:pPr>
            <w:r/>
            <w:r>
              <w:rPr>
                <w:rFonts w:ascii="Times New Roman" w:hAnsi="Times New Roman" w:cs="Times New Roman"/>
                <w:b/>
                <w:i w:val="0"/>
                <w:smallCaps w:val="0"/>
                <w:sz w:val="15"/>
              </w:rPr>
              <w:t>Evaluation design</w:t>
            </w:r>
          </w:p>
        </w:tc>
        <w:tc>
          <w:tcPr>
            <w:tcW w:type="dxa" w:w="374"/>
            <w:tcBorders>
              <w:top w:val="single" w:sz="8" w:color="000000"/>
              <w:bottom w:val="nil" w:sz="0" w:color="000000"/>
            </w:tcBorders>
          </w:tcPr>
          <w:p>
            <w:pPr>
              <w:keepNext/>
              <w:spacing w:before="12" w:after="12" w:line="240" w:lineRule="auto"/>
              <w:jc w:val="center"/>
            </w:pPr>
            <w:r/>
            <w:r>
              <w:rPr>
                <w:rFonts w:ascii="Times New Roman" w:hAnsi="Times New Roman" w:cs="Times New Roman"/>
                <w:b/>
                <w:i w:val="0"/>
                <w:smallCaps w:val="0"/>
                <w:sz w:val="15"/>
              </w:rPr>
              <w:t>G</w:t>
            </w:r>
          </w:p>
        </w:tc>
        <w:tc>
          <w:tcPr>
            <w:tcW w:type="dxa" w:w="792"/>
            <w:tcBorders>
              <w:top w:val="single" w:sz="8" w:color="000000"/>
              <w:bottom w:val="nil" w:sz="0" w:color="000000"/>
            </w:tcBorders>
          </w:tcPr>
          <w:p>
            <w:pPr>
              <w:keepNext/>
              <w:spacing w:before="12" w:after="12" w:line="240" w:lineRule="auto"/>
              <w:jc w:val="center"/>
            </w:pPr>
            <w:r/>
            <w:r>
              <w:rPr>
                <w:rFonts w:ascii="Times New Roman" w:hAnsi="Times New Roman" w:cs="Times New Roman"/>
                <w:b/>
                <w:i w:val="0"/>
                <w:smallCaps w:val="0"/>
                <w:sz w:val="15"/>
              </w:rPr>
              <w:t>ρ = .60</w:t>
            </w:r>
          </w:p>
        </w:tc>
        <w:tc>
          <w:tcPr>
            <w:tcW w:type="dxa" w:w="792"/>
            <w:tcBorders>
              <w:top w:val="single" w:sz="8" w:color="000000"/>
              <w:bottom w:val="nil" w:sz="0" w:color="000000"/>
            </w:tcBorders>
          </w:tcPr>
          <w:p>
            <w:pPr>
              <w:keepNext/>
              <w:spacing w:before="12" w:after="12" w:line="240" w:lineRule="auto"/>
              <w:jc w:val="center"/>
            </w:pPr>
            <w:r/>
            <w:r>
              <w:rPr>
                <w:rFonts w:ascii="Times New Roman" w:hAnsi="Times New Roman" w:cs="Times New Roman"/>
                <w:b/>
                <w:i w:val="0"/>
                <w:smallCaps w:val="0"/>
                <w:sz w:val="15"/>
              </w:rPr>
              <w:t>ρ = .70</w:t>
            </w:r>
          </w:p>
        </w:tc>
        <w:tc>
          <w:tcPr>
            <w:tcW w:type="dxa" w:w="806"/>
            <w:tcBorders>
              <w:top w:val="single" w:sz="8" w:color="000000"/>
              <w:bottom w:val="nil" w:sz="0" w:color="000000"/>
            </w:tcBorders>
          </w:tcPr>
          <w:p>
            <w:pPr>
              <w:keepNext/>
              <w:spacing w:before="12" w:after="12" w:line="240" w:lineRule="auto"/>
              <w:jc w:val="center"/>
            </w:pPr>
            <w:r/>
            <w:r>
              <w:rPr>
                <w:rFonts w:ascii="Times New Roman" w:hAnsi="Times New Roman" w:cs="Times New Roman"/>
                <w:b/>
                <w:i w:val="0"/>
                <w:smallCaps w:val="0"/>
                <w:sz w:val="15"/>
              </w:rPr>
              <w:t>ρ = .80</w:t>
            </w:r>
          </w:p>
        </w:tc>
      </w:tr>
      <w:tr>
        <w:trPr>
          <w:cantSplit/>
        </w:trPr>
        <w:tc>
          <w:tcPr>
            <w:tcW w:type="dxa" w:w="2131"/>
            <w:tcBorders>
              <w:top w:val="single" w:sz="4" w:color="000000"/>
              <w:bottom w:val="nil" w:sz="0" w:color="000000"/>
            </w:tcBorders>
          </w:tcPr>
          <w:p>
            <w:pPr>
              <w:keepNext/>
              <w:spacing w:before="12" w:after="12" w:line="240" w:lineRule="auto"/>
              <w:jc w:val="left"/>
            </w:pPr>
            <w:r/>
            <w:r>
              <w:rPr>
                <w:rFonts w:ascii="Times New Roman" w:hAnsi="Times New Roman" w:cs="Times New Roman"/>
                <w:b w:val="0"/>
                <w:i w:val="0"/>
                <w:smallCaps w:val="0"/>
                <w:sz w:val="15"/>
              </w:rPr>
              <w:t>MEBeauty, 6 groups</w:t>
            </w:r>
          </w:p>
        </w:tc>
        <w:tc>
          <w:tcPr>
            <w:tcW w:type="dxa" w:w="374"/>
            <w:tcBorders>
              <w:top w:val="single" w:sz="4"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6</w:t>
            </w:r>
          </w:p>
        </w:tc>
        <w:tc>
          <w:tcPr>
            <w:tcW w:type="dxa" w:w="792"/>
            <w:tcBorders>
              <w:top w:val="single" w:sz="4"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0.129</w:t>
            </w:r>
          </w:p>
        </w:tc>
        <w:tc>
          <w:tcPr>
            <w:tcW w:type="dxa" w:w="792"/>
            <w:tcBorders>
              <w:top w:val="single" w:sz="4"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0.104</w:t>
            </w:r>
          </w:p>
        </w:tc>
        <w:tc>
          <w:tcPr>
            <w:tcW w:type="dxa" w:w="806"/>
            <w:tcBorders>
              <w:top w:val="single" w:sz="4"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0.073</w:t>
            </w:r>
          </w:p>
        </w:tc>
      </w:tr>
      <w:tr>
        <w:trPr>
          <w:cantSplit/>
        </w:trPr>
        <w:tc>
          <w:tcPr>
            <w:tcW w:type="dxa" w:w="2131"/>
            <w:tcBorders>
              <w:top w:val="nil" w:sz="0" w:color="000000"/>
              <w:bottom w:val="nil" w:sz="0" w:color="000000"/>
            </w:tcBorders>
          </w:tcPr>
          <w:p>
            <w:pPr>
              <w:keepNext/>
              <w:spacing w:before="12" w:after="12" w:line="240" w:lineRule="auto"/>
              <w:jc w:val="left"/>
            </w:pPr>
            <w:r/>
            <w:r>
              <w:rPr>
                <w:rFonts w:ascii="Times New Roman" w:hAnsi="Times New Roman" w:cs="Times New Roman"/>
                <w:b w:val="0"/>
                <w:i w:val="0"/>
                <w:smallCaps w:val="0"/>
                <w:sz w:val="15"/>
              </w:rPr>
              <w:t>SCUT-FBP5500, 4 subgroups</w:t>
            </w:r>
          </w:p>
        </w:tc>
        <w:tc>
          <w:tcPr>
            <w:tcW w:type="dxa" w:w="374"/>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4</w:t>
            </w:r>
          </w:p>
        </w:tc>
        <w:tc>
          <w:tcPr>
            <w:tcW w:type="dxa" w:w="792"/>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0.040</w:t>
            </w:r>
          </w:p>
        </w:tc>
        <w:tc>
          <w:tcPr>
            <w:tcW w:type="dxa" w:w="792"/>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0.032</w:t>
            </w:r>
          </w:p>
        </w:tc>
        <w:tc>
          <w:tcPr>
            <w:tcW w:type="dxa" w:w="806"/>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0.023</w:t>
            </w:r>
          </w:p>
        </w:tc>
      </w:tr>
      <w:tr>
        <w:trPr>
          <w:cantSplit/>
        </w:trPr>
        <w:tc>
          <w:tcPr>
            <w:tcW w:type="dxa" w:w="2131"/>
            <w:tcBorders>
              <w:top w:val="nil" w:sz="0" w:color="000000"/>
              <w:bottom w:val="single" w:sz="8" w:color="000000"/>
            </w:tcBorders>
          </w:tcPr>
          <w:p>
            <w:pPr>
              <w:keepNext w:val="0"/>
              <w:spacing w:before="12" w:after="12" w:line="240" w:lineRule="auto"/>
              <w:jc w:val="left"/>
            </w:pPr>
            <w:r/>
            <w:r>
              <w:rPr>
                <w:rFonts w:ascii="Times New Roman" w:hAnsi="Times New Roman" w:cs="Times New Roman"/>
                <w:b w:val="0"/>
                <w:i w:val="0"/>
                <w:smallCaps w:val="0"/>
                <w:sz w:val="15"/>
              </w:rPr>
              <w:t>SCUT-FBP5500, 2 ethnicities</w:t>
            </w:r>
          </w:p>
        </w:tc>
        <w:tc>
          <w:tcPr>
            <w:tcW w:type="dxa" w:w="374"/>
            <w:tcBorders>
              <w:top w:val="nil" w:sz="0" w:color="000000"/>
              <w:bottom w:val="single" w:sz="8" w:color="000000"/>
            </w:tcBorders>
          </w:tcPr>
          <w:p>
            <w:pPr>
              <w:keepNext w:val="0"/>
              <w:spacing w:before="12" w:after="12" w:line="240" w:lineRule="auto"/>
              <w:jc w:val="center"/>
            </w:pPr>
            <w:r/>
            <w:r>
              <w:rPr>
                <w:rFonts w:ascii="Times New Roman" w:hAnsi="Times New Roman" w:cs="Times New Roman"/>
                <w:b w:val="0"/>
                <w:i w:val="0"/>
                <w:smallCaps w:val="0"/>
                <w:sz w:val="15"/>
              </w:rPr>
              <w:t>2</w:t>
            </w:r>
          </w:p>
        </w:tc>
        <w:tc>
          <w:tcPr>
            <w:tcW w:type="dxa" w:w="792"/>
            <w:tcBorders>
              <w:top w:val="nil" w:sz="0" w:color="000000"/>
              <w:bottom w:val="single" w:sz="8" w:color="000000"/>
            </w:tcBorders>
          </w:tcPr>
          <w:p>
            <w:pPr>
              <w:keepNext w:val="0"/>
              <w:spacing w:before="12" w:after="12" w:line="240" w:lineRule="auto"/>
              <w:jc w:val="center"/>
            </w:pPr>
            <w:r/>
            <w:r>
              <w:rPr>
                <w:rFonts w:ascii="Times New Roman" w:hAnsi="Times New Roman" w:cs="Times New Roman"/>
                <w:b w:val="0"/>
                <w:i w:val="0"/>
                <w:smallCaps w:val="0"/>
                <w:sz w:val="15"/>
              </w:rPr>
              <w:t>0.016</w:t>
            </w:r>
          </w:p>
        </w:tc>
        <w:tc>
          <w:tcPr>
            <w:tcW w:type="dxa" w:w="792"/>
            <w:tcBorders>
              <w:top w:val="nil" w:sz="0" w:color="000000"/>
              <w:bottom w:val="single" w:sz="8" w:color="000000"/>
            </w:tcBorders>
          </w:tcPr>
          <w:p>
            <w:pPr>
              <w:keepNext w:val="0"/>
              <w:spacing w:before="12" w:after="12" w:line="240" w:lineRule="auto"/>
              <w:jc w:val="center"/>
            </w:pPr>
            <w:r/>
            <w:r>
              <w:rPr>
                <w:rFonts w:ascii="Times New Roman" w:hAnsi="Times New Roman" w:cs="Times New Roman"/>
                <w:b w:val="0"/>
                <w:i w:val="0"/>
                <w:smallCaps w:val="0"/>
                <w:sz w:val="15"/>
              </w:rPr>
              <w:t>0.013</w:t>
            </w:r>
          </w:p>
        </w:tc>
        <w:tc>
          <w:tcPr>
            <w:tcW w:type="dxa" w:w="806"/>
            <w:tcBorders>
              <w:top w:val="nil" w:sz="0" w:color="000000"/>
              <w:bottom w:val="single" w:sz="8" w:color="000000"/>
            </w:tcBorders>
          </w:tcPr>
          <w:p>
            <w:pPr>
              <w:keepNext w:val="0"/>
              <w:spacing w:before="12" w:after="12" w:line="240" w:lineRule="auto"/>
              <w:jc w:val="center"/>
            </w:pPr>
            <w:r/>
            <w:r>
              <w:rPr>
                <w:rFonts w:ascii="Times New Roman" w:hAnsi="Times New Roman" w:cs="Times New Roman"/>
                <w:b w:val="0"/>
                <w:i w:val="0"/>
                <w:smallCaps w:val="0"/>
                <w:sz w:val="15"/>
              </w:rPr>
              <w:t>0.009</w:t>
            </w:r>
          </w:p>
        </w:tc>
      </w:tr>
    </w:tbl>
    <w:p>
      <w:pPr>
        <w:keepNext w:val="0"/>
        <w:spacing w:before="0" w:after="120" w:line="240" w:lineRule="auto"/>
        <w:ind w:firstLine="0"/>
        <w:jc w:val="both"/>
      </w:pPr>
    </w:p>
    <w:p>
      <w:pPr>
        <w:keepNext/>
        <w:spacing w:before="200" w:after="80" w:line="240" w:lineRule="auto"/>
        <w:ind w:firstLine="0"/>
        <w:jc w:val="center"/>
      </w:pPr>
      <w:r>
        <w:rPr>
          <w:rFonts w:ascii="Times New Roman" w:hAnsi="Times New Roman" w:cs="Times New Roman"/>
          <w:b w:val="0"/>
          <w:i w:val="0"/>
          <w:smallCaps/>
          <w:sz w:val="20"/>
        </w:rPr>
        <w:t>IV.  Data, Models and Protocol</w:t>
      </w:r>
    </w:p>
    <w:p>
      <w:pPr>
        <w:keepNext/>
        <w:spacing w:before="120" w:after="40" w:line="240" w:lineRule="auto"/>
        <w:ind w:firstLine="0"/>
        <w:jc w:val="left"/>
      </w:pPr>
      <w:r>
        <w:rPr>
          <w:rFonts w:ascii="Times New Roman" w:hAnsi="Times New Roman" w:cs="Times New Roman"/>
          <w:b w:val="0"/>
          <w:i/>
          <w:smallCaps w:val="0"/>
          <w:sz w:val="20"/>
        </w:rPr>
        <w:t>A. Datasets</w:t>
      </w:r>
    </w:p>
    <w:p>
      <w:pPr>
        <w:keepNext w:val="0"/>
        <w:spacing w:before="0" w:after="80" w:line="240" w:lineRule="auto"/>
        <w:ind w:firstLine="0"/>
        <w:jc w:val="both"/>
      </w:pPr>
      <w:r>
        <w:rPr>
          <w:rFonts w:ascii="Times New Roman" w:hAnsi="Times New Roman" w:cs="Times New Roman"/>
          <w:b w:val="0"/>
          <w:i/>
          <w:smallCaps w:val="0"/>
          <w:sz w:val="20"/>
        </w:rPr>
        <w:t>MEBeauty</w:t>
      </w:r>
      <w:r>
        <w:rPr>
          <w:rFonts w:ascii="Times New Roman" w:hAnsi="Times New Roman" w:cs="Times New Roman"/>
          <w:b w:val="0"/>
          <w:i w:val="0"/>
          <w:smallCaps w:val="0"/>
          <w:sz w:val="20"/>
        </w:rPr>
        <w:t xml:space="preserve"> [31] contains in-the-wild photographs annotated on a 1–10 scale by a pool of raters, with population labels in six categories. After landmark-quality control, 1,479 faces remain; the fusion analyses use the 1,391 for which an appearance embedding was also available. The label is the mean of a median of 26 ratings per face, drawn from 371 annotators and 38,940 individual ratings.</w:t>
      </w:r>
    </w:p>
    <w:p>
      <w:pPr>
        <w:keepNext w:val="0"/>
        <w:spacing w:before="0" w:after="80" w:line="240" w:lineRule="auto"/>
        <w:ind w:firstLine="288"/>
        <w:jc w:val="both"/>
      </w:pPr>
      <w:r>
        <w:rPr>
          <w:rFonts w:ascii="Times New Roman" w:hAnsi="Times New Roman" w:cs="Times New Roman"/>
          <w:b w:val="0"/>
          <w:i/>
          <w:smallCaps w:val="0"/>
          <w:sz w:val="20"/>
        </w:rPr>
        <w:t>SCUT-FBP5500</w:t>
      </w:r>
      <w:r>
        <w:rPr>
          <w:rFonts w:ascii="Times New Roman" w:hAnsi="Times New Roman" w:cs="Times New Roman"/>
          <w:b w:val="0"/>
          <w:i w:val="0"/>
          <w:smallCaps w:val="0"/>
          <w:sz w:val="20"/>
        </w:rPr>
        <w:t xml:space="preserve"> [29] contains 5,500 frontal photographs, each rated on a 1–5 scale by the same 60 annotators, with labels for Asian and Caucasian and for male and female, giving four subgroups of 719 to 1,993 faces. We retain 5,429 faces, a retention rate of 98.7%, after the same geometric quality control. The dataset’s uniform annotation design is the reason it is informative here: with every face rated by the full panel, per-group reliability is nearly constant, which isolates the other two sources.</w:t>
      </w:r>
    </w:p>
    <w:p>
      <w:pPr>
        <w:keepNext w:val="0"/>
        <w:spacing w:before="0" w:after="80" w:line="240" w:lineRule="auto"/>
        <w:ind w:firstLine="288"/>
        <w:jc w:val="both"/>
      </w:pPr>
      <w:r>
        <w:rPr>
          <w:rFonts w:ascii="Times New Roman" w:hAnsi="Times New Roman" w:cs="Times New Roman"/>
          <w:b w:val="0"/>
          <w:i w:val="0"/>
          <w:smallCaps w:val="0"/>
          <w:sz w:val="20"/>
        </w:rPr>
        <w:t>The two datasets differ in exactly the ways that matter for the decomposition. MEBeauty has small, unequal groups and heterogeneous annotation; SCUT-FBP5500 has large, moderately unequal groups and homogeneous annotation. The group labels in both are coarse, externally assigned and, for sex, binary; Section VII addresses what that implies.</w:t>
      </w:r>
    </w:p>
    <w:p>
      <w:pPr>
        <w:keepNext/>
        <w:spacing w:before="120" w:after="40" w:line="240" w:lineRule="auto"/>
        <w:ind w:firstLine="0"/>
        <w:jc w:val="left"/>
      </w:pPr>
      <w:r>
        <w:rPr>
          <w:rFonts w:ascii="Times New Roman" w:hAnsi="Times New Roman" w:cs="Times New Roman"/>
          <w:b w:val="0"/>
          <w:i/>
          <w:smallCaps w:val="0"/>
          <w:sz w:val="20"/>
        </w:rPr>
        <w:t>B. Predictors</w:t>
      </w:r>
    </w:p>
    <w:p>
      <w:pPr>
        <w:keepNext w:val="0"/>
        <w:spacing w:before="0" w:after="80" w:line="240" w:lineRule="auto"/>
        <w:ind w:firstLine="0"/>
        <w:jc w:val="both"/>
      </w:pPr>
      <w:r>
        <w:rPr>
          <w:rFonts w:ascii="Times New Roman" w:hAnsi="Times New Roman" w:cs="Times New Roman"/>
          <w:b w:val="0"/>
          <w:i w:val="0"/>
          <w:smallCaps w:val="0"/>
          <w:sz w:val="20"/>
        </w:rPr>
        <w:t xml:space="preserve">We evaluate three predictor families so that the decomposition is not specific to one representation. The </w:t>
      </w:r>
      <w:r>
        <w:rPr>
          <w:rFonts w:ascii="Times New Roman" w:hAnsi="Times New Roman" w:cs="Times New Roman"/>
          <w:b w:val="0"/>
          <w:i/>
          <w:smallCaps w:val="0"/>
          <w:sz w:val="20"/>
        </w:rPr>
        <w:t>geometry</w:t>
      </w:r>
      <w:r>
        <w:rPr>
          <w:rFonts w:ascii="Times New Roman" w:hAnsi="Times New Roman" w:cs="Times New Roman"/>
          <w:b w:val="0"/>
          <w:i w:val="0"/>
          <w:smallCaps w:val="0"/>
          <w:sz w:val="20"/>
        </w:rPr>
        <w:t xml:space="preserve"> predictor uses 56 scale-free measurements computed from 30 named anthropometric landmarks: 35 ratios drawn from the neoclassical canons [39], [40], golden-ratio constructions, symmetry, and face form, plus 21 signed deviations from the corresponding normative ideal. Landmarks are abstracted to a named semantic layer so the battery is independent of the detector used [41], [42]. The </w:t>
      </w:r>
      <w:r>
        <w:rPr>
          <w:rFonts w:ascii="Times New Roman" w:hAnsi="Times New Roman" w:cs="Times New Roman"/>
          <w:b w:val="0"/>
          <w:i/>
          <w:smallCaps w:val="0"/>
          <w:sz w:val="20"/>
        </w:rPr>
        <w:t>appearance</w:t>
      </w:r>
      <w:r>
        <w:rPr>
          <w:rFonts w:ascii="Times New Roman" w:hAnsi="Times New Roman" w:cs="Times New Roman"/>
          <w:b w:val="0"/>
          <w:i w:val="0"/>
          <w:smallCaps w:val="0"/>
          <w:sz w:val="20"/>
        </w:rPr>
        <w:t xml:space="preserve"> predictor uses a 512-dimensional face embedding. The </w:t>
      </w:r>
      <w:r>
        <w:rPr>
          <w:rFonts w:ascii="Times New Roman" w:hAnsi="Times New Roman" w:cs="Times New Roman"/>
          <w:b w:val="0"/>
          <w:i/>
          <w:smallCaps w:val="0"/>
          <w:sz w:val="20"/>
        </w:rPr>
        <w:t>fusion</w:t>
      </w:r>
      <w:r>
        <w:rPr>
          <w:rFonts w:ascii="Times New Roman" w:hAnsi="Times New Roman" w:cs="Times New Roman"/>
          <w:b w:val="0"/>
          <w:i w:val="0"/>
          <w:smallCaps w:val="0"/>
          <w:sz w:val="20"/>
        </w:rPr>
        <w:t xml:space="preserve"> predictor combines them through cross-attention [43] with a label-distribution output head [30], [25]. The geometric battery is of independent interest because its features carry explicit provenance, and Section V-G reports a property of it that bears directly on auditing.</w:t>
      </w:r>
    </w:p>
    <w:p>
      <w:pPr>
        <w:keepNext/>
        <w:spacing w:before="120" w:after="40" w:line="240" w:lineRule="auto"/>
        <w:ind w:firstLine="0"/>
        <w:jc w:val="left"/>
      </w:pPr>
      <w:r>
        <w:rPr>
          <w:rFonts w:ascii="Times New Roman" w:hAnsi="Times New Roman" w:cs="Times New Roman"/>
          <w:b w:val="0"/>
          <w:i/>
          <w:smallCaps w:val="0"/>
          <w:sz w:val="20"/>
        </w:rPr>
        <w:t>C. Protocol</w:t>
      </w:r>
    </w:p>
    <w:p>
      <w:pPr>
        <w:keepNext w:val="0"/>
        <w:spacing w:before="0" w:after="80" w:line="240" w:lineRule="auto"/>
        <w:ind w:firstLine="0"/>
        <w:jc w:val="both"/>
      </w:pPr>
      <w:r>
        <w:rPr>
          <w:rFonts w:ascii="Times New Roman" w:hAnsi="Times New Roman" w:cs="Times New Roman"/>
          <w:b w:val="0"/>
          <w:i w:val="0"/>
          <w:smallCaps w:val="0"/>
          <w:sz w:val="20"/>
        </w:rPr>
        <w:t>All results are out-of-fold predictions from five-fold cross-validation repeated over three seeds, averaged per item. Per-group correlations are computed on identical items across predictor families, so differences between families are paired. Bootstrap intervals use 5,000 resamples. Permutation tests use 4,000 draws; multiple comparisons within a family use Benjamini–Hochberg control [44] and pairwise group comparisons use Holm correction [45]. Group differences in distribution are tested with Kruskal–Wallis [46] and reported with ε² and Cliff’s δ [47].</w:t>
      </w:r>
    </w:p>
    <w:p>
      <w:pPr>
        <w:keepNext/>
        <w:spacing w:before="120" w:after="40" w:line="240" w:lineRule="auto"/>
        <w:ind w:firstLine="0"/>
        <w:jc w:val="left"/>
      </w:pPr>
      <w:r>
        <w:rPr>
          <w:rFonts w:ascii="Times New Roman" w:hAnsi="Times New Roman" w:cs="Times New Roman"/>
          <w:b w:val="0"/>
          <w:i/>
          <w:smallCaps w:val="0"/>
          <w:sz w:val="20"/>
        </w:rPr>
        <w:t>D. Exclusions, and what they did to the sample</w:t>
      </w:r>
    </w:p>
    <w:p>
      <w:pPr>
        <w:keepNext w:val="0"/>
        <w:spacing w:before="0" w:after="80" w:line="240" w:lineRule="auto"/>
        <w:ind w:firstLine="0"/>
        <w:jc w:val="both"/>
      </w:pPr>
      <w:r>
        <w:rPr>
          <w:rFonts w:ascii="Times New Roman" w:hAnsi="Times New Roman" w:cs="Times New Roman"/>
          <w:b w:val="0"/>
          <w:i w:val="0"/>
          <w:smallCaps w:val="0"/>
          <w:sz w:val="20"/>
        </w:rPr>
        <w:t>Quality control and embedding availability both remove faces, and neither removes them evenly. On MEBeauty, 88 faces were lost to embedding availability, and 86 of those were Indian men: that cell falls from 91 faces to 5, and the Indian sample becomes 93% female. We exclude the cell from gap statistics and report it here rather than in a limitations paragraph, because an exclusion that destroys one intersectional cell is a finding about the evaluation and not a footnote to it. It is also a concrete instance of the paper's argument: an audit that reported a per-cell accuracy for Indian men on five faces would be reporting almost pure noise.</w:t>
      </w:r>
    </w:p>
    <w:p>
      <w:pPr>
        <w:keepNext/>
        <w:spacing w:before="200" w:after="80" w:line="240" w:lineRule="auto"/>
        <w:ind w:firstLine="0"/>
        <w:jc w:val="center"/>
      </w:pPr>
      <w:r>
        <w:rPr>
          <w:rFonts w:ascii="Times New Roman" w:hAnsi="Times New Roman" w:cs="Times New Roman"/>
          <w:b w:val="0"/>
          <w:i w:val="0"/>
          <w:smallCaps/>
          <w:sz w:val="20"/>
        </w:rPr>
        <w:t>V.  Results</w:t>
      </w:r>
    </w:p>
    <w:p>
      <w:pPr>
        <w:keepNext/>
        <w:spacing w:before="120" w:after="40" w:line="240" w:lineRule="auto"/>
        <w:ind w:firstLine="0"/>
        <w:jc w:val="left"/>
      </w:pPr>
      <w:r>
        <w:rPr>
          <w:rFonts w:ascii="Times New Roman" w:hAnsi="Times New Roman" w:cs="Times New Roman"/>
          <w:b w:val="0"/>
          <w:i/>
          <w:smallCaps w:val="0"/>
          <w:sz w:val="20"/>
        </w:rPr>
        <w:t>A. Annotation properties differ sharply between groups</w:t>
      </w:r>
    </w:p>
    <w:p>
      <w:pPr>
        <w:keepNext w:val="0"/>
        <w:spacing w:before="0" w:after="80" w:line="240" w:lineRule="auto"/>
        <w:ind w:firstLine="0"/>
        <w:jc w:val="both"/>
      </w:pPr>
      <w:r>
        <w:rPr>
          <w:rFonts w:ascii="Times New Roman" w:hAnsi="Times New Roman" w:cs="Times New Roman"/>
          <w:b w:val="0"/>
          <w:i w:val="0"/>
          <w:smallCaps w:val="0"/>
          <w:sz w:val="20"/>
        </w:rPr>
        <w:t>Table III gives the per-group annotation parameters for both datasets. On MEBeauty the reliability of the mean label ranges from 0.858 to 0.928, so the attenuation ceiling ranges from 0.926 to 0.963, and the label standard-deviation ratio u ranges from 0.82 to 1.20. Both quantities vary systematically: the groups with the fewest raters per face are also, on the whole, the groups whose labels are most tightly clustered. On SCUT-FBP5500 the same parameters are nearly flat, with reliability between 0.982 and 0.987, because every face was rated by the same 60 people; only the spread ratio varies, from 0.96 to 1.13.</w:t>
      </w:r>
    </w:p>
    <w:p>
      <w:pPr>
        <w:keepNext/>
        <w:spacing w:before="160" w:after="20" w:line="240" w:lineRule="auto"/>
        <w:ind w:firstLine="0"/>
        <w:jc w:val="center"/>
      </w:pPr>
      <w:r>
        <w:rPr>
          <w:rFonts w:ascii="Times New Roman" w:hAnsi="Times New Roman" w:cs="Times New Roman"/>
          <w:b w:val="0"/>
          <w:i w:val="0"/>
          <w:smallCaps w:val="0"/>
          <w:sz w:val="16"/>
        </w:rPr>
        <w:t>TABLE III</w:t>
      </w:r>
    </w:p>
    <w:p>
      <w:pPr>
        <w:keepNext/>
        <w:spacing w:before="0" w:after="60" w:line="240" w:lineRule="auto"/>
        <w:ind w:firstLine="0"/>
        <w:jc w:val="both"/>
      </w:pPr>
      <w:r>
        <w:rPr>
          <w:rFonts w:ascii="Times New Roman" w:hAnsi="Times New Roman" w:cs="Times New Roman"/>
          <w:b w:val="0"/>
          <w:i w:val="0"/>
          <w:smallCaps w:val="0"/>
          <w:sz w:val="16"/>
        </w:rPr>
        <w:t>Per-group annotation properties. Reliability is that of the mean of the group's ratings; the ceiling is the highest correlation any predictor can attain against such a label; u is the ratio of the pooled label standard deviation to the group's. MEBeauty's parameters vary widely across groups and SCUT-FBP5500's do not, which is why the two datasets decompose differently.</w:t>
      </w:r>
    </w:p>
    <w:tbl>
      <w:tblPr>
        <w:jc w:val="center"/>
        <w:tblLook w:firstColumn="1" w:firstRow="1" w:lastColumn="0" w:lastRow="0" w:noHBand="0" w:noVBand="1" w:val="04A0"/>
        <w:tblW w:w="5011" w:type="dxa"/>
        <w:tblLayout w:type="fixed"/>
      </w:tblPr>
      <w:tblGrid>
        <w:gridCol w:w="1468"/>
        <w:gridCol w:w="691"/>
        <w:gridCol w:w="604"/>
        <w:gridCol w:w="835"/>
        <w:gridCol w:w="748"/>
        <w:gridCol w:w="662"/>
      </w:tblGrid>
      <w:tr>
        <w:trPr>
          <w:cantSplit/>
        </w:trPr>
        <w:tc>
          <w:tcPr>
            <w:tcW w:type="dxa" w:w="1469"/>
            <w:tcBorders>
              <w:top w:val="single" w:sz="8" w:color="000000"/>
              <w:bottom w:val="nil" w:sz="0" w:color="000000"/>
            </w:tcBorders>
          </w:tcPr>
          <w:p>
            <w:pPr>
              <w:keepNext/>
              <w:spacing w:before="12" w:after="12" w:line="240" w:lineRule="auto"/>
              <w:jc w:val="left"/>
            </w:pPr>
            <w:r/>
            <w:r>
              <w:rPr>
                <w:rFonts w:ascii="Times New Roman" w:hAnsi="Times New Roman" w:cs="Times New Roman"/>
                <w:b/>
                <w:i w:val="0"/>
                <w:smallCaps w:val="0"/>
                <w:sz w:val="14"/>
              </w:rPr>
              <w:t>Group</w:t>
            </w:r>
          </w:p>
        </w:tc>
        <w:tc>
          <w:tcPr>
            <w:tcW w:type="dxa" w:w="691"/>
            <w:tcBorders>
              <w:top w:val="single" w:sz="8" w:color="000000"/>
              <w:bottom w:val="nil" w:sz="0" w:color="000000"/>
            </w:tcBorders>
          </w:tcPr>
          <w:p>
            <w:pPr>
              <w:keepNext/>
              <w:spacing w:before="12" w:after="12" w:line="240" w:lineRule="auto"/>
              <w:jc w:val="center"/>
            </w:pPr>
            <w:r/>
            <w:r>
              <w:rPr>
                <w:rFonts w:ascii="Times New Roman" w:hAnsi="Times New Roman" w:cs="Times New Roman"/>
                <w:b/>
                <w:i w:val="0"/>
                <w:smallCaps w:val="0"/>
                <w:sz w:val="14"/>
              </w:rPr>
              <w:t>n</w:t>
            </w:r>
          </w:p>
        </w:tc>
        <w:tc>
          <w:tcPr>
            <w:tcW w:type="dxa" w:w="605"/>
            <w:tcBorders>
              <w:top w:val="single" w:sz="8" w:color="000000"/>
              <w:bottom w:val="nil" w:sz="0" w:color="000000"/>
            </w:tcBorders>
          </w:tcPr>
          <w:p>
            <w:pPr>
              <w:keepNext/>
              <w:spacing w:before="12" w:after="12" w:line="240" w:lineRule="auto"/>
              <w:jc w:val="center"/>
            </w:pPr>
            <w:r/>
            <w:r>
              <w:rPr>
                <w:rFonts w:ascii="Times New Roman" w:hAnsi="Times New Roman" w:cs="Times New Roman"/>
                <w:b/>
                <w:i w:val="0"/>
                <w:smallCaps w:val="0"/>
                <w:sz w:val="14"/>
              </w:rPr>
              <w:t>Raters</w:t>
            </w:r>
          </w:p>
        </w:tc>
        <w:tc>
          <w:tcPr>
            <w:tcW w:type="dxa" w:w="835"/>
            <w:tcBorders>
              <w:top w:val="single" w:sz="8" w:color="000000"/>
              <w:bottom w:val="nil" w:sz="0" w:color="000000"/>
            </w:tcBorders>
          </w:tcPr>
          <w:p>
            <w:pPr>
              <w:keepNext/>
              <w:spacing w:before="12" w:after="12" w:line="240" w:lineRule="auto"/>
              <w:jc w:val="center"/>
            </w:pPr>
            <w:r/>
            <w:r>
              <w:rPr>
                <w:rFonts w:ascii="Times New Roman" w:hAnsi="Times New Roman" w:cs="Times New Roman"/>
                <w:b/>
                <w:i w:val="0"/>
                <w:smallCaps w:val="0"/>
                <w:sz w:val="14"/>
              </w:rPr>
              <w:t>Reliability ρ</w:t>
            </w:r>
          </w:p>
        </w:tc>
        <w:tc>
          <w:tcPr>
            <w:tcW w:type="dxa" w:w="749"/>
            <w:tcBorders>
              <w:top w:val="single" w:sz="8" w:color="000000"/>
              <w:bottom w:val="nil" w:sz="0" w:color="000000"/>
            </w:tcBorders>
          </w:tcPr>
          <w:p>
            <w:pPr>
              <w:keepNext/>
              <w:spacing w:before="12" w:after="12" w:line="240" w:lineRule="auto"/>
              <w:jc w:val="center"/>
            </w:pPr>
            <w:r/>
            <w:r>
              <w:rPr>
                <w:rFonts w:ascii="Times New Roman" w:hAnsi="Times New Roman" w:cs="Times New Roman"/>
                <w:b/>
                <w:i w:val="0"/>
                <w:smallCaps w:val="0"/>
                <w:sz w:val="14"/>
              </w:rPr>
              <w:t>Ceiling √ρ</w:t>
            </w:r>
          </w:p>
        </w:tc>
        <w:tc>
          <w:tcPr>
            <w:tcW w:type="dxa" w:w="662"/>
            <w:tcBorders>
              <w:top w:val="single" w:sz="8" w:color="000000"/>
              <w:bottom w:val="nil" w:sz="0" w:color="000000"/>
            </w:tcBorders>
          </w:tcPr>
          <w:p>
            <w:pPr>
              <w:keepNext/>
              <w:spacing w:before="12" w:after="12" w:line="240" w:lineRule="auto"/>
              <w:jc w:val="center"/>
            </w:pPr>
            <w:r/>
            <w:r>
              <w:rPr>
                <w:rFonts w:ascii="Times New Roman" w:hAnsi="Times New Roman" w:cs="Times New Roman"/>
                <w:b/>
                <w:i w:val="0"/>
                <w:smallCaps w:val="0"/>
                <w:sz w:val="14"/>
              </w:rPr>
              <w:t>Spread u</w:t>
            </w:r>
          </w:p>
        </w:tc>
      </w:tr>
      <w:tr>
        <w:trPr>
          <w:cantSplit/>
        </w:trPr>
        <w:tc>
          <w:tcPr>
            <w:tcW w:type="dxa" w:w="1469"/>
            <w:tcBorders>
              <w:top w:val="single" w:sz="4" w:color="000000"/>
              <w:bottom w:val="nil" w:sz="0" w:color="000000"/>
            </w:tcBorders>
          </w:tcPr>
          <w:p>
            <w:pPr>
              <w:keepNext/>
              <w:spacing w:before="12" w:after="12" w:line="240" w:lineRule="auto"/>
              <w:jc w:val="left"/>
            </w:pPr>
            <w:r/>
            <w:r>
              <w:rPr>
                <w:rFonts w:ascii="Times New Roman" w:hAnsi="Times New Roman" w:cs="Times New Roman"/>
                <w:b w:val="0"/>
                <w:i w:val="0"/>
                <w:smallCaps w:val="0"/>
                <w:sz w:val="14"/>
              </w:rPr>
              <w:t>MEBeauty</w:t>
            </w:r>
          </w:p>
        </w:tc>
        <w:tc>
          <w:tcPr>
            <w:tcW w:type="dxa" w:w="691"/>
            <w:tcBorders>
              <w:top w:val="single" w:sz="4" w:color="000000"/>
              <w:bottom w:val="nil" w:sz="0" w:color="000000"/>
            </w:tcBorders>
          </w:tcPr>
          <w:p>
            <w:pPr>
              <w:keepNext/>
              <w:spacing w:before="12" w:after="12" w:line="240" w:lineRule="auto"/>
              <w:jc w:val="center"/>
            </w:pPr>
            <w:r/>
          </w:p>
        </w:tc>
        <w:tc>
          <w:tcPr>
            <w:tcW w:type="dxa" w:w="605"/>
            <w:tcBorders>
              <w:top w:val="single" w:sz="4" w:color="000000"/>
              <w:bottom w:val="nil" w:sz="0" w:color="000000"/>
            </w:tcBorders>
          </w:tcPr>
          <w:p>
            <w:pPr>
              <w:keepNext/>
              <w:spacing w:before="12" w:after="12" w:line="240" w:lineRule="auto"/>
              <w:jc w:val="center"/>
            </w:pPr>
            <w:r/>
          </w:p>
        </w:tc>
        <w:tc>
          <w:tcPr>
            <w:tcW w:type="dxa" w:w="835"/>
            <w:tcBorders>
              <w:top w:val="single" w:sz="4" w:color="000000"/>
              <w:bottom w:val="nil" w:sz="0" w:color="000000"/>
            </w:tcBorders>
          </w:tcPr>
          <w:p>
            <w:pPr>
              <w:keepNext/>
              <w:spacing w:before="12" w:after="12" w:line="240" w:lineRule="auto"/>
              <w:jc w:val="center"/>
            </w:pPr>
            <w:r/>
          </w:p>
        </w:tc>
        <w:tc>
          <w:tcPr>
            <w:tcW w:type="dxa" w:w="749"/>
            <w:tcBorders>
              <w:top w:val="single" w:sz="4" w:color="000000"/>
              <w:bottom w:val="nil" w:sz="0" w:color="000000"/>
            </w:tcBorders>
          </w:tcPr>
          <w:p>
            <w:pPr>
              <w:keepNext/>
              <w:spacing w:before="12" w:after="12" w:line="240" w:lineRule="auto"/>
              <w:jc w:val="center"/>
            </w:pPr>
            <w:r/>
          </w:p>
        </w:tc>
        <w:tc>
          <w:tcPr>
            <w:tcW w:type="dxa" w:w="662"/>
            <w:tcBorders>
              <w:top w:val="single" w:sz="4" w:color="000000"/>
              <w:bottom w:val="nil" w:sz="0" w:color="000000"/>
            </w:tcBorders>
          </w:tcPr>
          <w:p>
            <w:pPr>
              <w:keepNext/>
              <w:spacing w:before="12" w:after="12" w:line="240" w:lineRule="auto"/>
              <w:jc w:val="center"/>
            </w:pPr>
            <w:r/>
          </w:p>
        </w:tc>
      </w:tr>
      <w:tr>
        <w:trPr>
          <w:cantSplit/>
        </w:trPr>
        <w:tc>
          <w:tcPr>
            <w:tcW w:type="dxa" w:w="1469"/>
            <w:tcBorders>
              <w:top w:val="single" w:sz="4" w:color="000000"/>
              <w:bottom w:val="nil" w:sz="0" w:color="000000"/>
            </w:tcBorders>
          </w:tcPr>
          <w:p>
            <w:pPr>
              <w:keepNext/>
              <w:spacing w:before="12" w:after="12" w:line="240" w:lineRule="auto"/>
              <w:jc w:val="left"/>
            </w:pPr>
            <w:r/>
            <w:r>
              <w:rPr>
                <w:rFonts w:ascii="Times New Roman" w:hAnsi="Times New Roman" w:cs="Times New Roman"/>
                <w:b w:val="0"/>
                <w:i w:val="0"/>
                <w:smallCaps w:val="0"/>
                <w:sz w:val="14"/>
              </w:rPr>
              <w:t xml:space="preserve">  Asian</w:t>
            </w:r>
          </w:p>
        </w:tc>
        <w:tc>
          <w:tcPr>
            <w:tcW w:type="dxa" w:w="691"/>
            <w:tcBorders>
              <w:top w:val="single" w:sz="4"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197</w:t>
            </w:r>
          </w:p>
        </w:tc>
        <w:tc>
          <w:tcPr>
            <w:tcW w:type="dxa" w:w="605"/>
            <w:tcBorders>
              <w:top w:val="single" w:sz="4"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22</w:t>
            </w:r>
          </w:p>
        </w:tc>
        <w:tc>
          <w:tcPr>
            <w:tcW w:type="dxa" w:w="835"/>
            <w:tcBorders>
              <w:top w:val="single" w:sz="4"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0.907</w:t>
            </w:r>
          </w:p>
        </w:tc>
        <w:tc>
          <w:tcPr>
            <w:tcW w:type="dxa" w:w="749"/>
            <w:tcBorders>
              <w:top w:val="single" w:sz="4"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0.952</w:t>
            </w:r>
          </w:p>
        </w:tc>
        <w:tc>
          <w:tcPr>
            <w:tcW w:type="dxa" w:w="662"/>
            <w:tcBorders>
              <w:top w:val="single" w:sz="4"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0.94</w:t>
            </w:r>
          </w:p>
        </w:tc>
      </w:tr>
      <w:tr>
        <w:trPr>
          <w:cantSplit/>
        </w:trPr>
        <w:tc>
          <w:tcPr>
            <w:tcW w:type="dxa" w:w="1469"/>
            <w:tcBorders>
              <w:top w:val="nil" w:sz="0" w:color="000000"/>
              <w:bottom w:val="nil" w:sz="0" w:color="000000"/>
            </w:tcBorders>
          </w:tcPr>
          <w:p>
            <w:pPr>
              <w:keepNext/>
              <w:spacing w:before="12" w:after="12" w:line="240" w:lineRule="auto"/>
              <w:jc w:val="left"/>
            </w:pPr>
            <w:r/>
            <w:r>
              <w:rPr>
                <w:rFonts w:ascii="Times New Roman" w:hAnsi="Times New Roman" w:cs="Times New Roman"/>
                <w:b w:val="0"/>
                <w:i w:val="0"/>
                <w:smallCaps w:val="0"/>
                <w:sz w:val="14"/>
              </w:rPr>
              <w:t xml:space="preserve">  Black</w:t>
            </w:r>
          </w:p>
        </w:tc>
        <w:tc>
          <w:tcPr>
            <w:tcW w:type="dxa" w:w="691"/>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193</w:t>
            </w:r>
          </w:p>
        </w:tc>
        <w:tc>
          <w:tcPr>
            <w:tcW w:type="dxa" w:w="605"/>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24</w:t>
            </w:r>
          </w:p>
        </w:tc>
        <w:tc>
          <w:tcPr>
            <w:tcW w:type="dxa" w:w="835"/>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0.858</w:t>
            </w:r>
          </w:p>
        </w:tc>
        <w:tc>
          <w:tcPr>
            <w:tcW w:type="dxa" w:w="749"/>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0.926</w:t>
            </w:r>
          </w:p>
        </w:tc>
        <w:tc>
          <w:tcPr>
            <w:tcW w:type="dxa" w:w="662"/>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1.20</w:t>
            </w:r>
          </w:p>
        </w:tc>
      </w:tr>
      <w:tr>
        <w:trPr>
          <w:cantSplit/>
        </w:trPr>
        <w:tc>
          <w:tcPr>
            <w:tcW w:type="dxa" w:w="1469"/>
            <w:tcBorders>
              <w:top w:val="nil" w:sz="0" w:color="000000"/>
              <w:bottom w:val="nil" w:sz="0" w:color="000000"/>
            </w:tcBorders>
          </w:tcPr>
          <w:p>
            <w:pPr>
              <w:keepNext/>
              <w:spacing w:before="12" w:after="12" w:line="240" w:lineRule="auto"/>
              <w:jc w:val="left"/>
            </w:pPr>
            <w:r/>
            <w:r>
              <w:rPr>
                <w:rFonts w:ascii="Times New Roman" w:hAnsi="Times New Roman" w:cs="Times New Roman"/>
                <w:b w:val="0"/>
                <w:i w:val="0"/>
                <w:smallCaps w:val="0"/>
                <w:sz w:val="14"/>
              </w:rPr>
              <w:t xml:space="preserve">  Caucasian</w:t>
            </w:r>
          </w:p>
        </w:tc>
        <w:tc>
          <w:tcPr>
            <w:tcW w:type="dxa" w:w="691"/>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581</w:t>
            </w:r>
          </w:p>
        </w:tc>
        <w:tc>
          <w:tcPr>
            <w:tcW w:type="dxa" w:w="605"/>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30</w:t>
            </w:r>
          </w:p>
        </w:tc>
        <w:tc>
          <w:tcPr>
            <w:tcW w:type="dxa" w:w="835"/>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0.922</w:t>
            </w:r>
          </w:p>
        </w:tc>
        <w:tc>
          <w:tcPr>
            <w:tcW w:type="dxa" w:w="749"/>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0.960</w:t>
            </w:r>
          </w:p>
        </w:tc>
        <w:tc>
          <w:tcPr>
            <w:tcW w:type="dxa" w:w="662"/>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1.09</w:t>
            </w:r>
          </w:p>
        </w:tc>
      </w:tr>
      <w:tr>
        <w:trPr>
          <w:cantSplit/>
        </w:trPr>
        <w:tc>
          <w:tcPr>
            <w:tcW w:type="dxa" w:w="1469"/>
            <w:tcBorders>
              <w:top w:val="nil" w:sz="0" w:color="000000"/>
              <w:bottom w:val="nil" w:sz="0" w:color="000000"/>
            </w:tcBorders>
          </w:tcPr>
          <w:p>
            <w:pPr>
              <w:keepNext/>
              <w:spacing w:before="12" w:after="12" w:line="240" w:lineRule="auto"/>
              <w:jc w:val="left"/>
            </w:pPr>
            <w:r/>
            <w:r>
              <w:rPr>
                <w:rFonts w:ascii="Times New Roman" w:hAnsi="Times New Roman" w:cs="Times New Roman"/>
                <w:b w:val="0"/>
                <w:i w:val="0"/>
                <w:smallCaps w:val="0"/>
                <w:sz w:val="14"/>
              </w:rPr>
              <w:t xml:space="preserve">  Hispanic</w:t>
            </w:r>
          </w:p>
        </w:tc>
        <w:tc>
          <w:tcPr>
            <w:tcW w:type="dxa" w:w="691"/>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174</w:t>
            </w:r>
          </w:p>
        </w:tc>
        <w:tc>
          <w:tcPr>
            <w:tcW w:type="dxa" w:w="605"/>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24</w:t>
            </w:r>
          </w:p>
        </w:tc>
        <w:tc>
          <w:tcPr>
            <w:tcW w:type="dxa" w:w="835"/>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0.889</w:t>
            </w:r>
          </w:p>
        </w:tc>
        <w:tc>
          <w:tcPr>
            <w:tcW w:type="dxa" w:w="749"/>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0.943</w:t>
            </w:r>
          </w:p>
        </w:tc>
        <w:tc>
          <w:tcPr>
            <w:tcW w:type="dxa" w:w="662"/>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1.15</w:t>
            </w:r>
          </w:p>
        </w:tc>
      </w:tr>
      <w:tr>
        <w:trPr>
          <w:cantSplit/>
        </w:trPr>
        <w:tc>
          <w:tcPr>
            <w:tcW w:type="dxa" w:w="1469"/>
            <w:tcBorders>
              <w:top w:val="nil" w:sz="0" w:color="000000"/>
              <w:bottom w:val="nil" w:sz="0" w:color="000000"/>
            </w:tcBorders>
          </w:tcPr>
          <w:p>
            <w:pPr>
              <w:keepNext/>
              <w:spacing w:before="12" w:after="12" w:line="240" w:lineRule="auto"/>
              <w:jc w:val="left"/>
            </w:pPr>
            <w:r/>
            <w:r>
              <w:rPr>
                <w:rFonts w:ascii="Times New Roman" w:hAnsi="Times New Roman" w:cs="Times New Roman"/>
                <w:b w:val="0"/>
                <w:i w:val="0"/>
                <w:smallCaps w:val="0"/>
                <w:sz w:val="14"/>
              </w:rPr>
              <w:t xml:space="preserve">  Indian</w:t>
            </w:r>
          </w:p>
        </w:tc>
        <w:tc>
          <w:tcPr>
            <w:tcW w:type="dxa" w:w="691"/>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72</w:t>
            </w:r>
          </w:p>
        </w:tc>
        <w:tc>
          <w:tcPr>
            <w:tcW w:type="dxa" w:w="605"/>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24</w:t>
            </w:r>
          </w:p>
        </w:tc>
        <w:tc>
          <w:tcPr>
            <w:tcW w:type="dxa" w:w="835"/>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0.918</w:t>
            </w:r>
          </w:p>
        </w:tc>
        <w:tc>
          <w:tcPr>
            <w:tcW w:type="dxa" w:w="749"/>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0.958</w:t>
            </w:r>
          </w:p>
        </w:tc>
        <w:tc>
          <w:tcPr>
            <w:tcW w:type="dxa" w:w="662"/>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0.82</w:t>
            </w:r>
          </w:p>
        </w:tc>
      </w:tr>
      <w:tr>
        <w:trPr>
          <w:cantSplit/>
        </w:trPr>
        <w:tc>
          <w:tcPr>
            <w:tcW w:type="dxa" w:w="1469"/>
            <w:tcBorders>
              <w:top w:val="nil" w:sz="0" w:color="000000"/>
              <w:bottom w:val="nil" w:sz="0" w:color="000000"/>
            </w:tcBorders>
          </w:tcPr>
          <w:p>
            <w:pPr>
              <w:keepNext/>
              <w:spacing w:before="12" w:after="12" w:line="240" w:lineRule="auto"/>
              <w:jc w:val="left"/>
            </w:pPr>
            <w:r/>
            <w:r>
              <w:rPr>
                <w:rFonts w:ascii="Times New Roman" w:hAnsi="Times New Roman" w:cs="Times New Roman"/>
                <w:b w:val="0"/>
                <w:i w:val="0"/>
                <w:smallCaps w:val="0"/>
                <w:sz w:val="14"/>
              </w:rPr>
              <w:t xml:space="preserve">  Mid-Eastern</w:t>
            </w:r>
          </w:p>
        </w:tc>
        <w:tc>
          <w:tcPr>
            <w:tcW w:type="dxa" w:w="691"/>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174</w:t>
            </w:r>
          </w:p>
        </w:tc>
        <w:tc>
          <w:tcPr>
            <w:tcW w:type="dxa" w:w="605"/>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26</w:t>
            </w:r>
          </w:p>
        </w:tc>
        <w:tc>
          <w:tcPr>
            <w:tcW w:type="dxa" w:w="835"/>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0.928</w:t>
            </w:r>
          </w:p>
        </w:tc>
        <w:tc>
          <w:tcPr>
            <w:tcW w:type="dxa" w:w="749"/>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0.963</w:t>
            </w:r>
          </w:p>
        </w:tc>
        <w:tc>
          <w:tcPr>
            <w:tcW w:type="dxa" w:w="662"/>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0.92</w:t>
            </w:r>
          </w:p>
        </w:tc>
      </w:tr>
      <w:tr>
        <w:trPr>
          <w:cantSplit/>
        </w:trPr>
        <w:tc>
          <w:tcPr>
            <w:tcW w:type="dxa" w:w="1469"/>
            <w:tcBorders>
              <w:top w:val="nil" w:sz="0" w:color="000000"/>
              <w:bottom w:val="nil" w:sz="0" w:color="000000"/>
            </w:tcBorders>
          </w:tcPr>
          <w:p>
            <w:pPr>
              <w:keepNext/>
              <w:spacing w:before="12" w:after="12" w:line="240" w:lineRule="auto"/>
              <w:jc w:val="left"/>
            </w:pPr>
            <w:r/>
            <w:r>
              <w:rPr>
                <w:rFonts w:ascii="Times New Roman" w:hAnsi="Times New Roman" w:cs="Times New Roman"/>
                <w:b w:val="0"/>
                <w:i w:val="0"/>
                <w:smallCaps w:val="0"/>
                <w:sz w:val="14"/>
              </w:rPr>
              <w:t>SCUT-FBP5500</w:t>
            </w:r>
          </w:p>
        </w:tc>
        <w:tc>
          <w:tcPr>
            <w:tcW w:type="dxa" w:w="691"/>
            <w:tcBorders>
              <w:top w:val="nil" w:sz="0" w:color="000000"/>
              <w:bottom w:val="nil" w:sz="0" w:color="000000"/>
            </w:tcBorders>
          </w:tcPr>
          <w:p>
            <w:pPr>
              <w:keepNext/>
              <w:spacing w:before="12" w:after="12" w:line="240" w:lineRule="auto"/>
              <w:jc w:val="center"/>
            </w:pPr>
            <w:r/>
          </w:p>
        </w:tc>
        <w:tc>
          <w:tcPr>
            <w:tcW w:type="dxa" w:w="605"/>
            <w:tcBorders>
              <w:top w:val="nil" w:sz="0" w:color="000000"/>
              <w:bottom w:val="nil" w:sz="0" w:color="000000"/>
            </w:tcBorders>
          </w:tcPr>
          <w:p>
            <w:pPr>
              <w:keepNext/>
              <w:spacing w:before="12" w:after="12" w:line="240" w:lineRule="auto"/>
              <w:jc w:val="center"/>
            </w:pPr>
            <w:r/>
          </w:p>
        </w:tc>
        <w:tc>
          <w:tcPr>
            <w:tcW w:type="dxa" w:w="835"/>
            <w:tcBorders>
              <w:top w:val="nil" w:sz="0" w:color="000000"/>
              <w:bottom w:val="nil" w:sz="0" w:color="000000"/>
            </w:tcBorders>
          </w:tcPr>
          <w:p>
            <w:pPr>
              <w:keepNext/>
              <w:spacing w:before="12" w:after="12" w:line="240" w:lineRule="auto"/>
              <w:jc w:val="center"/>
            </w:pPr>
            <w:r/>
          </w:p>
        </w:tc>
        <w:tc>
          <w:tcPr>
            <w:tcW w:type="dxa" w:w="749"/>
            <w:tcBorders>
              <w:top w:val="nil" w:sz="0" w:color="000000"/>
              <w:bottom w:val="nil" w:sz="0" w:color="000000"/>
            </w:tcBorders>
          </w:tcPr>
          <w:p>
            <w:pPr>
              <w:keepNext/>
              <w:spacing w:before="12" w:after="12" w:line="240" w:lineRule="auto"/>
              <w:jc w:val="center"/>
            </w:pPr>
            <w:r/>
          </w:p>
        </w:tc>
        <w:tc>
          <w:tcPr>
            <w:tcW w:type="dxa" w:w="662"/>
            <w:tcBorders>
              <w:top w:val="nil" w:sz="0" w:color="000000"/>
              <w:bottom w:val="nil" w:sz="0" w:color="000000"/>
            </w:tcBorders>
          </w:tcPr>
          <w:p>
            <w:pPr>
              <w:keepNext/>
              <w:spacing w:before="12" w:after="12" w:line="240" w:lineRule="auto"/>
              <w:jc w:val="center"/>
            </w:pPr>
            <w:r/>
          </w:p>
        </w:tc>
      </w:tr>
      <w:tr>
        <w:trPr>
          <w:cantSplit/>
        </w:trPr>
        <w:tc>
          <w:tcPr>
            <w:tcW w:type="dxa" w:w="1469"/>
            <w:tcBorders>
              <w:top w:val="single" w:sz="4" w:color="000000"/>
              <w:bottom w:val="nil" w:sz="0" w:color="000000"/>
            </w:tcBorders>
          </w:tcPr>
          <w:p>
            <w:pPr>
              <w:keepNext/>
              <w:spacing w:before="12" w:after="12" w:line="240" w:lineRule="auto"/>
              <w:jc w:val="left"/>
            </w:pPr>
            <w:r/>
            <w:r>
              <w:rPr>
                <w:rFonts w:ascii="Times New Roman" w:hAnsi="Times New Roman" w:cs="Times New Roman"/>
                <w:b w:val="0"/>
                <w:i w:val="0"/>
                <w:smallCaps w:val="0"/>
                <w:sz w:val="14"/>
              </w:rPr>
              <w:t xml:space="preserve">  Asian F</w:t>
            </w:r>
          </w:p>
        </w:tc>
        <w:tc>
          <w:tcPr>
            <w:tcW w:type="dxa" w:w="691"/>
            <w:tcBorders>
              <w:top w:val="single" w:sz="4"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1,993</w:t>
            </w:r>
          </w:p>
        </w:tc>
        <w:tc>
          <w:tcPr>
            <w:tcW w:type="dxa" w:w="605"/>
            <w:tcBorders>
              <w:top w:val="single" w:sz="4"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60</w:t>
            </w:r>
          </w:p>
        </w:tc>
        <w:tc>
          <w:tcPr>
            <w:tcW w:type="dxa" w:w="835"/>
            <w:tcBorders>
              <w:top w:val="single" w:sz="4"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0.987</w:t>
            </w:r>
          </w:p>
        </w:tc>
        <w:tc>
          <w:tcPr>
            <w:tcW w:type="dxa" w:w="749"/>
            <w:tcBorders>
              <w:top w:val="single" w:sz="4"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0.993</w:t>
            </w:r>
          </w:p>
        </w:tc>
        <w:tc>
          <w:tcPr>
            <w:tcW w:type="dxa" w:w="662"/>
            <w:tcBorders>
              <w:top w:val="single" w:sz="4"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0.97</w:t>
            </w:r>
          </w:p>
        </w:tc>
      </w:tr>
      <w:tr>
        <w:trPr>
          <w:cantSplit/>
        </w:trPr>
        <w:tc>
          <w:tcPr>
            <w:tcW w:type="dxa" w:w="1469"/>
            <w:tcBorders>
              <w:top w:val="nil" w:sz="0" w:color="000000"/>
              <w:bottom w:val="nil" w:sz="0" w:color="000000"/>
            </w:tcBorders>
          </w:tcPr>
          <w:p>
            <w:pPr>
              <w:keepNext/>
              <w:spacing w:before="12" w:after="12" w:line="240" w:lineRule="auto"/>
              <w:jc w:val="left"/>
            </w:pPr>
            <w:r/>
            <w:r>
              <w:rPr>
                <w:rFonts w:ascii="Times New Roman" w:hAnsi="Times New Roman" w:cs="Times New Roman"/>
                <w:b w:val="0"/>
                <w:i w:val="0"/>
                <w:smallCaps w:val="0"/>
                <w:sz w:val="14"/>
              </w:rPr>
              <w:t xml:space="preserve">  Asian M</w:t>
            </w:r>
          </w:p>
        </w:tc>
        <w:tc>
          <w:tcPr>
            <w:tcW w:type="dxa" w:w="691"/>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1,989</w:t>
            </w:r>
          </w:p>
        </w:tc>
        <w:tc>
          <w:tcPr>
            <w:tcW w:type="dxa" w:w="605"/>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60</w:t>
            </w:r>
          </w:p>
        </w:tc>
        <w:tc>
          <w:tcPr>
            <w:tcW w:type="dxa" w:w="835"/>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0.983</w:t>
            </w:r>
          </w:p>
        </w:tc>
        <w:tc>
          <w:tcPr>
            <w:tcW w:type="dxa" w:w="749"/>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0.992</w:t>
            </w:r>
          </w:p>
        </w:tc>
        <w:tc>
          <w:tcPr>
            <w:tcW w:type="dxa" w:w="662"/>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1.05</w:t>
            </w:r>
          </w:p>
        </w:tc>
      </w:tr>
      <w:tr>
        <w:trPr>
          <w:cantSplit/>
        </w:trPr>
        <w:tc>
          <w:tcPr>
            <w:tcW w:type="dxa" w:w="1469"/>
            <w:tcBorders>
              <w:top w:val="nil" w:sz="0" w:color="000000"/>
              <w:bottom w:val="nil" w:sz="0" w:color="000000"/>
            </w:tcBorders>
          </w:tcPr>
          <w:p>
            <w:pPr>
              <w:keepNext/>
              <w:spacing w:before="12" w:after="12" w:line="240" w:lineRule="auto"/>
              <w:jc w:val="left"/>
            </w:pPr>
            <w:r/>
            <w:r>
              <w:rPr>
                <w:rFonts w:ascii="Times New Roman" w:hAnsi="Times New Roman" w:cs="Times New Roman"/>
                <w:b w:val="0"/>
                <w:i w:val="0"/>
                <w:smallCaps w:val="0"/>
                <w:sz w:val="14"/>
              </w:rPr>
              <w:t xml:space="preserve">  Caucasian F</w:t>
            </w:r>
          </w:p>
        </w:tc>
        <w:tc>
          <w:tcPr>
            <w:tcW w:type="dxa" w:w="691"/>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719</w:t>
            </w:r>
          </w:p>
        </w:tc>
        <w:tc>
          <w:tcPr>
            <w:tcW w:type="dxa" w:w="605"/>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60</w:t>
            </w:r>
          </w:p>
        </w:tc>
        <w:tc>
          <w:tcPr>
            <w:tcW w:type="dxa" w:w="835"/>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0.985</w:t>
            </w:r>
          </w:p>
        </w:tc>
        <w:tc>
          <w:tcPr>
            <w:tcW w:type="dxa" w:w="749"/>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0.993</w:t>
            </w:r>
          </w:p>
        </w:tc>
        <w:tc>
          <w:tcPr>
            <w:tcW w:type="dxa" w:w="662"/>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4"/>
              </w:rPr>
              <w:t>0.96</w:t>
            </w:r>
          </w:p>
        </w:tc>
      </w:tr>
      <w:tr>
        <w:trPr>
          <w:cantSplit/>
        </w:trPr>
        <w:tc>
          <w:tcPr>
            <w:tcW w:type="dxa" w:w="1469"/>
            <w:tcBorders>
              <w:top w:val="nil" w:sz="0" w:color="000000"/>
              <w:bottom w:val="single" w:sz="8" w:color="000000"/>
            </w:tcBorders>
          </w:tcPr>
          <w:p>
            <w:pPr>
              <w:keepNext w:val="0"/>
              <w:spacing w:before="12" w:after="12" w:line="240" w:lineRule="auto"/>
              <w:jc w:val="left"/>
            </w:pPr>
            <w:r/>
            <w:r>
              <w:rPr>
                <w:rFonts w:ascii="Times New Roman" w:hAnsi="Times New Roman" w:cs="Times New Roman"/>
                <w:b w:val="0"/>
                <w:i w:val="0"/>
                <w:smallCaps w:val="0"/>
                <w:sz w:val="14"/>
              </w:rPr>
              <w:t xml:space="preserve">  Caucasian M</w:t>
            </w:r>
          </w:p>
        </w:tc>
        <w:tc>
          <w:tcPr>
            <w:tcW w:type="dxa" w:w="691"/>
            <w:tcBorders>
              <w:top w:val="nil" w:sz="0" w:color="000000"/>
              <w:bottom w:val="single" w:sz="8" w:color="000000"/>
            </w:tcBorders>
          </w:tcPr>
          <w:p>
            <w:pPr>
              <w:keepNext w:val="0"/>
              <w:spacing w:before="12" w:after="12" w:line="240" w:lineRule="auto"/>
              <w:jc w:val="center"/>
            </w:pPr>
            <w:r/>
            <w:r>
              <w:rPr>
                <w:rFonts w:ascii="Times New Roman" w:hAnsi="Times New Roman" w:cs="Times New Roman"/>
                <w:b w:val="0"/>
                <w:i w:val="0"/>
                <w:smallCaps w:val="0"/>
                <w:sz w:val="14"/>
              </w:rPr>
              <w:t>728</w:t>
            </w:r>
          </w:p>
        </w:tc>
        <w:tc>
          <w:tcPr>
            <w:tcW w:type="dxa" w:w="605"/>
            <w:tcBorders>
              <w:top w:val="nil" w:sz="0" w:color="000000"/>
              <w:bottom w:val="single" w:sz="8" w:color="000000"/>
            </w:tcBorders>
          </w:tcPr>
          <w:p>
            <w:pPr>
              <w:keepNext w:val="0"/>
              <w:spacing w:before="12" w:after="12" w:line="240" w:lineRule="auto"/>
              <w:jc w:val="center"/>
            </w:pPr>
            <w:r/>
            <w:r>
              <w:rPr>
                <w:rFonts w:ascii="Times New Roman" w:hAnsi="Times New Roman" w:cs="Times New Roman"/>
                <w:b w:val="0"/>
                <w:i w:val="0"/>
                <w:smallCaps w:val="0"/>
                <w:sz w:val="14"/>
              </w:rPr>
              <w:t>60</w:t>
            </w:r>
          </w:p>
        </w:tc>
        <w:tc>
          <w:tcPr>
            <w:tcW w:type="dxa" w:w="835"/>
            <w:tcBorders>
              <w:top w:val="nil" w:sz="0" w:color="000000"/>
              <w:bottom w:val="single" w:sz="8" w:color="000000"/>
            </w:tcBorders>
          </w:tcPr>
          <w:p>
            <w:pPr>
              <w:keepNext w:val="0"/>
              <w:spacing w:before="12" w:after="12" w:line="240" w:lineRule="auto"/>
              <w:jc w:val="center"/>
            </w:pPr>
            <w:r/>
            <w:r>
              <w:rPr>
                <w:rFonts w:ascii="Times New Roman" w:hAnsi="Times New Roman" w:cs="Times New Roman"/>
                <w:b w:val="0"/>
                <w:i w:val="0"/>
                <w:smallCaps w:val="0"/>
                <w:sz w:val="14"/>
              </w:rPr>
              <w:t>0.982</w:t>
            </w:r>
          </w:p>
        </w:tc>
        <w:tc>
          <w:tcPr>
            <w:tcW w:type="dxa" w:w="749"/>
            <w:tcBorders>
              <w:top w:val="nil" w:sz="0" w:color="000000"/>
              <w:bottom w:val="single" w:sz="8" w:color="000000"/>
            </w:tcBorders>
          </w:tcPr>
          <w:p>
            <w:pPr>
              <w:keepNext w:val="0"/>
              <w:spacing w:before="12" w:after="12" w:line="240" w:lineRule="auto"/>
              <w:jc w:val="center"/>
            </w:pPr>
            <w:r/>
            <w:r>
              <w:rPr>
                <w:rFonts w:ascii="Times New Roman" w:hAnsi="Times New Roman" w:cs="Times New Roman"/>
                <w:b w:val="0"/>
                <w:i w:val="0"/>
                <w:smallCaps w:val="0"/>
                <w:sz w:val="14"/>
              </w:rPr>
              <w:t>0.991</w:t>
            </w:r>
          </w:p>
        </w:tc>
        <w:tc>
          <w:tcPr>
            <w:tcW w:type="dxa" w:w="662"/>
            <w:tcBorders>
              <w:top w:val="nil" w:sz="0" w:color="000000"/>
              <w:bottom w:val="single" w:sz="8" w:color="000000"/>
            </w:tcBorders>
          </w:tcPr>
          <w:p>
            <w:pPr>
              <w:keepNext w:val="0"/>
              <w:spacing w:before="12" w:after="12" w:line="240" w:lineRule="auto"/>
              <w:jc w:val="center"/>
            </w:pPr>
            <w:r/>
            <w:r>
              <w:rPr>
                <w:rFonts w:ascii="Times New Roman" w:hAnsi="Times New Roman" w:cs="Times New Roman"/>
                <w:b w:val="0"/>
                <w:i w:val="0"/>
                <w:smallCaps w:val="0"/>
                <w:sz w:val="14"/>
              </w:rPr>
              <w:t>1.13</w:t>
            </w:r>
          </w:p>
        </w:tc>
      </w:tr>
    </w:tbl>
    <w:p>
      <w:pPr>
        <w:keepNext w:val="0"/>
        <w:spacing w:before="0" w:after="120" w:line="240" w:lineRule="auto"/>
        <w:ind w:firstLine="0"/>
        <w:jc w:val="both"/>
      </w:pPr>
    </w:p>
    <w:p>
      <w:pPr>
        <w:keepNext w:val="0"/>
        <w:spacing w:before="0" w:after="80" w:line="240" w:lineRule="auto"/>
        <w:ind w:firstLine="0"/>
        <w:jc w:val="both"/>
      </w:pPr>
      <w:r>
        <w:rPr>
          <w:rFonts w:ascii="Times New Roman" w:hAnsi="Times New Roman" w:cs="Times New Roman"/>
          <w:b w:val="0"/>
          <w:i w:val="0"/>
          <w:smallCaps w:val="0"/>
          <w:sz w:val="20"/>
        </w:rPr>
        <w:t>The consequence is visible in Fig. 2. On MEBeauty the correction changes the ordering of the groups substantially: the Black subset, which is the worst-served group as measured at r = 0.583, moves to 0.704 and is no longer distinguishable from the middle of the range, while the Middle Eastern subset, which is the best-served as measured, barely moves. On SCUT-FBP5500 the ordering survives: Caucasian men remain last before and after correction.</w:t>
      </w:r>
    </w:p>
    <w:p>
      <w:pPr>
        <w:sectPr>
          <w:type w:val="continuous"/>
          <w:pgSz w:w="12240" w:h="15840"/>
          <w:pgMar w:top="1080" w:right="900" w:bottom="1440" w:left="900" w:header="720" w:footer="720" w:gutter="0"/>
          <w:docGrid w:linePitch="360"/>
          <w:cols w:num="2" w:space="288" w:equalWidth="1"/>
        </w:sectPr>
      </w:pPr>
    </w:p>
    <w:p>
      <w:pPr>
        <w:spacing w:before="120" w:after="40"/>
        <w:jc w:val="center"/>
      </w:pPr>
      <w:r>
        <w:drawing>
          <wp:inline xmlns:a="http://schemas.openxmlformats.org/drawingml/2006/main" xmlns:pic="http://schemas.openxmlformats.org/drawingml/2006/picture">
            <wp:extent cx="6400800" cy="2194175"/>
            <wp:docPr id="2" name="Picture 2"/>
            <wp:cNvGraphicFramePr>
              <a:graphicFrameLocks noChangeAspect="1"/>
            </wp:cNvGraphicFramePr>
            <a:graphic>
              <a:graphicData uri="http://schemas.openxmlformats.org/drawingml/2006/picture">
                <pic:pic>
                  <pic:nvPicPr>
                    <pic:cNvPr id="0" name="fig2_per_group.png"/>
                    <pic:cNvPicPr/>
                  </pic:nvPicPr>
                  <pic:blipFill>
                    <a:blip r:embed="rId10"/>
                    <a:stretch>
                      <a:fillRect/>
                    </a:stretch>
                  </pic:blipFill>
                  <pic:spPr>
                    <a:xfrm>
                      <a:off x="0" y="0"/>
                      <a:ext cx="6400800" cy="2194175"/>
                    </a:xfrm>
                    <a:prstGeom prst="rect"/>
                  </pic:spPr>
                </pic:pic>
              </a:graphicData>
            </a:graphic>
          </wp:inline>
        </w:drawing>
      </w:r>
    </w:p>
    <w:p>
      <w:pPr>
        <w:spacing w:after="160" w:line="240" w:lineRule="auto"/>
        <w:jc w:val="both"/>
      </w:pPr>
      <w:r>
        <w:rPr>
          <w:rFonts w:ascii="Times New Roman" w:hAnsi="Times New Roman" w:cs="Times New Roman"/>
          <w:b w:val="0"/>
          <w:i w:val="0"/>
          <w:smallCaps w:val="0"/>
          <w:sz w:val="16"/>
        </w:rPr>
        <w:t xml:space="preserve">Fig. 2. </w:t>
      </w:r>
      <w:r>
        <w:rPr>
          <w:rFonts w:ascii="Times New Roman" w:hAnsi="Times New Roman" w:cs="Times New Roman"/>
          <w:b w:val="0"/>
          <w:i w:val="0"/>
          <w:smallCaps w:val="0"/>
          <w:sz w:val="16"/>
        </w:rPr>
        <w:t>Per-group accuracy as measured and after both label-side corrections, with each group’s label reliability and spread ratio on the axis. On MEBeauty (a), correction reorders the groups and compresses the range; the group that appears worst served is the group whose labels are least reliable and most widely spread. On SCUT-FBP5500 (b), where annotation is uniform by design, correction shifts the values without reordering them.</w:t>
      </w:r>
    </w:p>
    <w:p>
      <w:pPr>
        <w:sectPr>
          <w:type w:val="continuous"/>
          <w:pgSz w:w="12240" w:h="15840"/>
          <w:pgMar w:top="1080" w:right="900" w:bottom="1440" w:left="900" w:header="720" w:footer="720" w:gutter="0"/>
          <w:docGrid w:linePitch="360"/>
          <w:cols w:num="1" w:space="288" w:equalWidth="1"/>
        </w:sectPr>
      </w:pPr>
    </w:p>
    <w:p>
      <w:pPr>
        <w:keepNext/>
        <w:spacing w:before="120" w:after="40" w:line="240" w:lineRule="auto"/>
        <w:ind w:firstLine="0"/>
        <w:jc w:val="left"/>
      </w:pPr>
      <w:r>
        <w:rPr>
          <w:rFonts w:ascii="Times New Roman" w:hAnsi="Times New Roman" w:cs="Times New Roman"/>
          <w:b w:val="0"/>
          <w:i/>
          <w:smallCaps w:val="0"/>
          <w:sz w:val="20"/>
        </w:rPr>
        <w:t>B. Measured against the floor, the two datasets disagree</w:t>
      </w:r>
    </w:p>
    <w:p>
      <w:pPr>
        <w:keepNext w:val="0"/>
        <w:spacing w:before="0" w:after="80" w:line="240" w:lineRule="auto"/>
        <w:ind w:firstLine="0"/>
        <w:jc w:val="both"/>
      </w:pPr>
      <w:r>
        <w:rPr>
          <w:rFonts w:ascii="Times New Roman" w:hAnsi="Times New Roman" w:cs="Times New Roman"/>
          <w:b w:val="0"/>
          <w:i w:val="0"/>
          <w:smallCaps w:val="0"/>
          <w:sz w:val="20"/>
        </w:rPr>
        <w:t>Fig. 3 gives the decomposition for three groupings. On MEBeauty, six populations, the reported disparity is 0.202. The sampling-noise floor for that design at the observed reference skill is 0.103, which is 51% of the reported value. The observed gap is nevertheless larger than the floor, and significantly so (p = 0.019), leaving an excess of 0.098 before any annotation correction. After both corrections the gap falls to 0.084, a reduction of 58%; the floor for the corrected skill level is 0.091; and the excess is −0.007. Nothing survives. The same conclusion follows from the spread across groups rather than the extremes: the observed standard deviation of 0.078 is above its own floor as measured (p = 0.011) and is not after correction.</w:t>
      </w:r>
    </w:p>
    <w:p>
      <w:pPr>
        <w:keepNext w:val="0"/>
        <w:spacing w:before="0" w:after="80" w:line="240" w:lineRule="auto"/>
        <w:ind w:firstLine="288"/>
        <w:jc w:val="both"/>
      </w:pPr>
      <w:r>
        <w:rPr>
          <w:rFonts w:ascii="Times New Roman" w:hAnsi="Times New Roman" w:cs="Times New Roman"/>
          <w:b w:val="0"/>
          <w:i w:val="0"/>
          <w:smallCaps w:val="0"/>
          <w:sz w:val="20"/>
        </w:rPr>
        <w:t>On SCUT-FBP5500 the answer is different. Across four subgroups the reported disparity is 0.130 against a floor of 0.036, which is 28% of it (p &lt; 0.001). After both corrections the gap is 0.101 against a floor of 0.034, leaving an excess of 0.067. Across the two ethnicity groups the reported disparity is 0.080 against a floor of 0.014, and the excess after correction is 0.055. A real model-side disparity is present, it is roughly half the size of the number an uncorrected audit would report, and it is in a direction the raw figure also indicates: Caucasian faces, and Caucasian men in particular, are served worse.</w:t>
      </w:r>
    </w:p>
    <w:p>
      <w:pPr>
        <w:sectPr>
          <w:type w:val="continuous"/>
          <w:pgSz w:w="12240" w:h="15840"/>
          <w:pgMar w:top="1080" w:right="900" w:bottom="1440" w:left="900" w:header="720" w:footer="720" w:gutter="0"/>
          <w:docGrid w:linePitch="360"/>
          <w:cols w:num="2" w:space="288" w:equalWidth="1"/>
        </w:sectPr>
      </w:pPr>
    </w:p>
    <w:p>
      <w:pPr>
        <w:spacing w:before="120" w:after="40"/>
        <w:jc w:val="center"/>
      </w:pPr>
      <w:r>
        <w:drawing>
          <wp:inline xmlns:a="http://schemas.openxmlformats.org/drawingml/2006/main" xmlns:pic="http://schemas.openxmlformats.org/drawingml/2006/picture">
            <wp:extent cx="6400800" cy="2214622"/>
            <wp:docPr id="3" name="Picture 3"/>
            <wp:cNvGraphicFramePr>
              <a:graphicFrameLocks noChangeAspect="1"/>
            </wp:cNvGraphicFramePr>
            <a:graphic>
              <a:graphicData uri="http://schemas.openxmlformats.org/drawingml/2006/picture">
                <pic:pic>
                  <pic:nvPicPr>
                    <pic:cNvPr id="0" name="fig3_cascade.png"/>
                    <pic:cNvPicPr/>
                  </pic:nvPicPr>
                  <pic:blipFill>
                    <a:blip r:embed="rId11"/>
                    <a:stretch>
                      <a:fillRect/>
                    </a:stretch>
                  </pic:blipFill>
                  <pic:spPr>
                    <a:xfrm>
                      <a:off x="0" y="0"/>
                      <a:ext cx="6400800" cy="2214622"/>
                    </a:xfrm>
                    <a:prstGeom prst="rect"/>
                  </pic:spPr>
                </pic:pic>
              </a:graphicData>
            </a:graphic>
          </wp:inline>
        </w:drawing>
      </w:r>
    </w:p>
    <w:p>
      <w:pPr>
        <w:spacing w:after="160" w:line="240" w:lineRule="auto"/>
        <w:jc w:val="both"/>
      </w:pPr>
      <w:r>
        <w:rPr>
          <w:rFonts w:ascii="Times New Roman" w:hAnsi="Times New Roman" w:cs="Times New Roman"/>
          <w:b w:val="0"/>
          <w:i w:val="0"/>
          <w:smallCaps w:val="0"/>
          <w:sz w:val="16"/>
        </w:rPr>
        <w:t xml:space="preserve">Fig. 3. </w:t>
      </w:r>
      <w:r>
        <w:rPr>
          <w:rFonts w:ascii="Times New Roman" w:hAnsi="Times New Roman" w:cs="Times New Roman"/>
          <w:b w:val="0"/>
          <w:i w:val="0"/>
          <w:smallCaps w:val="0"/>
          <w:sz w:val="16"/>
        </w:rPr>
        <w:t>The decomposition for three groupings. Each pair of bars gives the disparity as reported and after both label-side corrections, with the sampling-noise floor for that design and skill level shaded. Excess over the floor is the part attributable to the model. On MEBeauty the corrected gap falls below its own floor; on SCUT-FBP5500 a substantial excess survives. The p-values test the reported gap against the floor.</w:t>
      </w:r>
    </w:p>
    <w:p>
      <w:pPr>
        <w:sectPr>
          <w:type w:val="continuous"/>
          <w:pgSz w:w="12240" w:h="15840"/>
          <w:pgMar w:top="1080" w:right="900" w:bottom="1440" w:left="900" w:header="720" w:footer="720" w:gutter="0"/>
          <w:docGrid w:linePitch="360"/>
          <w:cols w:num="1" w:space="288" w:equalWidth="1"/>
        </w:sectPr>
      </w:pPr>
    </w:p>
    <w:p>
      <w:pPr>
        <w:keepNext w:val="0"/>
        <w:spacing w:before="0" w:after="80" w:line="240" w:lineRule="auto"/>
        <w:ind w:firstLine="0"/>
        <w:jc w:val="both"/>
      </w:pPr>
      <w:r>
        <w:rPr>
          <w:rFonts w:ascii="Times New Roman" w:hAnsi="Times New Roman" w:cs="Times New Roman"/>
          <w:b w:val="0"/>
          <w:i w:val="0"/>
          <w:smallCaps w:val="0"/>
          <w:sz w:val="20"/>
        </w:rPr>
        <w:t>It is worth stating what has just happened. Two datasets, the same metric, the same pipeline, reported gaps of the same order, and opposite verdicts. An auditor who reported only the first number in each row of Fig. 3 would conclude that both systems are biased and that the MEBeauty one is worse. The opposite is closer to the truth.</w:t>
      </w:r>
    </w:p>
    <w:p>
      <w:pPr>
        <w:keepNext/>
        <w:spacing w:before="120" w:after="40" w:line="240" w:lineRule="auto"/>
        <w:ind w:firstLine="0"/>
        <w:jc w:val="left"/>
      </w:pPr>
      <w:r>
        <w:rPr>
          <w:rFonts w:ascii="Times New Roman" w:hAnsi="Times New Roman" w:cs="Times New Roman"/>
          <w:b w:val="0"/>
          <w:i/>
          <w:smallCaps w:val="0"/>
          <w:sz w:val="20"/>
        </w:rPr>
        <w:t>C. The surviving disparity is training representation</w:t>
      </w:r>
    </w:p>
    <w:p>
      <w:pPr>
        <w:keepNext w:val="0"/>
        <w:spacing w:before="0" w:after="80" w:line="240" w:lineRule="auto"/>
        <w:ind w:firstLine="0"/>
        <w:jc w:val="both"/>
      </w:pPr>
      <w:r>
        <w:rPr>
          <w:rFonts w:ascii="Times New Roman" w:hAnsi="Times New Roman" w:cs="Times New Roman"/>
          <w:b w:val="0"/>
          <w:i w:val="0"/>
          <w:smallCaps w:val="0"/>
          <w:sz w:val="20"/>
        </w:rPr>
        <w:t>On SCUT-FBP5500 the worse-served ethnicity is also the one with 36% of the other's representation in training: 1,447 Caucasian faces against 3,982 Asian. Representation imbalance is a model-side mechanism, but a specific and fixable one, and it is worth separating from the conclusion that the model is simply worse on those faces.</w:t>
      </w:r>
    </w:p>
    <w:p>
      <w:pPr>
        <w:keepNext w:val="0"/>
        <w:spacing w:before="0" w:after="80" w:line="240" w:lineRule="auto"/>
        <w:ind w:firstLine="288"/>
        <w:jc w:val="both"/>
      </w:pPr>
      <w:r>
        <w:rPr>
          <w:rFonts w:ascii="Times New Roman" w:hAnsi="Times New Roman" w:cs="Times New Roman"/>
          <w:b w:val="0"/>
          <w:i w:val="0"/>
          <w:smallCaps w:val="0"/>
          <w:sz w:val="20"/>
        </w:rPr>
        <w:t>We re-trained with each training fold subsampled to equal numbers of Asian and Caucasian faces, holding the evaluation sets fixed. The result is in Fig. 4. The ethnicity gap falls from 0.080 to 0.026, a reduction of 67%, with the Caucasian group rising from 0.626 to 0.654 and the Asian group falling from 0.706 to 0.680. Pooled correlation falls from 0.688 to 0.675. Two-thirds of the disparity that survived every label-side correction is therefore an artefact of the training mix, removable by a change under the developer's control, at a cost of 0.012 in overall accuracy.</w:t>
      </w:r>
    </w:p>
    <w:p>
      <w:pPr>
        <w:spacing w:before="120" w:after="40"/>
        <w:jc w:val="center"/>
      </w:pPr>
      <w:r>
        <w:drawing>
          <wp:inline xmlns:a="http://schemas.openxmlformats.org/drawingml/2006/main" xmlns:pic="http://schemas.openxmlformats.org/drawingml/2006/picture">
            <wp:extent cx="3108960" cy="1857301"/>
            <wp:docPr id="4" name="Picture 4"/>
            <wp:cNvGraphicFramePr>
              <a:graphicFrameLocks noChangeAspect="1"/>
            </wp:cNvGraphicFramePr>
            <a:graphic>
              <a:graphicData uri="http://schemas.openxmlformats.org/drawingml/2006/picture">
                <pic:pic>
                  <pic:nvPicPr>
                    <pic:cNvPr id="0" name="fig4_balance.png"/>
                    <pic:cNvPicPr/>
                  </pic:nvPicPr>
                  <pic:blipFill>
                    <a:blip r:embed="rId12"/>
                    <a:stretch>
                      <a:fillRect/>
                    </a:stretch>
                  </pic:blipFill>
                  <pic:spPr>
                    <a:xfrm>
                      <a:off x="0" y="0"/>
                      <a:ext cx="3108960" cy="1857301"/>
                    </a:xfrm>
                    <a:prstGeom prst="rect"/>
                  </pic:spPr>
                </pic:pic>
              </a:graphicData>
            </a:graphic>
          </wp:inline>
        </w:drawing>
      </w:r>
    </w:p>
    <w:p>
      <w:pPr>
        <w:spacing w:after="160" w:line="240" w:lineRule="auto"/>
        <w:jc w:val="both"/>
      </w:pPr>
      <w:r>
        <w:rPr>
          <w:rFonts w:ascii="Times New Roman" w:hAnsi="Times New Roman" w:cs="Times New Roman"/>
          <w:b w:val="0"/>
          <w:i w:val="0"/>
          <w:smallCaps w:val="0"/>
          <w:sz w:val="16"/>
        </w:rPr>
        <w:t xml:space="preserve">Fig. 4. </w:t>
      </w:r>
      <w:r>
        <w:rPr>
          <w:rFonts w:ascii="Times New Roman" w:hAnsi="Times New Roman" w:cs="Times New Roman"/>
          <w:b w:val="0"/>
          <w:i w:val="0"/>
          <w:smallCaps w:val="0"/>
          <w:sz w:val="16"/>
        </w:rPr>
        <w:t>Per-group accuracy on SCUT-FBP5500 with the training mix as collected and balanced by ethnicity, evaluation sets held fixed. Equalizing representation removes two-thirds of the surviving disparity and costs 0.012 of pooled correlation.</w:t>
      </w:r>
    </w:p>
    <w:p>
      <w:pPr>
        <w:keepNext w:val="0"/>
        <w:spacing w:before="0" w:after="80" w:line="240" w:lineRule="auto"/>
        <w:ind w:firstLine="0"/>
        <w:jc w:val="both"/>
      </w:pPr>
      <w:r>
        <w:rPr>
          <w:rFonts w:ascii="Times New Roman" w:hAnsi="Times New Roman" w:cs="Times New Roman"/>
          <w:b w:val="0"/>
          <w:i w:val="0"/>
          <w:smallCaps w:val="0"/>
          <w:sz w:val="20"/>
        </w:rPr>
        <w:t>This is the kind of statement a subgroup audit should be able to produce, and it is only available after the first two sources are removed. Run on MEBeauty, the same intervention would have been chasing sampling noise.</w:t>
      </w:r>
    </w:p>
    <w:p>
      <w:pPr>
        <w:keepNext/>
        <w:spacing w:before="120" w:after="40" w:line="240" w:lineRule="auto"/>
        <w:ind w:firstLine="0"/>
        <w:jc w:val="left"/>
      </w:pPr>
      <w:r>
        <w:rPr>
          <w:rFonts w:ascii="Times New Roman" w:hAnsi="Times New Roman" w:cs="Times New Roman"/>
          <w:b w:val="0"/>
          <w:i/>
          <w:smallCaps w:val="0"/>
          <w:sz w:val="20"/>
        </w:rPr>
        <w:t>D. Different parity channels give different verdicts</w:t>
      </w:r>
    </w:p>
    <w:p>
      <w:pPr>
        <w:keepNext w:val="0"/>
        <w:spacing w:before="0" w:after="80" w:line="240" w:lineRule="auto"/>
        <w:ind w:firstLine="0"/>
        <w:jc w:val="both"/>
      </w:pPr>
      <w:r>
        <w:rPr>
          <w:rFonts w:ascii="Times New Roman" w:hAnsi="Times New Roman" w:cs="Times New Roman"/>
          <w:b w:val="0"/>
          <w:i w:val="0"/>
          <w:smallCaps w:val="0"/>
          <w:sz w:val="20"/>
        </w:rPr>
        <w:t>The results above use correlation. Audits in practice report several parity criteria, and they do not agree. Table IV reports, for the three predictor families, the spread across the twelve intersectional cells in mean prediction and in mean absolute error. As accuracy rises from the geometry predictor to the fusion predictor, the prediction gap grows from 0.770 to 0.829 while the error gap falls from 0.426 to 0.152. The two channels move in opposite directions over the same models.</w:t>
      </w:r>
    </w:p>
    <w:p>
      <w:pPr>
        <w:keepNext/>
        <w:spacing w:before="160" w:after="20" w:line="240" w:lineRule="auto"/>
        <w:ind w:firstLine="0"/>
        <w:jc w:val="center"/>
      </w:pPr>
      <w:r>
        <w:rPr>
          <w:rFonts w:ascii="Times New Roman" w:hAnsi="Times New Roman" w:cs="Times New Roman"/>
          <w:b w:val="0"/>
          <w:i w:val="0"/>
          <w:smallCaps w:val="0"/>
          <w:sz w:val="16"/>
        </w:rPr>
        <w:t>TABLE IV</w:t>
      </w:r>
    </w:p>
    <w:p>
      <w:pPr>
        <w:keepNext/>
        <w:spacing w:before="0" w:after="60" w:line="240" w:lineRule="auto"/>
        <w:ind w:firstLine="0"/>
        <w:jc w:val="both"/>
      </w:pPr>
      <w:r>
        <w:rPr>
          <w:rFonts w:ascii="Times New Roman" w:hAnsi="Times New Roman" w:cs="Times New Roman"/>
          <w:b w:val="0"/>
          <w:i w:val="0"/>
          <w:smallCaps w:val="0"/>
          <w:sz w:val="16"/>
        </w:rPr>
        <w:t>Two parity channels over the same twelve intersectional cells of MEBeauty, for three predictor families of increasing accuracy. The prediction gap grows while the error gap falls, so the two channels certify different models. The final row gives the spread in the human labels themselves.</w:t>
      </w:r>
    </w:p>
    <w:tbl>
      <w:tblPr>
        <w:jc w:val="center"/>
        <w:tblLook w:firstColumn="1" w:firstRow="1" w:lastColumn="0" w:lastRow="0" w:noHBand="0" w:noVBand="1" w:val="04A0"/>
        <w:tblW w:w="4896" w:type="dxa"/>
        <w:tblLayout w:type="fixed"/>
      </w:tblPr>
      <w:tblGrid>
        <w:gridCol w:w="1324"/>
        <w:gridCol w:w="1007"/>
        <w:gridCol w:w="806"/>
        <w:gridCol w:w="864"/>
        <w:gridCol w:w="892"/>
      </w:tblGrid>
      <w:tr>
        <w:trPr>
          <w:cantSplit/>
        </w:trPr>
        <w:tc>
          <w:tcPr>
            <w:tcW w:type="dxa" w:w="1325"/>
            <w:tcBorders>
              <w:top w:val="single" w:sz="8" w:color="000000"/>
              <w:bottom w:val="nil" w:sz="0" w:color="000000"/>
            </w:tcBorders>
          </w:tcPr>
          <w:p>
            <w:pPr>
              <w:keepNext/>
              <w:spacing w:before="12" w:after="12" w:line="240" w:lineRule="auto"/>
              <w:jc w:val="left"/>
            </w:pPr>
            <w:r/>
            <w:r>
              <w:rPr>
                <w:rFonts w:ascii="Times New Roman" w:hAnsi="Times New Roman" w:cs="Times New Roman"/>
                <w:b/>
                <w:i w:val="0"/>
                <w:smallCaps w:val="0"/>
                <w:sz w:val="15"/>
              </w:rPr>
              <w:t>Predictor</w:t>
            </w:r>
          </w:p>
        </w:tc>
        <w:tc>
          <w:tcPr>
            <w:tcW w:type="dxa" w:w="1008"/>
            <w:tcBorders>
              <w:top w:val="single" w:sz="8" w:color="000000"/>
              <w:bottom w:val="nil" w:sz="0" w:color="000000"/>
            </w:tcBorders>
          </w:tcPr>
          <w:p>
            <w:pPr>
              <w:keepNext/>
              <w:spacing w:before="12" w:after="12" w:line="240" w:lineRule="auto"/>
              <w:jc w:val="center"/>
            </w:pPr>
            <w:r/>
            <w:r>
              <w:rPr>
                <w:rFonts w:ascii="Times New Roman" w:hAnsi="Times New Roman" w:cs="Times New Roman"/>
                <w:b/>
                <w:i w:val="0"/>
                <w:smallCaps w:val="0"/>
                <w:sz w:val="15"/>
              </w:rPr>
              <w:t>Prediction gap</w:t>
            </w:r>
          </w:p>
        </w:tc>
        <w:tc>
          <w:tcPr>
            <w:tcW w:type="dxa" w:w="806"/>
            <w:tcBorders>
              <w:top w:val="single" w:sz="8" w:color="000000"/>
              <w:bottom w:val="nil" w:sz="0" w:color="000000"/>
            </w:tcBorders>
          </w:tcPr>
          <w:p>
            <w:pPr>
              <w:keepNext/>
              <w:spacing w:before="12" w:after="12" w:line="240" w:lineRule="auto"/>
              <w:jc w:val="center"/>
            </w:pPr>
            <w:r/>
            <w:r>
              <w:rPr>
                <w:rFonts w:ascii="Times New Roman" w:hAnsi="Times New Roman" w:cs="Times New Roman"/>
                <w:b/>
                <w:i w:val="0"/>
                <w:smallCaps w:val="0"/>
                <w:sz w:val="15"/>
              </w:rPr>
              <w:t>Error gap</w:t>
            </w:r>
          </w:p>
        </w:tc>
        <w:tc>
          <w:tcPr>
            <w:tcW w:type="dxa" w:w="864"/>
            <w:tcBorders>
              <w:top w:val="single" w:sz="8" w:color="000000"/>
              <w:bottom w:val="nil" w:sz="0" w:color="000000"/>
            </w:tcBorders>
          </w:tcPr>
          <w:p>
            <w:pPr>
              <w:keepNext/>
              <w:spacing w:before="12" w:after="12" w:line="240" w:lineRule="auto"/>
              <w:jc w:val="center"/>
            </w:pPr>
            <w:r/>
            <w:r>
              <w:rPr>
                <w:rFonts w:ascii="Times New Roman" w:hAnsi="Times New Roman" w:cs="Times New Roman"/>
                <w:b/>
                <w:i w:val="0"/>
                <w:smallCaps w:val="0"/>
                <w:sz w:val="15"/>
              </w:rPr>
              <w:t>ε² pred.</w:t>
            </w:r>
          </w:p>
        </w:tc>
        <w:tc>
          <w:tcPr>
            <w:tcW w:type="dxa" w:w="893"/>
            <w:tcBorders>
              <w:top w:val="single" w:sz="8" w:color="000000"/>
              <w:bottom w:val="nil" w:sz="0" w:color="000000"/>
            </w:tcBorders>
          </w:tcPr>
          <w:p>
            <w:pPr>
              <w:keepNext/>
              <w:spacing w:before="12" w:after="12" w:line="240" w:lineRule="auto"/>
              <w:jc w:val="center"/>
            </w:pPr>
            <w:r/>
            <w:r>
              <w:rPr>
                <w:rFonts w:ascii="Times New Roman" w:hAnsi="Times New Roman" w:cs="Times New Roman"/>
                <w:b/>
                <w:i w:val="0"/>
                <w:smallCaps w:val="0"/>
                <w:sz w:val="15"/>
              </w:rPr>
              <w:t>Sig. pairs</w:t>
            </w:r>
          </w:p>
        </w:tc>
      </w:tr>
      <w:tr>
        <w:trPr>
          <w:cantSplit/>
        </w:trPr>
        <w:tc>
          <w:tcPr>
            <w:tcW w:type="dxa" w:w="1325"/>
            <w:tcBorders>
              <w:top w:val="single" w:sz="4" w:color="000000"/>
              <w:bottom w:val="nil" w:sz="0" w:color="000000"/>
            </w:tcBorders>
          </w:tcPr>
          <w:p>
            <w:pPr>
              <w:keepNext/>
              <w:spacing w:before="12" w:after="12" w:line="240" w:lineRule="auto"/>
              <w:jc w:val="left"/>
            </w:pPr>
            <w:r/>
            <w:r>
              <w:rPr>
                <w:rFonts w:ascii="Times New Roman" w:hAnsi="Times New Roman" w:cs="Times New Roman"/>
                <w:b w:val="0"/>
                <w:i w:val="0"/>
                <w:smallCaps w:val="0"/>
                <w:sz w:val="15"/>
              </w:rPr>
              <w:t>Geometry</w:t>
            </w:r>
          </w:p>
        </w:tc>
        <w:tc>
          <w:tcPr>
            <w:tcW w:type="dxa" w:w="1008"/>
            <w:tcBorders>
              <w:top w:val="single" w:sz="4"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0.770</w:t>
            </w:r>
          </w:p>
        </w:tc>
        <w:tc>
          <w:tcPr>
            <w:tcW w:type="dxa" w:w="806"/>
            <w:tcBorders>
              <w:top w:val="single" w:sz="4"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0.426</w:t>
            </w:r>
          </w:p>
        </w:tc>
        <w:tc>
          <w:tcPr>
            <w:tcW w:type="dxa" w:w="864"/>
            <w:tcBorders>
              <w:top w:val="single" w:sz="4"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0.381</w:t>
            </w:r>
          </w:p>
        </w:tc>
        <w:tc>
          <w:tcPr>
            <w:tcW w:type="dxa" w:w="893"/>
            <w:tcBorders>
              <w:top w:val="single" w:sz="4"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45/66</w:t>
            </w:r>
          </w:p>
        </w:tc>
      </w:tr>
      <w:tr>
        <w:trPr>
          <w:cantSplit/>
        </w:trPr>
        <w:tc>
          <w:tcPr>
            <w:tcW w:type="dxa" w:w="1325"/>
            <w:tcBorders>
              <w:top w:val="nil" w:sz="0" w:color="000000"/>
              <w:bottom w:val="nil" w:sz="0" w:color="000000"/>
            </w:tcBorders>
          </w:tcPr>
          <w:p>
            <w:pPr>
              <w:keepNext/>
              <w:spacing w:before="12" w:after="12" w:line="240" w:lineRule="auto"/>
              <w:jc w:val="left"/>
            </w:pPr>
            <w:r/>
            <w:r>
              <w:rPr>
                <w:rFonts w:ascii="Times New Roman" w:hAnsi="Times New Roman" w:cs="Times New Roman"/>
                <w:b w:val="0"/>
                <w:i w:val="0"/>
                <w:smallCaps w:val="0"/>
                <w:sz w:val="15"/>
              </w:rPr>
              <w:t>Appearance</w:t>
            </w:r>
          </w:p>
        </w:tc>
        <w:tc>
          <w:tcPr>
            <w:tcW w:type="dxa" w:w="1008"/>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0.786</w:t>
            </w:r>
          </w:p>
        </w:tc>
        <w:tc>
          <w:tcPr>
            <w:tcW w:type="dxa" w:w="806"/>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0.199</w:t>
            </w:r>
          </w:p>
        </w:tc>
        <w:tc>
          <w:tcPr>
            <w:tcW w:type="dxa" w:w="864"/>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0.350</w:t>
            </w:r>
          </w:p>
        </w:tc>
        <w:tc>
          <w:tcPr>
            <w:tcW w:type="dxa" w:w="893"/>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42/66</w:t>
            </w:r>
          </w:p>
        </w:tc>
      </w:tr>
      <w:tr>
        <w:trPr>
          <w:cantSplit/>
        </w:trPr>
        <w:tc>
          <w:tcPr>
            <w:tcW w:type="dxa" w:w="1325"/>
            <w:tcBorders>
              <w:top w:val="nil" w:sz="0" w:color="000000"/>
              <w:bottom w:val="nil" w:sz="0" w:color="000000"/>
            </w:tcBorders>
          </w:tcPr>
          <w:p>
            <w:pPr>
              <w:keepNext/>
              <w:spacing w:before="12" w:after="12" w:line="240" w:lineRule="auto"/>
              <w:jc w:val="left"/>
            </w:pPr>
            <w:r/>
            <w:r>
              <w:rPr>
                <w:rFonts w:ascii="Times New Roman" w:hAnsi="Times New Roman" w:cs="Times New Roman"/>
                <w:b w:val="0"/>
                <w:i w:val="0"/>
                <w:smallCaps w:val="0"/>
                <w:sz w:val="15"/>
              </w:rPr>
              <w:t>Fusion</w:t>
            </w:r>
          </w:p>
        </w:tc>
        <w:tc>
          <w:tcPr>
            <w:tcW w:type="dxa" w:w="1008"/>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0.829</w:t>
            </w:r>
          </w:p>
        </w:tc>
        <w:tc>
          <w:tcPr>
            <w:tcW w:type="dxa" w:w="806"/>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0.152</w:t>
            </w:r>
          </w:p>
        </w:tc>
        <w:tc>
          <w:tcPr>
            <w:tcW w:type="dxa" w:w="864"/>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0.359</w:t>
            </w:r>
          </w:p>
        </w:tc>
        <w:tc>
          <w:tcPr>
            <w:tcW w:type="dxa" w:w="893"/>
            <w:tcBorders>
              <w:top w:val="nil" w:sz="0" w:color="000000"/>
              <w:bottom w:val="nil" w:sz="0" w:color="000000"/>
            </w:tcBorders>
          </w:tcPr>
          <w:p>
            <w:pPr>
              <w:keepNext/>
              <w:spacing w:before="12" w:after="12" w:line="240" w:lineRule="auto"/>
              <w:jc w:val="center"/>
            </w:pPr>
            <w:r/>
            <w:r>
              <w:rPr>
                <w:rFonts w:ascii="Times New Roman" w:hAnsi="Times New Roman" w:cs="Times New Roman"/>
                <w:b w:val="0"/>
                <w:i w:val="0"/>
                <w:smallCaps w:val="0"/>
                <w:sz w:val="15"/>
              </w:rPr>
              <w:t>42/66</w:t>
            </w:r>
          </w:p>
        </w:tc>
      </w:tr>
      <w:tr>
        <w:trPr>
          <w:cantSplit/>
        </w:trPr>
        <w:tc>
          <w:tcPr>
            <w:tcW w:type="dxa" w:w="1325"/>
            <w:tcBorders>
              <w:top w:val="nil" w:sz="0" w:color="000000"/>
              <w:bottom w:val="single" w:sz="8" w:color="000000"/>
            </w:tcBorders>
          </w:tcPr>
          <w:p>
            <w:pPr>
              <w:keepNext w:val="0"/>
              <w:spacing w:before="12" w:after="12" w:line="240" w:lineRule="auto"/>
              <w:jc w:val="left"/>
            </w:pPr>
            <w:r/>
            <w:r>
              <w:rPr>
                <w:rFonts w:ascii="Times New Roman" w:hAnsi="Times New Roman" w:cs="Times New Roman"/>
                <w:b w:val="0"/>
                <w:i w:val="0"/>
                <w:smallCaps w:val="0"/>
                <w:sz w:val="15"/>
              </w:rPr>
              <w:t>Human labels</w:t>
            </w:r>
          </w:p>
        </w:tc>
        <w:tc>
          <w:tcPr>
            <w:tcW w:type="dxa" w:w="1008"/>
            <w:tcBorders>
              <w:top w:val="nil" w:sz="0" w:color="000000"/>
              <w:bottom w:val="single" w:sz="8" w:color="000000"/>
            </w:tcBorders>
          </w:tcPr>
          <w:p>
            <w:pPr>
              <w:keepNext w:val="0"/>
              <w:spacing w:before="12" w:after="12" w:line="240" w:lineRule="auto"/>
              <w:jc w:val="center"/>
            </w:pPr>
            <w:r/>
            <w:r>
              <w:rPr>
                <w:rFonts w:ascii="Times New Roman" w:hAnsi="Times New Roman" w:cs="Times New Roman"/>
                <w:b w:val="0"/>
                <w:i w:val="0"/>
                <w:smallCaps w:val="0"/>
                <w:sz w:val="15"/>
              </w:rPr>
              <w:t>0.926</w:t>
            </w:r>
          </w:p>
        </w:tc>
        <w:tc>
          <w:tcPr>
            <w:tcW w:type="dxa" w:w="806"/>
            <w:tcBorders>
              <w:top w:val="nil" w:sz="0" w:color="000000"/>
              <w:bottom w:val="single" w:sz="8" w:color="000000"/>
            </w:tcBorders>
          </w:tcPr>
          <w:p>
            <w:pPr>
              <w:keepNext w:val="0"/>
              <w:spacing w:before="12" w:after="12" w:line="240" w:lineRule="auto"/>
              <w:jc w:val="center"/>
            </w:pPr>
            <w:r/>
            <w:r>
              <w:rPr>
                <w:rFonts w:ascii="Times New Roman" w:hAnsi="Times New Roman" w:cs="Times New Roman"/>
                <w:b w:val="0"/>
                <w:i w:val="0"/>
                <w:smallCaps w:val="0"/>
                <w:sz w:val="15"/>
              </w:rPr>
              <w:t>—</w:t>
            </w:r>
          </w:p>
        </w:tc>
        <w:tc>
          <w:tcPr>
            <w:tcW w:type="dxa" w:w="864"/>
            <w:tcBorders>
              <w:top w:val="nil" w:sz="0" w:color="000000"/>
              <w:bottom w:val="single" w:sz="8" w:color="000000"/>
            </w:tcBorders>
          </w:tcPr>
          <w:p>
            <w:pPr>
              <w:keepNext w:val="0"/>
              <w:spacing w:before="12" w:after="12" w:line="240" w:lineRule="auto"/>
              <w:jc w:val="center"/>
            </w:pPr>
            <w:r/>
            <w:r>
              <w:rPr>
                <w:rFonts w:ascii="Times New Roman" w:hAnsi="Times New Roman" w:cs="Times New Roman"/>
                <w:b w:val="0"/>
                <w:i w:val="0"/>
                <w:smallCaps w:val="0"/>
                <w:sz w:val="15"/>
              </w:rPr>
              <w:t>—</w:t>
            </w:r>
          </w:p>
        </w:tc>
        <w:tc>
          <w:tcPr>
            <w:tcW w:type="dxa" w:w="893"/>
            <w:tcBorders>
              <w:top w:val="nil" w:sz="0" w:color="000000"/>
              <w:bottom w:val="single" w:sz="8" w:color="000000"/>
            </w:tcBorders>
          </w:tcPr>
          <w:p>
            <w:pPr>
              <w:keepNext w:val="0"/>
              <w:spacing w:before="12" w:after="12" w:line="240" w:lineRule="auto"/>
              <w:jc w:val="center"/>
            </w:pPr>
            <w:r/>
            <w:r>
              <w:rPr>
                <w:rFonts w:ascii="Times New Roman" w:hAnsi="Times New Roman" w:cs="Times New Roman"/>
                <w:b w:val="0"/>
                <w:i w:val="0"/>
                <w:smallCaps w:val="0"/>
                <w:sz w:val="15"/>
              </w:rPr>
              <w:t>—</w:t>
            </w:r>
          </w:p>
        </w:tc>
      </w:tr>
    </w:tbl>
    <w:p>
      <w:pPr>
        <w:keepNext w:val="0"/>
        <w:spacing w:before="0" w:after="120" w:line="240" w:lineRule="auto"/>
        <w:ind w:firstLine="0"/>
        <w:jc w:val="both"/>
      </w:pPr>
    </w:p>
    <w:p>
      <w:pPr>
        <w:keepNext w:val="0"/>
        <w:spacing w:before="0" w:after="80" w:line="240" w:lineRule="auto"/>
        <w:ind w:firstLine="0"/>
        <w:jc w:val="both"/>
      </w:pPr>
      <w:r>
        <w:rPr>
          <w:rFonts w:ascii="Times New Roman" w:hAnsi="Times New Roman" w:cs="Times New Roman"/>
          <w:b w:val="0"/>
          <w:i w:val="0"/>
          <w:smallCaps w:val="0"/>
          <w:sz w:val="20"/>
        </w:rPr>
        <w:t>A report that chose prediction parity would certify the least accurate model as the fairest, and a report that chose error parity would certify the most accurate one. Neither is wrong about its own quantity. The point is that the choice of channel is doing the work, and that a decomposition of the kind set out here is needed for each channel separately rather than once for the system. We note also that the label gap across the same cells is 0.926, which is larger than any model's prediction gap: the annotators themselves rate the cells differently, and no model trained to reproduce those labels will show prediction parity.</w:t>
      </w:r>
    </w:p>
    <w:p>
      <w:pPr>
        <w:keepNext/>
        <w:spacing w:before="120" w:after="40" w:line="240" w:lineRule="auto"/>
        <w:ind w:firstLine="0"/>
        <w:jc w:val="left"/>
      </w:pPr>
      <w:r>
        <w:rPr>
          <w:rFonts w:ascii="Times New Roman" w:hAnsi="Times New Roman" w:cs="Times New Roman"/>
          <w:b w:val="0"/>
          <w:i/>
          <w:smallCaps w:val="0"/>
          <w:sz w:val="20"/>
        </w:rPr>
        <w:t>E. Interpretable geometry transfers where appearance does not</w:t>
      </w:r>
    </w:p>
    <w:p>
      <w:pPr>
        <w:keepNext w:val="0"/>
        <w:spacing w:before="0" w:after="80" w:line="240" w:lineRule="auto"/>
        <w:ind w:firstLine="0"/>
        <w:jc w:val="both"/>
      </w:pPr>
      <w:r>
        <w:rPr>
          <w:rFonts w:ascii="Times New Roman" w:hAnsi="Times New Roman" w:cs="Times New Roman"/>
          <w:b w:val="0"/>
          <w:i w:val="0"/>
          <w:smallCaps w:val="0"/>
          <w:sz w:val="20"/>
        </w:rPr>
        <w:t>One result from the predictor comparison bears directly on auditing. Fig. 5 reports leave-one-population-out transfer on MEBeauty, in which the model is trained on five populations and evaluated on the sixth. The geometric battery has a spread across held-out populations of 0.188 with a standard deviation of 0.071, and its worst case is 11.2% below its in-distribution accuracy. The appearance embedding has a spread of 0.423, a standard deviation of 0.158, and a worst-case degradation of 51.4%. Pairwise, the geometry predictor is significantly better on the held-out Black subset (+0.199, p = 0.016) and significantly worse on the held-out Indian subset (−0.215, p = 0.025); the other four differences are not significant.</w:t>
      </w:r>
    </w:p>
    <w:p>
      <w:pPr>
        <w:spacing w:before="120" w:after="40"/>
        <w:jc w:val="center"/>
      </w:pPr>
      <w:r>
        <w:drawing>
          <wp:inline xmlns:a="http://schemas.openxmlformats.org/drawingml/2006/main" xmlns:pic="http://schemas.openxmlformats.org/drawingml/2006/picture">
            <wp:extent cx="3108960" cy="1838121"/>
            <wp:docPr id="5" name="Picture 5"/>
            <wp:cNvGraphicFramePr>
              <a:graphicFrameLocks noChangeAspect="1"/>
            </wp:cNvGraphicFramePr>
            <a:graphic>
              <a:graphicData uri="http://schemas.openxmlformats.org/drawingml/2006/picture">
                <pic:pic>
                  <pic:nvPicPr>
                    <pic:cNvPr id="0" name="fig5_loeo.png"/>
                    <pic:cNvPicPr/>
                  </pic:nvPicPr>
                  <pic:blipFill>
                    <a:blip r:embed="rId13"/>
                    <a:stretch>
                      <a:fillRect/>
                    </a:stretch>
                  </pic:blipFill>
                  <pic:spPr>
                    <a:xfrm>
                      <a:off x="0" y="0"/>
                      <a:ext cx="3108960" cy="1838121"/>
                    </a:xfrm>
                    <a:prstGeom prst="rect"/>
                  </pic:spPr>
                </pic:pic>
              </a:graphicData>
            </a:graphic>
          </wp:inline>
        </w:drawing>
      </w:r>
    </w:p>
    <w:p>
      <w:pPr>
        <w:spacing w:after="160" w:line="240" w:lineRule="auto"/>
        <w:jc w:val="both"/>
      </w:pPr>
      <w:r>
        <w:rPr>
          <w:rFonts w:ascii="Times New Roman" w:hAnsi="Times New Roman" w:cs="Times New Roman"/>
          <w:b w:val="0"/>
          <w:i w:val="0"/>
          <w:smallCaps w:val="0"/>
          <w:sz w:val="16"/>
        </w:rPr>
        <w:t xml:space="preserve">Fig. 5. </w:t>
      </w:r>
      <w:r>
        <w:rPr>
          <w:rFonts w:ascii="Times New Roman" w:hAnsi="Times New Roman" w:cs="Times New Roman"/>
          <w:b w:val="0"/>
          <w:i w:val="0"/>
          <w:smallCaps w:val="0"/>
          <w:sz w:val="16"/>
        </w:rPr>
        <w:t>Leave-one-population-out transfer on MEBeauty. The geometric battery degrades least on populations absent from training; the appearance embedding degrades most, and by a factor of 4.6 in the worst case.</w:t>
      </w:r>
    </w:p>
    <w:p>
      <w:pPr>
        <w:keepNext w:val="0"/>
        <w:spacing w:before="0" w:after="80" w:line="240" w:lineRule="auto"/>
        <w:ind w:firstLine="0"/>
        <w:jc w:val="both"/>
      </w:pPr>
      <w:r>
        <w:rPr>
          <w:rFonts w:ascii="Times New Roman" w:hAnsi="Times New Roman" w:cs="Times New Roman"/>
          <w:b w:val="0"/>
          <w:i w:val="0"/>
          <w:smallCaps w:val="0"/>
          <w:sz w:val="20"/>
        </w:rPr>
        <w:t>The comparison is not capacity-matched, and our attempt to match it was inconclusive: a 35-component PCA projection of the embedding has a wider transfer spread than the full embedding (0.436) but is far weaker in distribution (0.299 against 0.704), so the comparison confounds capacity with representation. We report the transfer result as an observation about these two representations as they are used, not as a controlled claim about interpretability in general. On the same quality-controlled split, re-implementations of three classical geometric methods reach 0.409 [19], 0.424 [20] and 0.374 [25]; the present battery reaches 0.624, a 47% relative improvement over the strongest of them.</w:t>
      </w:r>
    </w:p>
    <w:p>
      <w:pPr>
        <w:keepNext/>
        <w:spacing w:before="200" w:after="80" w:line="240" w:lineRule="auto"/>
        <w:ind w:firstLine="0"/>
        <w:jc w:val="center"/>
      </w:pPr>
      <w:r>
        <w:rPr>
          <w:rFonts w:ascii="Times New Roman" w:hAnsi="Times New Roman" w:cs="Times New Roman"/>
          <w:b w:val="0"/>
          <w:i w:val="0"/>
          <w:smallCaps/>
          <w:sz w:val="20"/>
        </w:rPr>
        <w:t>VI.  Implications for Auditing Practice</w:t>
      </w:r>
    </w:p>
    <w:p>
      <w:pPr>
        <w:keepNext/>
        <w:spacing w:before="120" w:after="40" w:line="240" w:lineRule="auto"/>
        <w:ind w:firstLine="0"/>
        <w:jc w:val="left"/>
      </w:pPr>
      <w:r>
        <w:rPr>
          <w:rFonts w:ascii="Times New Roman" w:hAnsi="Times New Roman" w:cs="Times New Roman"/>
          <w:b w:val="0"/>
          <w:i/>
          <w:smallCaps w:val="0"/>
          <w:sz w:val="20"/>
        </w:rPr>
        <w:t>A. Report the floor with the gap</w:t>
      </w:r>
    </w:p>
    <w:p>
      <w:pPr>
        <w:keepNext w:val="0"/>
        <w:spacing w:before="0" w:after="80" w:line="240" w:lineRule="auto"/>
        <w:ind w:firstLine="0"/>
        <w:jc w:val="both"/>
      </w:pPr>
      <w:r>
        <w:rPr>
          <w:rFonts w:ascii="Times New Roman" w:hAnsi="Times New Roman" w:cs="Times New Roman"/>
          <w:b w:val="0"/>
          <w:i w:val="0"/>
          <w:smallCaps w:val="0"/>
          <w:sz w:val="20"/>
        </w:rPr>
        <w:t>The minimum change is that a subgroup accuracy report should carry, alongside each gap, the gap that the same evaluation design would produce under equal treatment. It costs a simulation that takes seconds, requires nothing an auditor does not already have, and converts an uninterpretable number into a test. Where cell sizes are small, as they are in most intersectional audits, the floor will frequently be a large fraction of the reported gap, and saying so is not a defence of the system; it is a statement about the evidence.</w:t>
      </w:r>
    </w:p>
    <w:p>
      <w:pPr>
        <w:keepNext/>
        <w:spacing w:before="120" w:after="40" w:line="240" w:lineRule="auto"/>
        <w:ind w:firstLine="0"/>
        <w:jc w:val="left"/>
      </w:pPr>
      <w:r>
        <w:rPr>
          <w:rFonts w:ascii="Times New Roman" w:hAnsi="Times New Roman" w:cs="Times New Roman"/>
          <w:b w:val="0"/>
          <w:i/>
          <w:smallCaps w:val="0"/>
          <w:sz w:val="20"/>
        </w:rPr>
        <w:t>B. Publish the annotation parameters</w:t>
      </w:r>
    </w:p>
    <w:p>
      <w:pPr>
        <w:keepNext w:val="0"/>
        <w:spacing w:before="0" w:after="80" w:line="240" w:lineRule="auto"/>
        <w:ind w:firstLine="0"/>
        <w:jc w:val="both"/>
      </w:pPr>
      <w:r>
        <w:rPr>
          <w:rFonts w:ascii="Times New Roman" w:hAnsi="Times New Roman" w:cs="Times New Roman"/>
          <w:b w:val="0"/>
          <w:i w:val="0"/>
          <w:smallCaps w:val="0"/>
          <w:sz w:val="20"/>
        </w:rPr>
        <w:t>Per-group label reliability and label spread should be published with any dataset whose labels are human aggregates, and quoted in any audit that uses them. Both are computable from the individual ratings, which datasets increasingly release and both of ours do. Without them, an auditor cannot tell a model that serves a group worse from a label set that measures that group worse, and these have different owners and different fixes.</w:t>
      </w:r>
    </w:p>
    <w:p>
      <w:pPr>
        <w:keepNext/>
        <w:spacing w:before="120" w:after="40" w:line="240" w:lineRule="auto"/>
        <w:ind w:firstLine="0"/>
        <w:jc w:val="left"/>
      </w:pPr>
      <w:r>
        <w:rPr>
          <w:rFonts w:ascii="Times New Roman" w:hAnsi="Times New Roman" w:cs="Times New Roman"/>
          <w:b w:val="0"/>
          <w:i/>
          <w:smallCaps w:val="0"/>
          <w:sz w:val="20"/>
        </w:rPr>
        <w:t>C. State what the audit could have detected</w:t>
      </w:r>
    </w:p>
    <w:p>
      <w:pPr>
        <w:keepNext w:val="0"/>
        <w:spacing w:before="0" w:after="80" w:line="240" w:lineRule="auto"/>
        <w:ind w:firstLine="0"/>
        <w:jc w:val="both"/>
      </w:pPr>
      <w:r>
        <w:rPr>
          <w:rFonts w:ascii="Times New Roman" w:hAnsi="Times New Roman" w:cs="Times New Roman"/>
          <w:b w:val="0"/>
          <w:i w:val="0"/>
          <w:smallCaps w:val="0"/>
          <w:sz w:val="20"/>
        </w:rPr>
        <w:t>An audit that reports no disparity is making a claim only if it can say what size of disparity it would have found. On the MEBeauty design, a true gap smaller than roughly the floor is undetectable with this evaluation set, and no amount of care in the modelling changes that. Reporting a minimum detectable effect alongside a null result is standard in clinical evidence and is absent from algorithmic auditing.</w:t>
      </w:r>
    </w:p>
    <w:p>
      <w:pPr>
        <w:keepNext/>
        <w:spacing w:before="120" w:after="40" w:line="240" w:lineRule="auto"/>
        <w:ind w:firstLine="0"/>
        <w:jc w:val="left"/>
      </w:pPr>
      <w:r>
        <w:rPr>
          <w:rFonts w:ascii="Times New Roman" w:hAnsi="Times New Roman" w:cs="Times New Roman"/>
          <w:b w:val="0"/>
          <w:i/>
          <w:smallCaps w:val="0"/>
          <w:sz w:val="20"/>
        </w:rPr>
        <w:t>D. Correction is diagnosis, not remedy</w:t>
      </w:r>
    </w:p>
    <w:p>
      <w:pPr>
        <w:keepNext w:val="0"/>
        <w:spacing w:before="0" w:after="80" w:line="240" w:lineRule="auto"/>
        <w:ind w:firstLine="0"/>
        <w:jc w:val="both"/>
      </w:pPr>
      <w:r>
        <w:rPr>
          <w:rFonts w:ascii="Times New Roman" w:hAnsi="Times New Roman" w:cs="Times New Roman"/>
          <w:b w:val="0"/>
          <w:i w:val="0"/>
          <w:smallCaps w:val="0"/>
          <w:sz w:val="20"/>
        </w:rPr>
        <w:t>The most important caveat is this. Removing the label-side contribution from a measured gap changes what we conclude about the model. It does not change what the system does to the people it serves worse. If a deployed system’s scores correlate less well with the preferences of one group because that group’s labels are noisier, the people in that group still receive worse predictions, and the harm is identical in magnitude to the harm from a model-side defect of the same size.</w:t>
      </w:r>
    </w:p>
    <w:p>
      <w:pPr>
        <w:keepNext w:val="0"/>
        <w:spacing w:before="0" w:after="80" w:line="240" w:lineRule="auto"/>
        <w:ind w:firstLine="288"/>
        <w:jc w:val="both"/>
      </w:pPr>
      <w:r>
        <w:rPr>
          <w:rFonts w:ascii="Times New Roman" w:hAnsi="Times New Roman" w:cs="Times New Roman"/>
          <w:b w:val="0"/>
          <w:i w:val="0"/>
          <w:smallCaps w:val="0"/>
          <w:sz w:val="20"/>
        </w:rPr>
        <w:t xml:space="preserve">The two questions are different and both are legitimate. </w:t>
      </w:r>
      <w:r>
        <w:rPr>
          <w:rFonts w:ascii="Times New Roman" w:hAnsi="Times New Roman" w:cs="Times New Roman"/>
          <w:b w:val="0"/>
          <w:i/>
          <w:smallCaps w:val="0"/>
          <w:sz w:val="20"/>
        </w:rPr>
        <w:t>Who is being served worse</w:t>
      </w:r>
      <w:r>
        <w:rPr>
          <w:rFonts w:ascii="Times New Roman" w:hAnsi="Times New Roman" w:cs="Times New Roman"/>
          <w:b w:val="0"/>
          <w:i w:val="0"/>
          <w:smallCaps w:val="0"/>
          <w:sz w:val="20"/>
        </w:rPr>
        <w:t xml:space="preserve"> is answered by the uncorrected per-group accuracy, and that is the right statistic for anyone deciding whether to deploy a system or whether they are at risk from it. </w:t>
      </w:r>
      <w:r>
        <w:rPr>
          <w:rFonts w:ascii="Times New Roman" w:hAnsi="Times New Roman" w:cs="Times New Roman"/>
          <w:b w:val="0"/>
          <w:i/>
          <w:smallCaps w:val="0"/>
          <w:sz w:val="20"/>
        </w:rPr>
        <w:t>What should be fixed, and by whom</w:t>
      </w:r>
      <w:r>
        <w:rPr>
          <w:rFonts w:ascii="Times New Roman" w:hAnsi="Times New Roman" w:cs="Times New Roman"/>
          <w:b w:val="0"/>
          <w:i w:val="0"/>
          <w:smallCaps w:val="0"/>
          <w:sz w:val="20"/>
        </w:rPr>
        <w:t xml:space="preserve"> is answered by the decomposition, and that is the right statistic for the developer, the dataset owner and the assessor. Conflating them is how a correct correction becomes an excuse. We therefore recommend that both be reported, with the decomposition presented as an attribution of a disparity rather than as a reduction of it.</w:t>
      </w:r>
    </w:p>
    <w:p>
      <w:pPr>
        <w:keepNext w:val="0"/>
        <w:spacing w:before="0" w:after="80" w:line="240" w:lineRule="auto"/>
        <w:ind w:firstLine="288"/>
        <w:jc w:val="both"/>
      </w:pPr>
      <w:r>
        <w:rPr>
          <w:rFonts w:ascii="Times New Roman" w:hAnsi="Times New Roman" w:cs="Times New Roman"/>
          <w:b w:val="0"/>
          <w:i w:val="0"/>
          <w:smallCaps w:val="0"/>
          <w:sz w:val="20"/>
        </w:rPr>
        <w:t>This has a direct consequence for the design of conformity assessment. A regime that accepts a provider’s corrected gap as evidence of compliance creates an incentive to find corrections. A regime that requires the raw gap, the floor, the annotation parameters, and the residual together creates an incentive to fix whichever component is largest, which in our SCUT-FBP5500 case would be the training mix and in our MEBeauty case would be the evaluation set.</w:t>
      </w:r>
    </w:p>
    <w:p>
      <w:pPr>
        <w:keepNext/>
        <w:spacing w:before="120" w:after="40" w:line="240" w:lineRule="auto"/>
        <w:ind w:firstLine="0"/>
        <w:jc w:val="left"/>
      </w:pPr>
      <w:r>
        <w:rPr>
          <w:rFonts w:ascii="Times New Roman" w:hAnsi="Times New Roman" w:cs="Times New Roman"/>
          <w:b w:val="0"/>
          <w:i/>
          <w:smallCaps w:val="0"/>
          <w:sz w:val="20"/>
        </w:rPr>
        <w:t>E. The dataset implication</w:t>
      </w:r>
    </w:p>
    <w:p>
      <w:pPr>
        <w:keepNext w:val="0"/>
        <w:spacing w:before="0" w:after="80" w:line="240" w:lineRule="auto"/>
        <w:ind w:firstLine="0"/>
        <w:jc w:val="both"/>
      </w:pPr>
      <w:r>
        <w:rPr>
          <w:rFonts w:ascii="Times New Roman" w:hAnsi="Times New Roman" w:cs="Times New Roman"/>
          <w:b w:val="0"/>
          <w:i w:val="0"/>
          <w:smallCaps w:val="0"/>
          <w:sz w:val="20"/>
        </w:rPr>
        <w:t>If per-group reliability drives the apparent disparity, then annotation budget is a fairness instrument. Allocating more raters per item to small groups raises their reliability and narrows the apparent gap by removing an artefact, at no cost in model development. The current convention of a fixed number of raters per item spends the budget where it matters least. SCUT-FBP5500’s uniform 60-rater design is, from this perspective, the better practice, and its cost is why so few datasets adopt it.</w:t>
      </w:r>
    </w:p>
    <w:p>
      <w:pPr>
        <w:keepNext/>
        <w:spacing w:before="200" w:after="80" w:line="240" w:lineRule="auto"/>
        <w:ind w:firstLine="0"/>
        <w:jc w:val="center"/>
      </w:pPr>
      <w:r>
        <w:rPr>
          <w:rFonts w:ascii="Times New Roman" w:hAnsi="Times New Roman" w:cs="Times New Roman"/>
          <w:b w:val="0"/>
          <w:i w:val="0"/>
          <w:smallCaps/>
          <w:sz w:val="20"/>
        </w:rPr>
        <w:t>VII.  Limitations and Ethics</w:t>
      </w:r>
    </w:p>
    <w:p>
      <w:pPr>
        <w:keepNext w:val="0"/>
        <w:spacing w:before="0" w:after="80" w:line="240" w:lineRule="auto"/>
        <w:ind w:firstLine="0"/>
        <w:jc w:val="both"/>
      </w:pPr>
      <w:r>
        <w:rPr>
          <w:rFonts w:ascii="Times New Roman" w:hAnsi="Times New Roman" w:cs="Times New Roman"/>
          <w:b w:val="0"/>
          <w:i/>
          <w:smallCaps w:val="0"/>
          <w:sz w:val="20"/>
        </w:rPr>
        <w:t>The construct.</w:t>
      </w:r>
      <w:r>
        <w:rPr>
          <w:rFonts w:ascii="Times New Roman" w:hAnsi="Times New Roman" w:cs="Times New Roman"/>
          <w:b w:val="0"/>
          <w:i w:val="0"/>
          <w:smallCaps w:val="0"/>
          <w:sz w:val="20"/>
        </w:rPr>
        <w:t xml:space="preserve"> Facial aesthetic prediction models a rater pool’s aggregate preference. It does not measure a property of a person, and nothing in this paper should be read as endorsing deployment in any setting where people are ranked, selected or scored by appearance. We use the task because it makes annotation quality measurable, and because audits of such systems are already being published and acted on. The ethical risk of this class of system is real and is not addressed by making its audits more accurate.</w:t>
      </w:r>
    </w:p>
    <w:p>
      <w:pPr>
        <w:keepNext w:val="0"/>
        <w:spacing w:before="0" w:after="80" w:line="240" w:lineRule="auto"/>
        <w:ind w:firstLine="288"/>
        <w:jc w:val="both"/>
      </w:pPr>
      <w:r>
        <w:rPr>
          <w:rFonts w:ascii="Times New Roman" w:hAnsi="Times New Roman" w:cs="Times New Roman"/>
          <w:b w:val="0"/>
          <w:i/>
          <w:smallCaps w:val="0"/>
          <w:sz w:val="20"/>
        </w:rPr>
        <w:t>Whose preferences.</w:t>
      </w:r>
      <w:r>
        <w:rPr>
          <w:rFonts w:ascii="Times New Roman" w:hAnsi="Times New Roman" w:cs="Times New Roman"/>
          <w:b w:val="0"/>
          <w:i w:val="0"/>
          <w:smallCaps w:val="0"/>
          <w:sz w:val="20"/>
        </w:rPr>
        <w:t xml:space="preserve"> Both datasets’ labels come from annotator pools that are not demographically representative of the people being rated, and SCUT-FBP5500’s 60 raters are predominantly from one region. A model that reproduces those labels reproduces that pool's preferences, and a subgroup audit that uses those labels as the criterion measures agreement with that pool rather than anything more general. Our corrections make the criterion measured more precisely; they do not make it a better criterion.</w:t>
      </w:r>
    </w:p>
    <w:p>
      <w:pPr>
        <w:keepNext w:val="0"/>
        <w:spacing w:before="0" w:after="80" w:line="240" w:lineRule="auto"/>
        <w:ind w:firstLine="288"/>
        <w:jc w:val="both"/>
      </w:pPr>
      <w:r>
        <w:rPr>
          <w:rFonts w:ascii="Times New Roman" w:hAnsi="Times New Roman" w:cs="Times New Roman"/>
          <w:b w:val="0"/>
          <w:i/>
          <w:smallCaps w:val="0"/>
          <w:sz w:val="20"/>
        </w:rPr>
        <w:t>Group labels.</w:t>
      </w:r>
      <w:r>
        <w:rPr>
          <w:rFonts w:ascii="Times New Roman" w:hAnsi="Times New Roman" w:cs="Times New Roman"/>
          <w:b w:val="0"/>
          <w:i w:val="0"/>
          <w:smallCaps w:val="0"/>
          <w:sz w:val="20"/>
        </w:rPr>
        <w:t xml:space="preserve"> Both datasets use coarse, externally assigned population categories and binary sex. These categories are the ones the audit literature uses and the ones the data provides, but they are social constructs applied without the subject’s participation, and conclusions drawn for a category should not be read as conclusions about any individual in it.</w:t>
      </w:r>
    </w:p>
    <w:p>
      <w:pPr>
        <w:keepNext w:val="0"/>
        <w:spacing w:before="0" w:after="80" w:line="240" w:lineRule="auto"/>
        <w:ind w:firstLine="288"/>
        <w:jc w:val="both"/>
      </w:pPr>
      <w:r>
        <w:rPr>
          <w:rFonts w:ascii="Times New Roman" w:hAnsi="Times New Roman" w:cs="Times New Roman"/>
          <w:b w:val="0"/>
          <w:i/>
          <w:smallCaps w:val="0"/>
          <w:sz w:val="20"/>
        </w:rPr>
        <w:t>Assumptions of the corrections.</w:t>
      </w:r>
      <w:r>
        <w:rPr>
          <w:rFonts w:ascii="Times New Roman" w:hAnsi="Times New Roman" w:cs="Times New Roman"/>
          <w:b w:val="0"/>
          <w:i w:val="0"/>
          <w:smallCaps w:val="0"/>
          <w:sz w:val="20"/>
        </w:rPr>
        <w:t xml:space="preserve"> Attenuation correction assumes classical measurement error with uncorrelated errors; Thorndike case II assumes selection on the criterion, linearity, and homoscedasticity. Both assumptions are approximations here, and both corrections are known to overcorrect where the error structure departs from them. We report every gap before and after each correction separately so that a reader who rejects one can still read the other.</w:t>
      </w:r>
    </w:p>
    <w:p>
      <w:pPr>
        <w:keepNext w:val="0"/>
        <w:spacing w:before="0" w:after="80" w:line="240" w:lineRule="auto"/>
        <w:ind w:firstLine="288"/>
        <w:jc w:val="both"/>
      </w:pPr>
      <w:r>
        <w:rPr>
          <w:rFonts w:ascii="Times New Roman" w:hAnsi="Times New Roman" w:cs="Times New Roman"/>
          <w:b w:val="0"/>
          <w:i/>
          <w:smallCaps w:val="0"/>
          <w:sz w:val="20"/>
        </w:rPr>
        <w:t>Scope.</w:t>
      </w:r>
      <w:r>
        <w:rPr>
          <w:rFonts w:ascii="Times New Roman" w:hAnsi="Times New Roman" w:cs="Times New Roman"/>
          <w:b w:val="0"/>
          <w:i w:val="0"/>
          <w:smallCaps w:val="0"/>
          <w:sz w:val="20"/>
        </w:rPr>
        <w:t xml:space="preserve"> The floor estimator assumes groups of independent items and would need modification where items are correlated. Results are for one metric family on two datasets with one predictor family per representation; the decomposition is general but the magnitudes are not.</w:t>
      </w:r>
    </w:p>
    <w:p>
      <w:pPr>
        <w:keepNext w:val="0"/>
        <w:spacing w:before="0" w:after="80" w:line="240" w:lineRule="auto"/>
        <w:ind w:firstLine="288"/>
        <w:jc w:val="both"/>
      </w:pPr>
      <w:r>
        <w:rPr>
          <w:rFonts w:ascii="Times New Roman" w:hAnsi="Times New Roman" w:cs="Times New Roman"/>
          <w:b w:val="0"/>
          <w:i/>
          <w:smallCaps w:val="0"/>
          <w:sz w:val="20"/>
        </w:rPr>
        <w:t>Exclusions.</w:t>
      </w:r>
      <w:r>
        <w:rPr>
          <w:rFonts w:ascii="Times New Roman" w:hAnsi="Times New Roman" w:cs="Times New Roman"/>
          <w:b w:val="0"/>
          <w:i w:val="0"/>
          <w:smallCaps w:val="0"/>
          <w:sz w:val="20"/>
        </w:rPr>
        <w:t xml:space="preserve"> The MEBeauty Indian male cell is reduced to five faces by embedding availability and is excluded from gap statistics, as reported in Section IV-D. The conclusion that nothing survives on MEBeauty is therefore a conclusion about five populations plus a predominantly female Indian subset.</w:t>
      </w:r>
    </w:p>
    <w:p>
      <w:pPr>
        <w:keepNext w:val="0"/>
        <w:spacing w:before="0" w:after="80" w:line="240" w:lineRule="auto"/>
        <w:ind w:firstLine="288"/>
        <w:jc w:val="both"/>
      </w:pPr>
      <w:r>
        <w:rPr>
          <w:rFonts w:ascii="Times New Roman" w:hAnsi="Times New Roman" w:cs="Times New Roman"/>
          <w:b w:val="0"/>
          <w:i/>
          <w:smallCaps w:val="0"/>
          <w:sz w:val="20"/>
        </w:rPr>
        <w:t>Data and ethics.</w:t>
      </w:r>
      <w:r>
        <w:rPr>
          <w:rFonts w:ascii="Times New Roman" w:hAnsi="Times New Roman" w:cs="Times New Roman"/>
          <w:b w:val="0"/>
          <w:i w:val="0"/>
          <w:smallCaps w:val="0"/>
          <w:sz w:val="20"/>
        </w:rPr>
        <w:t xml:space="preserve"> Both datasets are public and were obtained under their published terms; SCUT-FBP5500 is used subject to the conditions set by its authors [29]. No new human-subject data was collected. An ethics determination for this study is recorded under [REFERENCE NUMBER], issued [DATE] by the institutional review body of Brainware University. Code and the full analysis pipeline are available at [REPOSITORY URL], archived at [DOI].</w:t>
      </w:r>
    </w:p>
    <w:p>
      <w:pPr>
        <w:keepNext/>
        <w:spacing w:before="200" w:after="80" w:line="240" w:lineRule="auto"/>
        <w:ind w:firstLine="0"/>
        <w:jc w:val="center"/>
      </w:pPr>
      <w:r>
        <w:rPr>
          <w:rFonts w:ascii="Times New Roman" w:hAnsi="Times New Roman" w:cs="Times New Roman"/>
          <w:b w:val="0"/>
          <w:i w:val="0"/>
          <w:smallCaps/>
          <w:sz w:val="20"/>
        </w:rPr>
        <w:t>VIII.  Conclusion</w:t>
      </w:r>
    </w:p>
    <w:p>
      <w:pPr>
        <w:keepNext w:val="0"/>
        <w:spacing w:before="0" w:after="80" w:line="240" w:lineRule="auto"/>
        <w:ind w:firstLine="0"/>
        <w:jc w:val="both"/>
      </w:pPr>
      <w:r>
        <w:rPr>
          <w:rFonts w:ascii="Times New Roman" w:hAnsi="Times New Roman" w:cs="Times New Roman"/>
          <w:b w:val="0"/>
          <w:i w:val="0"/>
          <w:smallCaps w:val="0"/>
          <w:sz w:val="20"/>
        </w:rPr>
        <w:t>A subgroup accuracy gap is a measurement, and like any measurement it has a noise floor and a calibration. We have shown that for a common class of audit the floor can be half the reported value, that per-group annotation quality can account for most of the rest, and that two datasets producing superficially similar numbers can warrant opposite conclusions. On one of them the entire reported disparity is accounted for by the evaluation design and the labels; on the other a disparity survives, and is traceable to a training imbalance that can be fixed at small cost.</w:t>
      </w:r>
    </w:p>
    <w:p>
      <w:pPr>
        <w:keepNext w:val="0"/>
        <w:spacing w:before="0" w:after="80" w:line="240" w:lineRule="auto"/>
        <w:ind w:firstLine="288"/>
        <w:jc w:val="both"/>
      </w:pPr>
      <w:r>
        <w:rPr>
          <w:rFonts w:ascii="Times New Roman" w:hAnsi="Times New Roman" w:cs="Times New Roman"/>
          <w:b w:val="0"/>
          <w:i w:val="0"/>
          <w:smallCaps w:val="0"/>
          <w:sz w:val="20"/>
        </w:rPr>
        <w:t>None of the machinery is new. Correction for attenuation is from 1904 and the range-restriction correction from 1949, and both are routine in fields that have spent a century measuring people with imperfect instruments. What is new is the observation that algorithmic auditing, which measures models with instruments made of human judgement, has adopted the reporting conventions of the former without the error analysis of the latter. Subgroup audits are too consequential to be reported as point estimates of unknown precision. The fix is cheap, and we have set out what it requires.</w:t>
      </w:r>
    </w:p>
    <w:p>
      <w:pPr>
        <w:keepNext/>
        <w:spacing w:before="200" w:after="80" w:line="240" w:lineRule="auto"/>
        <w:ind w:firstLine="0"/>
        <w:jc w:val="center"/>
      </w:pPr>
      <w:r>
        <w:rPr>
          <w:rFonts w:ascii="Times New Roman" w:hAnsi="Times New Roman" w:cs="Times New Roman"/>
          <w:b w:val="0"/>
          <w:i w:val="0"/>
          <w:smallCaps/>
          <w:sz w:val="20"/>
        </w:rPr>
        <w:t>IX.  Acknowledgements</w:t>
      </w:r>
    </w:p>
    <w:p>
      <w:pPr>
        <w:keepNext w:val="0"/>
        <w:spacing w:before="0" w:after="80" w:line="240" w:lineRule="auto"/>
        <w:ind w:firstLine="0"/>
        <w:jc w:val="both"/>
      </w:pPr>
      <w:r>
        <w:rPr>
          <w:rFonts w:ascii="Times New Roman" w:hAnsi="Times New Roman" w:cs="Times New Roman"/>
          <w:b w:val="0"/>
          <w:i w:val="0"/>
          <w:smallCaps w:val="0"/>
          <w:sz w:val="20"/>
        </w:rPr>
        <w:t>The authors thank the maintainers of MEBeauty and SCUT-FBP5500 for releasing individual annotator ratings, without which none of the label-side analysis in this paper would be possible.</w:t>
      </w:r>
    </w:p>
    <w:p>
      <w:pPr>
        <w:keepNext/>
        <w:spacing w:before="200" w:after="80" w:line="240" w:lineRule="auto"/>
        <w:ind w:firstLine="0"/>
        <w:jc w:val="center"/>
      </w:pPr>
      <w:r>
        <w:rPr>
          <w:rFonts w:ascii="Times New Roman" w:hAnsi="Times New Roman" w:cs="Times New Roman"/>
          <w:b w:val="0"/>
          <w:i w:val="0"/>
          <w:smallCaps/>
          <w:sz w:val="20"/>
        </w:rPr>
        <w:t>References</w:t>
      </w:r>
    </w:p>
    <w:p>
      <w:pPr>
        <w:tabs>
          <w:tab w:pos="346" w:val="left"/>
        </w:tabs>
        <w:spacing w:after="20" w:line="240" w:lineRule="auto"/>
        <w:ind w:left="346" w:hanging="346"/>
        <w:jc w:val="both"/>
      </w:pPr>
      <w:r>
        <w:rPr>
          <w:rFonts w:ascii="Times New Roman" w:hAnsi="Times New Roman" w:cs="Times New Roman"/>
          <w:b w:val="0"/>
          <w:i w:val="0"/>
          <w:smallCaps w:val="0"/>
          <w:sz w:val="16"/>
        </w:rPr>
        <w:t>[1]</w:t>
        <w:tab/>
        <w:t>J. Buolamwini and T. Gebru, “Gender shades: intersectional accuracy disparities in commercial gender classification,” in Proc. ACM Conf. Fairness, Accountability, Transparency (FAccT), PMLR 81, 2018, pp. 77–91.</w:t>
      </w:r>
    </w:p>
    <w:p>
      <w:pPr>
        <w:tabs>
          <w:tab w:pos="346" w:val="left"/>
        </w:tabs>
        <w:spacing w:after="20" w:line="240" w:lineRule="auto"/>
        <w:ind w:left="346" w:hanging="346"/>
        <w:jc w:val="both"/>
      </w:pPr>
      <w:r>
        <w:rPr>
          <w:rFonts w:ascii="Times New Roman" w:hAnsi="Times New Roman" w:cs="Times New Roman"/>
          <w:b w:val="0"/>
          <w:i w:val="0"/>
          <w:smallCaps w:val="0"/>
          <w:sz w:val="16"/>
        </w:rPr>
        <w:t>[2]</w:t>
        <w:tab/>
        <w:t>I. D. Raji and J. Buolamwini, “Actionable auditing: investigating the impact of publicly naming biased performance results of commercial AI products,” in Proc. AAAI/ACM Conf. AI, Ethics, and Society (AIES), 2019, pp. 429–435.</w:t>
      </w:r>
    </w:p>
    <w:p>
      <w:pPr>
        <w:tabs>
          <w:tab w:pos="346" w:val="left"/>
        </w:tabs>
        <w:spacing w:after="20" w:line="240" w:lineRule="auto"/>
        <w:ind w:left="346" w:hanging="346"/>
        <w:jc w:val="both"/>
      </w:pPr>
      <w:r>
        <w:rPr>
          <w:rFonts w:ascii="Times New Roman" w:hAnsi="Times New Roman" w:cs="Times New Roman"/>
          <w:b w:val="0"/>
          <w:i w:val="0"/>
          <w:smallCaps w:val="0"/>
          <w:sz w:val="16"/>
        </w:rPr>
        <w:t>[3]</w:t>
        <w:tab/>
        <w:t>P. Grother, M. Ngan, and K. Hanaoka, “Face recognition vendor test (FRVT) part 3: demographic effects,” Nat. Inst. Standards Technol., Gaithersburg, MD, USA, NISTIR 8280, 2019.</w:t>
      </w:r>
    </w:p>
    <w:p>
      <w:pPr>
        <w:tabs>
          <w:tab w:pos="346" w:val="left"/>
        </w:tabs>
        <w:spacing w:after="20" w:line="240" w:lineRule="auto"/>
        <w:ind w:left="346" w:hanging="346"/>
        <w:jc w:val="both"/>
      </w:pPr>
      <w:r>
        <w:rPr>
          <w:rFonts w:ascii="Times New Roman" w:hAnsi="Times New Roman" w:cs="Times New Roman"/>
          <w:b w:val="0"/>
          <w:i w:val="0"/>
          <w:smallCaps w:val="0"/>
          <w:sz w:val="16"/>
        </w:rPr>
        <w:t>[4]</w:t>
        <w:tab/>
        <w:t>M. Mitchell et al., “Model cards for model reporting,” in Proc. ACM Conf. Fairness, Accountability, Transparency (FAccT), 2019, pp. 220–229.</w:t>
      </w:r>
    </w:p>
    <w:p>
      <w:pPr>
        <w:tabs>
          <w:tab w:pos="346" w:val="left"/>
        </w:tabs>
        <w:spacing w:after="20" w:line="240" w:lineRule="auto"/>
        <w:ind w:left="346" w:hanging="346"/>
        <w:jc w:val="both"/>
      </w:pPr>
      <w:r>
        <w:rPr>
          <w:rFonts w:ascii="Times New Roman" w:hAnsi="Times New Roman" w:cs="Times New Roman"/>
          <w:b w:val="0"/>
          <w:i w:val="0"/>
          <w:smallCaps w:val="0"/>
          <w:sz w:val="16"/>
        </w:rPr>
        <w:t>[5]</w:t>
        <w:tab/>
        <w:t>T. Gebru et al., “Datasheets for datasets,” Commun. ACM, vol. 64, no. 12, pp. 86–92, 2021.</w:t>
      </w:r>
    </w:p>
    <w:p>
      <w:pPr>
        <w:tabs>
          <w:tab w:pos="346" w:val="left"/>
        </w:tabs>
        <w:spacing w:after="20" w:line="240" w:lineRule="auto"/>
        <w:ind w:left="346" w:hanging="346"/>
        <w:jc w:val="both"/>
      </w:pPr>
      <w:r>
        <w:rPr>
          <w:rFonts w:ascii="Times New Roman" w:hAnsi="Times New Roman" w:cs="Times New Roman"/>
          <w:b w:val="0"/>
          <w:i w:val="0"/>
          <w:smallCaps w:val="0"/>
          <w:sz w:val="16"/>
        </w:rPr>
        <w:t>[6]</w:t>
        <w:tab/>
        <w:t>European Parliament and Council of the European Union, “Regulation (EU) 2024/1689 laying down harmonised rules on artificial intelligence (Artificial Intelligence Act),” Off. J. Eur. Union, Jun. 2024.</w:t>
      </w:r>
    </w:p>
    <w:p>
      <w:pPr>
        <w:tabs>
          <w:tab w:pos="346" w:val="left"/>
        </w:tabs>
        <w:spacing w:after="20" w:line="240" w:lineRule="auto"/>
        <w:ind w:left="346" w:hanging="346"/>
        <w:jc w:val="both"/>
      </w:pPr>
      <w:r>
        <w:rPr>
          <w:rFonts w:ascii="Times New Roman" w:hAnsi="Times New Roman" w:cs="Times New Roman"/>
          <w:b w:val="0"/>
          <w:i w:val="0"/>
          <w:smallCaps w:val="0"/>
          <w:sz w:val="16"/>
        </w:rPr>
        <w:t>[7]</w:t>
        <w:tab/>
        <w:t>National Institute of Standards and Technology, “Artificial intelligence risk management framework (AI RMF 1.0),” NIST AI 100-1, Jan. 2023.</w:t>
      </w:r>
    </w:p>
    <w:p>
      <w:pPr>
        <w:tabs>
          <w:tab w:pos="346" w:val="left"/>
        </w:tabs>
        <w:spacing w:after="20" w:line="240" w:lineRule="auto"/>
        <w:ind w:left="346" w:hanging="346"/>
        <w:jc w:val="both"/>
      </w:pPr>
      <w:r>
        <w:rPr>
          <w:rFonts w:ascii="Times New Roman" w:hAnsi="Times New Roman" w:cs="Times New Roman"/>
          <w:b w:val="0"/>
          <w:i w:val="0"/>
          <w:smallCaps w:val="0"/>
          <w:sz w:val="16"/>
        </w:rPr>
        <w:t>[8]</w:t>
        <w:tab/>
        <w:t>C. Spearman, “The proof and measurement of association between two things,” Amer. J. Psychol., vol. 15, no. 1, pp. 72–101, 1904.</w:t>
      </w:r>
    </w:p>
    <w:p>
      <w:pPr>
        <w:tabs>
          <w:tab w:pos="346" w:val="left"/>
        </w:tabs>
        <w:spacing w:after="20" w:line="240" w:lineRule="auto"/>
        <w:ind w:left="346" w:hanging="346"/>
        <w:jc w:val="both"/>
      </w:pPr>
      <w:r>
        <w:rPr>
          <w:rFonts w:ascii="Times New Roman" w:hAnsi="Times New Roman" w:cs="Times New Roman"/>
          <w:b w:val="0"/>
          <w:i w:val="0"/>
          <w:smallCaps w:val="0"/>
          <w:sz w:val="16"/>
        </w:rPr>
        <w:t>[9]</w:t>
        <w:tab/>
        <w:t>R. L. Thorndike, Personnel Selection: Test and Measurement Techniques. New York, NY, USA: Wiley, 1949.</w:t>
      </w:r>
    </w:p>
    <w:p>
      <w:pPr>
        <w:tabs>
          <w:tab w:pos="346" w:val="left"/>
        </w:tabs>
        <w:spacing w:after="20" w:line="240" w:lineRule="auto"/>
        <w:ind w:left="346" w:hanging="346"/>
        <w:jc w:val="both"/>
      </w:pPr>
      <w:r>
        <w:rPr>
          <w:rFonts w:ascii="Times New Roman" w:hAnsi="Times New Roman" w:cs="Times New Roman"/>
          <w:b w:val="0"/>
          <w:i w:val="0"/>
          <w:smallCaps w:val="0"/>
          <w:sz w:val="16"/>
        </w:rPr>
        <w:t>[10]</w:t>
        <w:tab/>
        <w:t>F. L. Schmidt and J. E. Hunter, Methods of Meta-Analysis: Correcting Error and Bias in Research Findings, 3rd ed. Thousand Oaks, CA, USA: Sage, 2015.</w:t>
      </w:r>
    </w:p>
    <w:p>
      <w:pPr>
        <w:tabs>
          <w:tab w:pos="346" w:val="left"/>
        </w:tabs>
        <w:spacing w:after="20" w:line="240" w:lineRule="auto"/>
        <w:ind w:left="346" w:hanging="346"/>
        <w:jc w:val="both"/>
      </w:pPr>
      <w:r>
        <w:rPr>
          <w:rFonts w:ascii="Times New Roman" w:hAnsi="Times New Roman" w:cs="Times New Roman"/>
          <w:b w:val="0"/>
          <w:i w:val="0"/>
          <w:smallCaps w:val="0"/>
          <w:sz w:val="16"/>
        </w:rPr>
        <w:t>[11]</w:t>
        <w:tab/>
        <w:t>K. Kotwal and S. Marcel, “Review of demographic fairness in face recognition,” IEEE Trans. Biometrics, Behav., Identity Sci., 2025.</w:t>
      </w:r>
    </w:p>
    <w:p>
      <w:pPr>
        <w:tabs>
          <w:tab w:pos="346" w:val="left"/>
        </w:tabs>
        <w:spacing w:after="20" w:line="240" w:lineRule="auto"/>
        <w:ind w:left="346" w:hanging="346"/>
        <w:jc w:val="both"/>
      </w:pPr>
      <w:r>
        <w:rPr>
          <w:rFonts w:ascii="Times New Roman" w:hAnsi="Times New Roman" w:cs="Times New Roman"/>
          <w:b w:val="0"/>
          <w:i w:val="0"/>
          <w:smallCaps w:val="0"/>
          <w:sz w:val="16"/>
        </w:rPr>
        <w:t>[12]</w:t>
        <w:tab/>
        <w:t>K. Kärkkäinen and J. Joo, “FairFace: face attribute dataset for balanced race, gender, and age,” in Proc. IEEE Winter Conf. Appl. Comput. Vis. (WACV), 2021, pp. 1548–1558.</w:t>
      </w:r>
    </w:p>
    <w:p>
      <w:pPr>
        <w:tabs>
          <w:tab w:pos="346" w:val="left"/>
        </w:tabs>
        <w:spacing w:after="20" w:line="240" w:lineRule="auto"/>
        <w:ind w:left="346" w:hanging="346"/>
        <w:jc w:val="both"/>
      </w:pPr>
      <w:r>
        <w:rPr>
          <w:rFonts w:ascii="Times New Roman" w:hAnsi="Times New Roman" w:cs="Times New Roman"/>
          <w:b w:val="0"/>
          <w:i w:val="0"/>
          <w:smallCaps w:val="0"/>
          <w:sz w:val="16"/>
        </w:rPr>
        <w:t>[13]</w:t>
        <w:tab/>
        <w:t>A. Z. Jacobs and H. Wallach, “Measurement and fairness,” in Proc. ACM Conf. Fairness, Accountability, Transparency (FAccT), 2021, pp. 375–385.</w:t>
      </w:r>
    </w:p>
    <w:p>
      <w:pPr>
        <w:tabs>
          <w:tab w:pos="346" w:val="left"/>
        </w:tabs>
        <w:spacing w:after="20" w:line="240" w:lineRule="auto"/>
        <w:ind w:left="346" w:hanging="346"/>
        <w:jc w:val="both"/>
      </w:pPr>
      <w:r>
        <w:rPr>
          <w:rFonts w:ascii="Times New Roman" w:hAnsi="Times New Roman" w:cs="Times New Roman"/>
          <w:b w:val="0"/>
          <w:i w:val="0"/>
          <w:smallCaps w:val="0"/>
          <w:sz w:val="16"/>
        </w:rPr>
        <w:t>[14]</w:t>
        <w:tab/>
        <w:t>R. Fogliato, A. Chouldechova, and M. G’Sell, “Fairness evaluation in presence of biased noisy labels,” in Proc. Int. Conf. Artif. Intell. Statist. (AISTATS), PMLR 108, 2020, pp. 2325–2336.</w:t>
      </w:r>
    </w:p>
    <w:p>
      <w:pPr>
        <w:tabs>
          <w:tab w:pos="346" w:val="left"/>
        </w:tabs>
        <w:spacing w:after="20" w:line="240" w:lineRule="auto"/>
        <w:ind w:left="346" w:hanging="346"/>
        <w:jc w:val="both"/>
      </w:pPr>
      <w:r>
        <w:rPr>
          <w:rFonts w:ascii="Times New Roman" w:hAnsi="Times New Roman" w:cs="Times New Roman"/>
          <w:b w:val="0"/>
          <w:i w:val="0"/>
          <w:smallCaps w:val="0"/>
          <w:sz w:val="16"/>
        </w:rPr>
        <w:t>[15]</w:t>
        <w:tab/>
        <w:t>S. Mitchell, E. Potash, S. Barocas, A. D’Amour, and K. Lum, “Algorithmic fairness: choices, assumptions, and definitions,” Annu. Rev. Statist. Appl., vol. 8, pp. 141–163, 2021.</w:t>
      </w:r>
    </w:p>
    <w:p>
      <w:pPr>
        <w:tabs>
          <w:tab w:pos="346" w:val="left"/>
        </w:tabs>
        <w:spacing w:after="20" w:line="240" w:lineRule="auto"/>
        <w:ind w:left="346" w:hanging="346"/>
        <w:jc w:val="both"/>
      </w:pPr>
      <w:r>
        <w:rPr>
          <w:rFonts w:ascii="Times New Roman" w:hAnsi="Times New Roman" w:cs="Times New Roman"/>
          <w:b w:val="0"/>
          <w:i w:val="0"/>
          <w:smallCaps w:val="0"/>
          <w:sz w:val="16"/>
        </w:rPr>
        <w:t>[16]</w:t>
        <w:tab/>
        <w:t>A. Chouldechova, “Fair prediction with disparate impact: a study of bias in recidivism prediction instruments,” Big Data, vol. 5, no. 2, pp. 153–163, 2017.</w:t>
      </w:r>
    </w:p>
    <w:p>
      <w:pPr>
        <w:tabs>
          <w:tab w:pos="346" w:val="left"/>
        </w:tabs>
        <w:spacing w:after="20" w:line="240" w:lineRule="auto"/>
        <w:ind w:left="346" w:hanging="346"/>
        <w:jc w:val="both"/>
      </w:pPr>
      <w:r>
        <w:rPr>
          <w:rFonts w:ascii="Times New Roman" w:hAnsi="Times New Roman" w:cs="Times New Roman"/>
          <w:b w:val="0"/>
          <w:i w:val="0"/>
          <w:smallCaps w:val="0"/>
          <w:sz w:val="16"/>
        </w:rPr>
        <w:t>[17]</w:t>
        <w:tab/>
        <w:t>A. Laurentini and A. Bottino, “Computer analysis of face beauty: a survey,” Comput. Vis. Image Underst., vol. 125, pp. 184–199, 2014.</w:t>
      </w:r>
    </w:p>
    <w:p>
      <w:pPr>
        <w:tabs>
          <w:tab w:pos="346" w:val="left"/>
        </w:tabs>
        <w:spacing w:after="20" w:line="240" w:lineRule="auto"/>
        <w:ind w:left="346" w:hanging="346"/>
        <w:jc w:val="both"/>
      </w:pPr>
      <w:r>
        <w:rPr>
          <w:rFonts w:ascii="Times New Roman" w:hAnsi="Times New Roman" w:cs="Times New Roman"/>
          <w:b w:val="0"/>
          <w:i w:val="0"/>
          <w:smallCaps w:val="0"/>
          <w:sz w:val="16"/>
        </w:rPr>
        <w:t>[18]</w:t>
        <w:tab/>
        <w:t>S. Liu et al., “Advances in computational facial attractiveness methods,” Multimedia Tools Appl., vol. 75, no. 23, pp. 16633–16663, 2016.</w:t>
      </w:r>
    </w:p>
    <w:p>
      <w:pPr>
        <w:tabs>
          <w:tab w:pos="346" w:val="left"/>
        </w:tabs>
        <w:spacing w:after="20" w:line="240" w:lineRule="auto"/>
        <w:ind w:left="346" w:hanging="346"/>
        <w:jc w:val="both"/>
      </w:pPr>
      <w:r>
        <w:rPr>
          <w:rFonts w:ascii="Times New Roman" w:hAnsi="Times New Roman" w:cs="Times New Roman"/>
          <w:b w:val="0"/>
          <w:i w:val="0"/>
          <w:smallCaps w:val="0"/>
          <w:sz w:val="16"/>
        </w:rPr>
        <w:t>[19]</w:t>
        <w:tab/>
        <w:t>Y. Eisenthal, G. Dror, and E. Ruppin, “Facial attractiveness: beauty and the machine,” Neural Comput., vol. 18, no. 1, pp. 119–142, 2006.</w:t>
      </w:r>
    </w:p>
    <w:p>
      <w:pPr>
        <w:tabs>
          <w:tab w:pos="346" w:val="left"/>
        </w:tabs>
        <w:spacing w:after="20" w:line="240" w:lineRule="auto"/>
        <w:ind w:left="346" w:hanging="346"/>
        <w:jc w:val="both"/>
      </w:pPr>
      <w:r>
        <w:rPr>
          <w:rFonts w:ascii="Times New Roman" w:hAnsi="Times New Roman" w:cs="Times New Roman"/>
          <w:b w:val="0"/>
          <w:i w:val="0"/>
          <w:smallCaps w:val="0"/>
          <w:sz w:val="16"/>
        </w:rPr>
        <w:t>[20]</w:t>
        <w:tab/>
        <w:t>A. Kagian et al., “A humanlike predictor of facial attractiveness,” in Adv. Neural Inf. Process. Syst., vol. 19, 2006, pp. 649–656.</w:t>
      </w:r>
    </w:p>
    <w:p>
      <w:pPr>
        <w:tabs>
          <w:tab w:pos="346" w:val="left"/>
        </w:tabs>
        <w:spacing w:after="20" w:line="240" w:lineRule="auto"/>
        <w:ind w:left="346" w:hanging="346"/>
        <w:jc w:val="both"/>
      </w:pPr>
      <w:r>
        <w:rPr>
          <w:rFonts w:ascii="Times New Roman" w:hAnsi="Times New Roman" w:cs="Times New Roman"/>
          <w:b w:val="0"/>
          <w:i w:val="0"/>
          <w:smallCaps w:val="0"/>
          <w:sz w:val="16"/>
        </w:rPr>
        <w:t>[21]</w:t>
        <w:tab/>
        <w:t>K. Schmid, D. Marx, and A. Samal, “Computation of a face attractiveness index based on neoclassical canons, symmetry, and golden ratio,” Pattern Recognit., vol. 41, no. 8, pp. 2710–2717, 2008.</w:t>
      </w:r>
    </w:p>
    <w:p>
      <w:pPr>
        <w:tabs>
          <w:tab w:pos="346" w:val="left"/>
        </w:tabs>
        <w:spacing w:after="20" w:line="240" w:lineRule="auto"/>
        <w:ind w:left="346" w:hanging="346"/>
        <w:jc w:val="both"/>
      </w:pPr>
      <w:r>
        <w:rPr>
          <w:rFonts w:ascii="Times New Roman" w:hAnsi="Times New Roman" w:cs="Times New Roman"/>
          <w:b w:val="0"/>
          <w:i w:val="0"/>
          <w:smallCaps w:val="0"/>
          <w:sz w:val="16"/>
        </w:rPr>
        <w:t>[22]</w:t>
        <w:tab/>
        <w:t>D. Zhang, Q. Zhao, and F. Chen, “Quantitative analysis of human facial beauty using geometric features,” Pattern Recognit., vol. 44, no. 4, pp. 940–950, 2011.</w:t>
      </w:r>
    </w:p>
    <w:p>
      <w:pPr>
        <w:tabs>
          <w:tab w:pos="346" w:val="left"/>
        </w:tabs>
        <w:spacing w:after="20" w:line="240" w:lineRule="auto"/>
        <w:ind w:left="346" w:hanging="346"/>
        <w:jc w:val="both"/>
      </w:pPr>
      <w:r>
        <w:rPr>
          <w:rFonts w:ascii="Times New Roman" w:hAnsi="Times New Roman" w:cs="Times New Roman"/>
          <w:b w:val="0"/>
          <w:i w:val="0"/>
          <w:smallCaps w:val="0"/>
          <w:sz w:val="16"/>
        </w:rPr>
        <w:t>[23]</w:t>
        <w:tab/>
        <w:t>Q. M. Rizvi, A. Karawia, and S. Kumar, “Female facial beauty analysis for assessment of facial attractiveness,” in Proc. IEEE Int. Conf. Inf. Manage. Knowl. Eng., 2013.</w:t>
      </w:r>
    </w:p>
    <w:p>
      <w:pPr>
        <w:tabs>
          <w:tab w:pos="346" w:val="left"/>
        </w:tabs>
        <w:spacing w:after="20" w:line="240" w:lineRule="auto"/>
        <w:ind w:left="346" w:hanging="346"/>
        <w:jc w:val="both"/>
      </w:pPr>
      <w:r>
        <w:rPr>
          <w:rFonts w:ascii="Times New Roman" w:hAnsi="Times New Roman" w:cs="Times New Roman"/>
          <w:b w:val="0"/>
          <w:i w:val="0"/>
          <w:smallCaps w:val="0"/>
          <w:sz w:val="16"/>
        </w:rPr>
        <w:t>[24]</w:t>
        <w:tab/>
        <w:t>D. Gray et al., “Predicting facial beauty without landmarks,” in Proc. Eur. Conf. Comput. Vis. (ECCV), 2010, pp. 434–447.</w:t>
      </w:r>
    </w:p>
    <w:p>
      <w:pPr>
        <w:tabs>
          <w:tab w:pos="346" w:val="left"/>
        </w:tabs>
        <w:spacing w:after="20" w:line="240" w:lineRule="auto"/>
        <w:ind w:left="346" w:hanging="346"/>
        <w:jc w:val="both"/>
      </w:pPr>
      <w:r>
        <w:rPr>
          <w:rFonts w:ascii="Times New Roman" w:hAnsi="Times New Roman" w:cs="Times New Roman"/>
          <w:b w:val="0"/>
          <w:i w:val="0"/>
          <w:smallCaps w:val="0"/>
          <w:sz w:val="16"/>
        </w:rPr>
        <w:t>[25]</w:t>
        <w:tab/>
        <w:t>Y.-Y. Fan et al., “Label distribution-based facial attractiveness computation by deep residual learning,” IEEE Trans. Multimedia, vol. 20, no. 8, pp. 2196–2208, 2018.</w:t>
      </w:r>
    </w:p>
    <w:p>
      <w:pPr>
        <w:tabs>
          <w:tab w:pos="346" w:val="left"/>
        </w:tabs>
        <w:spacing w:after="20" w:line="240" w:lineRule="auto"/>
        <w:ind w:left="346" w:hanging="346"/>
        <w:jc w:val="both"/>
      </w:pPr>
      <w:r>
        <w:rPr>
          <w:rFonts w:ascii="Times New Roman" w:hAnsi="Times New Roman" w:cs="Times New Roman"/>
          <w:b w:val="0"/>
          <w:i w:val="0"/>
          <w:smallCaps w:val="0"/>
          <w:sz w:val="16"/>
        </w:rPr>
        <w:t>[26]</w:t>
        <w:tab/>
        <w:t>L. Lin et al., “Attribute-aware convolutional neural networks for facial beauty prediction,” in Proc. Int. Joint Conf. Artif. Intell. (IJCAI), 2019, pp. 847–853.</w:t>
      </w:r>
    </w:p>
    <w:p>
      <w:pPr>
        <w:tabs>
          <w:tab w:pos="346" w:val="left"/>
        </w:tabs>
        <w:spacing w:after="20" w:line="240" w:lineRule="auto"/>
        <w:ind w:left="346" w:hanging="346"/>
        <w:jc w:val="both"/>
      </w:pPr>
      <w:r>
        <w:rPr>
          <w:rFonts w:ascii="Times New Roman" w:hAnsi="Times New Roman" w:cs="Times New Roman"/>
          <w:b w:val="0"/>
          <w:i w:val="0"/>
          <w:smallCaps w:val="0"/>
          <w:sz w:val="16"/>
        </w:rPr>
        <w:t>[27]</w:t>
        <w:tab/>
        <w:t>L. Xu and J. Xiang, “ComboLoss for facial attractiveness analysis with squeeze-and-excitation networks,” arXiv:2010.10721, 2020.</w:t>
      </w:r>
    </w:p>
    <w:p>
      <w:pPr>
        <w:tabs>
          <w:tab w:pos="346" w:val="left"/>
        </w:tabs>
        <w:spacing w:after="20" w:line="240" w:lineRule="auto"/>
        <w:ind w:left="346" w:hanging="346"/>
        <w:jc w:val="both"/>
      </w:pPr>
      <w:r>
        <w:rPr>
          <w:rFonts w:ascii="Times New Roman" w:hAnsi="Times New Roman" w:cs="Times New Roman"/>
          <w:b w:val="0"/>
          <w:i w:val="0"/>
          <w:smallCaps w:val="0"/>
          <w:sz w:val="16"/>
        </w:rPr>
        <w:t>[28]</w:t>
        <w:tab/>
        <w:t>“VM-BeautyNet: a synergistic ensemble of vision transformer and Mamba for facial beauty prediction,” arXiv:2510.16220, 2025.</w:t>
      </w:r>
    </w:p>
    <w:p>
      <w:pPr>
        <w:tabs>
          <w:tab w:pos="346" w:val="left"/>
        </w:tabs>
        <w:spacing w:after="20" w:line="240" w:lineRule="auto"/>
        <w:ind w:left="346" w:hanging="346"/>
        <w:jc w:val="both"/>
      </w:pPr>
      <w:r>
        <w:rPr>
          <w:rFonts w:ascii="Times New Roman" w:hAnsi="Times New Roman" w:cs="Times New Roman"/>
          <w:b w:val="0"/>
          <w:i w:val="0"/>
          <w:smallCaps w:val="0"/>
          <w:sz w:val="16"/>
        </w:rPr>
        <w:t>[29]</w:t>
        <w:tab/>
        <w:t>L. Liang et al., “SCUT-FBP5500: a diverse benchmark dataset for multi-paradigm facial beauty prediction,” in Proc. Int. Conf. Pattern Recognit. (ICPR), 2018, pp. 1598–1603.</w:t>
      </w:r>
    </w:p>
    <w:p>
      <w:pPr>
        <w:tabs>
          <w:tab w:pos="346" w:val="left"/>
        </w:tabs>
        <w:spacing w:after="20" w:line="240" w:lineRule="auto"/>
        <w:ind w:left="346" w:hanging="346"/>
        <w:jc w:val="both"/>
      </w:pPr>
      <w:r>
        <w:rPr>
          <w:rFonts w:ascii="Times New Roman" w:hAnsi="Times New Roman" w:cs="Times New Roman"/>
          <w:b w:val="0"/>
          <w:i w:val="0"/>
          <w:smallCaps w:val="0"/>
          <w:sz w:val="16"/>
        </w:rPr>
        <w:t>[30]</w:t>
        <w:tab/>
        <w:t>X. Geng, C. Yin, and Z.-H. Zhou, “Facial age estimation by learning from label distributions,” IEEE Trans. Pattern Anal. Mach. Intell., vol. 35, no. 10, pp. 2401–2412, 2013.</w:t>
      </w:r>
    </w:p>
    <w:p>
      <w:pPr>
        <w:tabs>
          <w:tab w:pos="346" w:val="left"/>
        </w:tabs>
        <w:spacing w:after="20" w:line="240" w:lineRule="auto"/>
        <w:ind w:left="346" w:hanging="346"/>
        <w:jc w:val="both"/>
      </w:pPr>
      <w:r>
        <w:rPr>
          <w:rFonts w:ascii="Times New Roman" w:hAnsi="Times New Roman" w:cs="Times New Roman"/>
          <w:b w:val="0"/>
          <w:i w:val="0"/>
          <w:smallCaps w:val="0"/>
          <w:sz w:val="16"/>
        </w:rPr>
        <w:t>[31]</w:t>
        <w:tab/>
        <w:t>I. Lebedeva, Y. Guo, and F. Ying, “MEBeauty: a multi-ethnic facial beauty dataset in-the-wild,” Neural Comput. Appl., vol. 34, pp. 14169–14183, 2022.</w:t>
      </w:r>
    </w:p>
    <w:p>
      <w:pPr>
        <w:tabs>
          <w:tab w:pos="346" w:val="left"/>
        </w:tabs>
        <w:spacing w:after="20" w:line="240" w:lineRule="auto"/>
        <w:ind w:left="346" w:hanging="346"/>
        <w:jc w:val="both"/>
      </w:pPr>
      <w:r>
        <w:rPr>
          <w:rFonts w:ascii="Times New Roman" w:hAnsi="Times New Roman" w:cs="Times New Roman"/>
          <w:b w:val="0"/>
          <w:i w:val="0"/>
          <w:smallCaps w:val="0"/>
          <w:sz w:val="16"/>
        </w:rPr>
        <w:t>[32]</w:t>
        <w:tab/>
        <w:t>I. Lebedeva et al., “MEBeauty-Benchmark.” [Online]. Available: https://github.com/dr-irina-lebedeva/MEBeauty-Benchmark</w:t>
      </w:r>
    </w:p>
    <w:p>
      <w:pPr>
        <w:tabs>
          <w:tab w:pos="346" w:val="left"/>
        </w:tabs>
        <w:spacing w:after="20" w:line="240" w:lineRule="auto"/>
        <w:ind w:left="346" w:hanging="346"/>
        <w:jc w:val="both"/>
      </w:pPr>
      <w:r>
        <w:rPr>
          <w:rFonts w:ascii="Times New Roman" w:hAnsi="Times New Roman" w:cs="Times New Roman"/>
          <w:b w:val="0"/>
          <w:i w:val="0"/>
          <w:smallCaps w:val="0"/>
          <w:sz w:val="16"/>
        </w:rPr>
        <w:t>[33]</w:t>
        <w:tab/>
        <w:t>C. Hamel and M. Busch, “Analysis of bias in deep learning facial beauty regressors,” arXiv:2509.24138, 2025.</w:t>
      </w:r>
    </w:p>
    <w:p>
      <w:pPr>
        <w:tabs>
          <w:tab w:pos="346" w:val="left"/>
        </w:tabs>
        <w:spacing w:after="20" w:line="240" w:lineRule="auto"/>
        <w:ind w:left="346" w:hanging="346"/>
        <w:jc w:val="both"/>
      </w:pPr>
      <w:r>
        <w:rPr>
          <w:rFonts w:ascii="Times New Roman" w:hAnsi="Times New Roman" w:cs="Times New Roman"/>
          <w:b w:val="0"/>
          <w:i w:val="0"/>
          <w:smallCaps w:val="0"/>
          <w:sz w:val="16"/>
        </w:rPr>
        <w:t>[34]</w:t>
        <w:tab/>
        <w:t>E. Holland, “Marquardt’s Phi Mask: pitfalls of relying on fashion models and the golden ratio to describe a beautiful face,” Aesthetic Plast. Surg., vol. 32, no. 2, pp. 200–208, 2008.</w:t>
      </w:r>
    </w:p>
    <w:p>
      <w:pPr>
        <w:tabs>
          <w:tab w:pos="346" w:val="left"/>
        </w:tabs>
        <w:spacing w:after="20" w:line="240" w:lineRule="auto"/>
        <w:ind w:left="346" w:hanging="346"/>
        <w:jc w:val="both"/>
      </w:pPr>
      <w:r>
        <w:rPr>
          <w:rFonts w:ascii="Times New Roman" w:hAnsi="Times New Roman" w:cs="Times New Roman"/>
          <w:b w:val="0"/>
          <w:i w:val="0"/>
          <w:smallCaps w:val="0"/>
          <w:sz w:val="16"/>
        </w:rPr>
        <w:t>[35]</w:t>
        <w:tab/>
        <w:t>J. H. Langlois and L. A. Roggman, “Attractive faces are only average,” Psychol. Sci., vol. 1, no. 2, pp. 115–121, 1990.</w:t>
      </w:r>
    </w:p>
    <w:p>
      <w:pPr>
        <w:tabs>
          <w:tab w:pos="346" w:val="left"/>
        </w:tabs>
        <w:spacing w:after="20" w:line="240" w:lineRule="auto"/>
        <w:ind w:left="346" w:hanging="346"/>
        <w:jc w:val="both"/>
      </w:pPr>
      <w:r>
        <w:rPr>
          <w:rFonts w:ascii="Times New Roman" w:hAnsi="Times New Roman" w:cs="Times New Roman"/>
          <w:b w:val="0"/>
          <w:i w:val="0"/>
          <w:smallCaps w:val="0"/>
          <w:sz w:val="16"/>
        </w:rPr>
        <w:t>[36]</w:t>
        <w:tab/>
        <w:t>G. Rhodes, A. Sumich, and G. Byatt, “Are average facial configurations attractive only because of their symmetry?” Psychol. Sci., vol. 10, no. 1, pp. 52–58, 1999.</w:t>
      </w:r>
    </w:p>
    <w:p>
      <w:pPr>
        <w:tabs>
          <w:tab w:pos="346" w:val="left"/>
        </w:tabs>
        <w:spacing w:after="20" w:line="240" w:lineRule="auto"/>
        <w:ind w:left="346" w:hanging="346"/>
        <w:jc w:val="both"/>
      </w:pPr>
      <w:r>
        <w:rPr>
          <w:rFonts w:ascii="Times New Roman" w:hAnsi="Times New Roman" w:cs="Times New Roman"/>
          <w:b w:val="0"/>
          <w:i w:val="0"/>
          <w:smallCaps w:val="0"/>
          <w:sz w:val="16"/>
        </w:rPr>
        <w:t>[37]</w:t>
        <w:tab/>
        <w:t>G. Rhodes, “The evolution of facial attractiveness,” Annu. Rev. Psychol., vol. 57, pp. 199–226, 2006.</w:t>
      </w:r>
    </w:p>
    <w:p>
      <w:pPr>
        <w:tabs>
          <w:tab w:pos="346" w:val="left"/>
        </w:tabs>
        <w:spacing w:after="20" w:line="240" w:lineRule="auto"/>
        <w:ind w:left="346" w:hanging="346"/>
        <w:jc w:val="both"/>
      </w:pPr>
      <w:r>
        <w:rPr>
          <w:rFonts w:ascii="Times New Roman" w:hAnsi="Times New Roman" w:cs="Times New Roman"/>
          <w:b w:val="0"/>
          <w:i w:val="0"/>
          <w:smallCaps w:val="0"/>
          <w:sz w:val="16"/>
        </w:rPr>
        <w:t>[38]</w:t>
        <w:tab/>
        <w:t>J. H. Langlois et al., “Maxims or myths of beauty? A meta-analytic and theoretical review,” Psychol. Bull., vol. 126, no. 3, pp. 390–423, 2000.</w:t>
      </w:r>
    </w:p>
    <w:p>
      <w:pPr>
        <w:tabs>
          <w:tab w:pos="346" w:val="left"/>
        </w:tabs>
        <w:spacing w:after="20" w:line="240" w:lineRule="auto"/>
        <w:ind w:left="346" w:hanging="346"/>
        <w:jc w:val="both"/>
      </w:pPr>
      <w:r>
        <w:rPr>
          <w:rFonts w:ascii="Times New Roman" w:hAnsi="Times New Roman" w:cs="Times New Roman"/>
          <w:b w:val="0"/>
          <w:i w:val="0"/>
          <w:smallCaps w:val="0"/>
          <w:sz w:val="16"/>
        </w:rPr>
        <w:t>[39]</w:t>
        <w:tab/>
        <w:t>L. G. Farkas et al., “Vertical and horizontal proportions of the face in young adult North American Caucasians: revision of neoclassical canons,” Plast. Reconstr. Surg., vol. 75, no. 3, pp. 328–338, 1985.</w:t>
      </w:r>
    </w:p>
    <w:p>
      <w:pPr>
        <w:tabs>
          <w:tab w:pos="346" w:val="left"/>
        </w:tabs>
        <w:spacing w:after="20" w:line="240" w:lineRule="auto"/>
        <w:ind w:left="346" w:hanging="346"/>
        <w:jc w:val="both"/>
      </w:pPr>
      <w:r>
        <w:rPr>
          <w:rFonts w:ascii="Times New Roman" w:hAnsi="Times New Roman" w:cs="Times New Roman"/>
          <w:b w:val="0"/>
          <w:i w:val="0"/>
          <w:smallCaps w:val="0"/>
          <w:sz w:val="16"/>
        </w:rPr>
        <w:t>[40]</w:t>
        <w:tab/>
        <w:t>L. G. Farkas, Anthropometry of the Head and Face, 2nd ed. New York, NY, USA: Raven Press, 1994.</w:t>
      </w:r>
    </w:p>
    <w:p>
      <w:pPr>
        <w:tabs>
          <w:tab w:pos="346" w:val="left"/>
        </w:tabs>
        <w:spacing w:after="20" w:line="240" w:lineRule="auto"/>
        <w:ind w:left="346" w:hanging="346"/>
        <w:jc w:val="both"/>
      </w:pPr>
      <w:r>
        <w:rPr>
          <w:rFonts w:ascii="Times New Roman" w:hAnsi="Times New Roman" w:cs="Times New Roman"/>
          <w:b w:val="0"/>
          <w:i w:val="0"/>
          <w:smallCaps w:val="0"/>
          <w:sz w:val="16"/>
        </w:rPr>
        <w:t>[41]</w:t>
        <w:tab/>
        <w:t>V. Kazemi and J. Sullivan, “One millisecond face alignment with an ensemble of regression trees,” in Proc. IEEE Conf. Comput. Vis. Pattern Recognit. (CVPR), 2014, pp. 1867–1874.</w:t>
      </w:r>
    </w:p>
    <w:p>
      <w:pPr>
        <w:tabs>
          <w:tab w:pos="346" w:val="left"/>
        </w:tabs>
        <w:spacing w:after="20" w:line="240" w:lineRule="auto"/>
        <w:ind w:left="346" w:hanging="346"/>
        <w:jc w:val="both"/>
      </w:pPr>
      <w:r>
        <w:rPr>
          <w:rFonts w:ascii="Times New Roman" w:hAnsi="Times New Roman" w:cs="Times New Roman"/>
          <w:b w:val="0"/>
          <w:i w:val="0"/>
          <w:smallCaps w:val="0"/>
          <w:sz w:val="16"/>
        </w:rPr>
        <w:t>[42]</w:t>
        <w:tab/>
        <w:t>Y. Kartynnik et al., “Real-time facial surface geometry from monocular video on mobile GPUs,” arXiv:1907.06724, 2019.</w:t>
      </w:r>
    </w:p>
    <w:p>
      <w:pPr>
        <w:tabs>
          <w:tab w:pos="346" w:val="left"/>
        </w:tabs>
        <w:spacing w:after="20" w:line="240" w:lineRule="auto"/>
        <w:ind w:left="346" w:hanging="346"/>
        <w:jc w:val="both"/>
      </w:pPr>
      <w:r>
        <w:rPr>
          <w:rFonts w:ascii="Times New Roman" w:hAnsi="Times New Roman" w:cs="Times New Roman"/>
          <w:b w:val="0"/>
          <w:i w:val="0"/>
          <w:smallCaps w:val="0"/>
          <w:sz w:val="16"/>
        </w:rPr>
        <w:t>[43]</w:t>
        <w:tab/>
        <w:t>A. Vaswani et al., “Attention is all you need,” in Adv. Neural Inf. Process. Syst., vol. 30, 2017, pp. 5998–6008.</w:t>
      </w:r>
    </w:p>
    <w:p>
      <w:pPr>
        <w:tabs>
          <w:tab w:pos="346" w:val="left"/>
        </w:tabs>
        <w:spacing w:after="20" w:line="240" w:lineRule="auto"/>
        <w:ind w:left="346" w:hanging="346"/>
        <w:jc w:val="both"/>
      </w:pPr>
      <w:r>
        <w:rPr>
          <w:rFonts w:ascii="Times New Roman" w:hAnsi="Times New Roman" w:cs="Times New Roman"/>
          <w:b w:val="0"/>
          <w:i w:val="0"/>
          <w:smallCaps w:val="0"/>
          <w:sz w:val="16"/>
        </w:rPr>
        <w:t>[44]</w:t>
        <w:tab/>
        <w:t>Y. Benjamini and Y. Hochberg, “Controlling the false discovery rate: a practical and powerful approach to multiple testing,” J. Roy. Statist. Soc. B, vol. 57, no. 1, pp. 289–300, 1995.</w:t>
      </w:r>
    </w:p>
    <w:p>
      <w:pPr>
        <w:tabs>
          <w:tab w:pos="346" w:val="left"/>
        </w:tabs>
        <w:spacing w:after="20" w:line="240" w:lineRule="auto"/>
        <w:ind w:left="346" w:hanging="346"/>
        <w:jc w:val="both"/>
      </w:pPr>
      <w:r>
        <w:rPr>
          <w:rFonts w:ascii="Times New Roman" w:hAnsi="Times New Roman" w:cs="Times New Roman"/>
          <w:b w:val="0"/>
          <w:i w:val="0"/>
          <w:smallCaps w:val="0"/>
          <w:sz w:val="16"/>
        </w:rPr>
        <w:t>[45]</w:t>
        <w:tab/>
        <w:t>S. Holm, “A simple sequentially rejective multiple test procedure,” Scand. J. Statist., vol. 6, no. 2, pp. 65–70, 1979.</w:t>
      </w:r>
    </w:p>
    <w:p>
      <w:pPr>
        <w:tabs>
          <w:tab w:pos="346" w:val="left"/>
        </w:tabs>
        <w:spacing w:after="20" w:line="240" w:lineRule="auto"/>
        <w:ind w:left="346" w:hanging="346"/>
        <w:jc w:val="both"/>
      </w:pPr>
      <w:r>
        <w:rPr>
          <w:rFonts w:ascii="Times New Roman" w:hAnsi="Times New Roman" w:cs="Times New Roman"/>
          <w:b w:val="0"/>
          <w:i w:val="0"/>
          <w:smallCaps w:val="0"/>
          <w:sz w:val="16"/>
        </w:rPr>
        <w:t>[46]</w:t>
        <w:tab/>
        <w:t>W. H. Kruskal and W. A. Wallis, “Use of ranks in one-criterion variance analysis,” J. Amer. Statist. Assoc., vol. 47, no. 260, pp. 583–621, 1952.</w:t>
      </w:r>
    </w:p>
    <w:p>
      <w:pPr>
        <w:tabs>
          <w:tab w:pos="346" w:val="left"/>
        </w:tabs>
        <w:spacing w:after="20" w:line="240" w:lineRule="auto"/>
        <w:ind w:left="346" w:hanging="346"/>
        <w:jc w:val="both"/>
      </w:pPr>
      <w:r>
        <w:rPr>
          <w:rFonts w:ascii="Times New Roman" w:hAnsi="Times New Roman" w:cs="Times New Roman"/>
          <w:b w:val="0"/>
          <w:i w:val="0"/>
          <w:smallCaps w:val="0"/>
          <w:sz w:val="16"/>
        </w:rPr>
        <w:t>[47]</w:t>
        <w:tab/>
        <w:t>N. Cliff, “Dominance statistics: ordinal analyses to answer ordinal questions,” Psychol. Bull., vol. 114, no. 3, pp. 494–509, 1993.</w:t>
      </w:r>
    </w:p>
    <w:p>
      <w:pPr>
        <w:keepNext w:val="0"/>
        <w:spacing w:before="0" w:after="120" w:line="240" w:lineRule="auto"/>
        <w:ind w:firstLine="0"/>
        <w:jc w:val="both"/>
      </w:pPr>
    </w:p>
    <w:p>
      <w:pPr>
        <w:spacing w:after="80" w:line="240" w:lineRule="auto"/>
        <w:jc w:val="both"/>
      </w:pPr>
      <w:r>
        <w:rPr>
          <w:rFonts w:ascii="Times New Roman" w:hAnsi="Times New Roman" w:cs="Times New Roman"/>
          <w:b/>
          <w:i w:val="0"/>
          <w:smallCaps/>
          <w:sz w:val="16"/>
        </w:rPr>
        <w:t xml:space="preserve">Qaim Mehdi Rizvi </w:t>
      </w:r>
      <w:r>
        <w:rPr>
          <w:rFonts w:ascii="Times New Roman" w:hAnsi="Times New Roman" w:cs="Times New Roman"/>
          <w:b w:val="0"/>
          <w:i w:val="0"/>
          <w:smallCaps w:val="0"/>
          <w:sz w:val="16"/>
        </w:rPr>
        <w:t>received his doctoral degree in computer science and engineering. He is with the Department of CSE-CSDS, Brainware University, Kolkata, India, where he is Head of the Research and Development Cell. His research interests include computer vision, interpretable machine learning, and the evaluation of automated decision systems.</w:t>
      </w:r>
    </w:p>
    <w:p>
      <w:pPr>
        <w:spacing w:after="80" w:line="240" w:lineRule="auto"/>
        <w:jc w:val="both"/>
      </w:pPr>
      <w:r>
        <w:rPr>
          <w:rFonts w:ascii="Times New Roman" w:hAnsi="Times New Roman" w:cs="Times New Roman"/>
          <w:b/>
          <w:i w:val="0"/>
          <w:smallCaps/>
          <w:sz w:val="16"/>
        </w:rPr>
        <w:t xml:space="preserve">Tehzeeb Fatima </w:t>
      </w:r>
      <w:r>
        <w:rPr>
          <w:rFonts w:ascii="Times New Roman" w:hAnsi="Times New Roman" w:cs="Times New Roman"/>
          <w:b w:val="0"/>
          <w:i w:val="0"/>
          <w:smallCaps w:val="0"/>
          <w:sz w:val="16"/>
        </w:rPr>
        <w:t>is a Research Scholar with the Department of Biotechnology and Bioengineering, Khwaja Moinuddin Chishti Language University, Lucknow, India. Her research interests include computational biology and the statistical analysis of biometric measurements.</w:t>
      </w:r>
    </w:p>
    <w:p>
      <w:pPr>
        <w:spacing w:after="80" w:line="240" w:lineRule="auto"/>
        <w:jc w:val="both"/>
      </w:pPr>
      <w:r>
        <w:rPr>
          <w:rFonts w:ascii="Times New Roman" w:hAnsi="Times New Roman" w:cs="Times New Roman"/>
          <w:b/>
          <w:i w:val="0"/>
          <w:smallCaps/>
          <w:sz w:val="16"/>
        </w:rPr>
        <w:t xml:space="preserve">Sana Talat </w:t>
      </w:r>
      <w:r>
        <w:rPr>
          <w:rFonts w:ascii="Times New Roman" w:hAnsi="Times New Roman" w:cs="Times New Roman"/>
          <w:b w:val="0"/>
          <w:i w:val="0"/>
          <w:smallCaps w:val="0"/>
          <w:sz w:val="16"/>
        </w:rPr>
        <w:t>is a Research Scholar with the Department of CSE-CSDS, Brainware University, Kolkata, India. Her research interests include machine learning, facial image analysis, and algorithmic fairness.</w:t>
      </w:r>
    </w:p>
    <w:sectPr w:rsidR="00FC693F" w:rsidRPr="0006063C" w:rsidSect="00034616">
      <w:type w:val="continuous"/>
      <w:pgSz w:w="12240" w:h="15840"/>
      <w:pgMar w:top="1080" w:right="900" w:bottom="1440" w:left="900" w:header="720" w:footer="720" w:gutter="0"/>
      <w:docGrid w:linePitch="360"/>
      <w:cols w:num="2" w:space="288"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