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00"/>
        <w:jc w:val="center"/>
      </w:pPr>
      <w:r>
        <w:rPr>
          <w:b/>
          <w:bCs/>
          <w:color w:val="123B5D"/>
          <w:sz w:val="36"/>
          <w:szCs w:val="36"/>
        </w:rPr>
        <w:t xml:space="preserve">M3 Interpretation</w:t>
      </w:r>
    </w:p>
    <w:p>
      <w:pPr>
        <w:spacing w:after="220"/>
        <w:jc w:val="center"/>
      </w:pPr>
      <w:r>
        <w:rPr>
          <w:i/>
          <w:iCs/>
          <w:color w:val="425466"/>
          <w:sz w:val="24"/>
          <w:szCs w:val="24"/>
        </w:rPr>
        <w:t xml:space="preserve">Fixed Effects and Difference-in-Differences</w:t>
      </w:r>
    </w:p>
    <w:p>
      <w:pPr>
        <w:pBdr>
          <w:bottom w:val="single" w:color="123B5D" w:sz="8" w:space="1"/>
        </w:pBdr>
        <w:spacing w:after="280"/>
        <w:jc w:val="center"/>
      </w:pPr>
      <w:r>
        <w:rPr>
          <w:color w:val="52606D"/>
          <w:sz w:val="22"/>
          <w:szCs w:val="22"/>
        </w:rPr>
        <w:t xml:space="preserve">Capstone Report Deliverable</w:t>
      </w:r>
    </w:p>
    <w:p>
      <w:pPr>
        <w:spacing w:after="240" w:line="300"/>
        <w:jc w:val="center"/>
      </w:pPr>
      <w:r>
        <w:t xml:space="preserve">This document presents the M3 fixed-effects and difference-in-differences interpretation for the capstone analysis, including model structure, estimated effects, diagnostics, robustness checks, and generated outputs.</w:t>
      </w:r>
    </w:p>
    <w:p>
      <w:pPr>
        <w:spacing w:after="120"/>
        <w:jc w:val="center"/>
      </w:pPr>
      <w:r>
        <w:rPr>
          <w:color w:val="52606D"/>
          <w:sz w:val="18"/>
          <w:szCs w:val="18"/>
        </w:rPr>
        <w:t xml:space="preserve">Source: M3_interpretation.md</w:t>
      </w:r>
    </w:p>
    <w:p>
      <w:pPr>
        <w:spacing w:after="260"/>
        <w:jc w:val="center"/>
      </w:pPr>
      <w:r>
        <w:rPr>
          <w:color w:val="52606D"/>
          <w:sz w:val="18"/>
          <w:szCs w:val="18"/>
        </w:rPr>
        <w:t xml:space="preserve">Generated on April 27,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What We Estimated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Calendar-month fixed effects model for market returns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Outcome: </w:t>
      </w:r>
      <w:r>
        <w:rPr>
          <w:rFonts w:ascii="Courier New" w:cs="Courier New" w:eastAsia="Courier New" w:hAnsi="Courier New"/>
        </w:rPr>
        <w:t xml:space="preserve">mkt_ret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Key predictors: lagged Michigan sentiment and lagged AAII bull-bear spread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Controls: </w:t>
      </w:r>
      <w:r>
        <w:rPr>
          <w:rFonts w:ascii="Courier New" w:cs="Courier New" w:eastAsia="Courier New" w:hAnsi="Courier New"/>
        </w:rPr>
        <w:t xml:space="preserve">smb</w:t>
      </w:r>
      <w:r>
        <w:t xml:space="preserve">, </w:t>
      </w:r>
      <w:r>
        <w:rPr>
          <w:rFonts w:ascii="Courier New" w:cs="Courier New" w:eastAsia="Courier New" w:hAnsi="Courier New"/>
        </w:rPr>
        <w:t xml:space="preserve">hml</w:t>
      </w:r>
      <w:r>
        <w:t xml:space="preserve">, </w:t>
      </w:r>
      <w:r>
        <w:rPr>
          <w:rFonts w:ascii="Courier New" w:cs="Courier New" w:eastAsia="Courier New" w:hAnsi="Courier New"/>
        </w:rPr>
        <w:t xml:space="preserve">rmw</w:t>
      </w:r>
      <w:r>
        <w:t xml:space="preserve">, </w:t>
      </w:r>
      <w:r>
        <w:rPr>
          <w:rFonts w:ascii="Courier New" w:cs="Courier New" w:eastAsia="Courier New" w:hAnsi="Courier New"/>
        </w:rPr>
        <w:t xml:space="preserve">cma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Fixed effects: month-of-year dummies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Model A: Two-way fixed effects (entity and time) on the long panel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Outcome: standardized </w:t>
      </w:r>
      <w:r>
        <w:rPr>
          <w:rFonts w:ascii="Courier New" w:cs="Courier New" w:eastAsia="Courier New" w:hAnsi="Courier New"/>
        </w:rPr>
        <w:t xml:space="preserve">value_z</w:t>
      </w:r>
      <w:r>
        <w:t xml:space="preserve"> in long-form panel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Fixed effects: variable/entity dummies and date fixed effects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Standard errors: clustered by entity (</w:t>
      </w:r>
      <w:r>
        <w:rPr>
          <w:rFonts w:ascii="Courier New" w:cs="Courier New" w:eastAsia="Courier New" w:hAnsi="Courier New"/>
        </w:rPr>
        <w:t xml:space="preserve">variable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Shock indicators: post-2008 and post-COVID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Difference-in-differences model for shocks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Treated group: sentiment series (</w:t>
      </w:r>
      <w:r>
        <w:rPr>
          <w:rFonts w:ascii="Courier New" w:cs="Courier New" w:eastAsia="Courier New" w:hAnsi="Courier New"/>
        </w:rPr>
        <w:t xml:space="preserve">sentiment_michigan_ics</w:t>
      </w:r>
      <w:r>
        <w:t xml:space="preserve">, AAII sentiment variables)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Control group: market return and factor series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Interactions: </w:t>
      </w:r>
      <w:r>
        <w:rPr>
          <w:rFonts w:ascii="Courier New" w:cs="Courier New" w:eastAsia="Courier New" w:hAnsi="Courier New"/>
        </w:rPr>
        <w:t xml:space="preserve">treated_sentiment x post_gfc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treated_sentiment x post_covid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Date fixed effects included</w:t>
      </w:r>
    </w:p>
    <w:p>
      <w:pPr>
        <w:pStyle w:val="ListParagraph"/>
        <w:numPr>
          <w:ilvl w:val="1"/>
          <w:numId w:val="3"/>
        </w:numPr>
        <w:spacing w:after="90" w:line="276"/>
      </w:pPr>
      <w:r>
        <w:t xml:space="preserve">Standard errors: clustered by entity (</w:t>
      </w:r>
      <w:r>
        <w:rPr>
          <w:rFonts w:ascii="Courier New" w:cs="Courier New" w:eastAsia="Courier New" w:hAnsi="Courier New"/>
        </w:rPr>
        <w:t xml:space="preserve">variable</w:t>
      </w:r>
      <w:r>
        <w:t xml:space="preserve">)</w:t>
      </w:r>
    </w:p>
    <w:p>
      <w:pPr>
        <w:pStyle w:val="Heading1"/>
      </w:pPr>
      <w:r>
        <w:t xml:space="preserve">Sample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Model Slice</w:t>
            </w:r>
          </w:p>
        </w:tc>
        <w:tc>
          <w:tcPr>
            <w:tcW w:type="dxa" w:w="30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>
            <w:tcW w:type="dxa" w:w="63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Market fixed-effects model</w:t>
            </w:r>
          </w:p>
        </w:tc>
        <w:tc>
          <w:tcPr>
            <w:tcW w:type="dxa" w:w="30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251</w:t>
            </w:r>
          </w:p>
        </w:tc>
      </w:tr>
      <w:tr>
        <w:tc>
          <w:tcPr>
            <w:tcW w:type="dxa" w:w="63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Panel / DiD models</w:t>
            </w:r>
          </w:p>
        </w:tc>
        <w:tc>
          <w:tcPr>
            <w:tcW w:type="dxa" w:w="30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3024</w:t>
            </w:r>
          </w:p>
        </w:tc>
      </w:tr>
    </w:tbl>
    <w:p>
      <w:pPr>
        <w:pStyle w:val="Heading1"/>
      </w:pPr>
      <w:r>
        <w:t xml:space="preserve">Main Economic Interpretation</w:t>
      </w:r>
    </w:p>
    <w:p>
      <w:pPr>
        <w:pStyle w:val="Heading2"/>
      </w:pPr>
      <w:r>
        <w:t xml:space="preserve">1) Predictive Return Model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sentiment_michigan_ics_l1</w:t>
      </w:r>
      <w:r>
        <w:t xml:space="preserve">: coef = 0.0022, p = 0.9223, 95% CI [-0.0414, 0.0457]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bull_bear_spread_l1</w:t>
      </w:r>
      <w:r>
        <w:t xml:space="preserve">: coef = -0.0063, p = 0.7255, 95% CI [-0.0414, 0.0288]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smb</w:t>
      </w:r>
      <w:r>
        <w:t xml:space="preserve">: coef = 0.4568***, p = 0.0002, 95% CI [0.2144, 0.6991]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hml</w:t>
      </w:r>
      <w:r>
        <w:t xml:space="preserve">: coef = 0.3643***, p = 0.0038, 95% CI [0.1179, 0.6107]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rmw</w:t>
      </w:r>
      <w:r>
        <w:t xml:space="preserve">: coef = -0.2760, p = 0.1289, 95% CI [-0.6324, 0.0803]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cma</w:t>
      </w:r>
      <w:r>
        <w:t xml:space="preserve">: coef = -0.6590***, p = 0.0010, 95% CI [-1.0520, -0.2660]</w:t>
      </w:r>
    </w:p>
    <w:p>
      <w:pPr>
        <w:spacing w:after="60" w:before="80"/>
      </w:pPr>
      <w:r>
        <w:rPr>
          <w:b/>
          <w:bCs/>
        </w:rPr>
        <w:t xml:space="preserve">Interpretation: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 positive lagged sentiment coefficient would mean stronger confidence last month is associated with higher return this month.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 negative lagged bull-bear spread coefficient would support a contrarian story: too much bullishness predicts softer next-month returns.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Factor coefficients capture whether common risk channels still explain returns after sentiment is added.</w:t>
      </w:r>
    </w:p>
    <w:p>
      <w:pPr>
        <w:pStyle w:val="Heading2"/>
      </w:pPr>
      <w:r>
        <w:t xml:space="preserve">2) Entity Fixed Effects Shock Shifts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post_gfc</w:t>
      </w:r>
      <w:r>
        <w:t xml:space="preserve">: coef = -0.5316, p = 0.2243, 95% CI [-1.3891, 0.3258]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post_covid</w:t>
      </w:r>
      <w:r>
        <w:t xml:space="preserve">: coef = 0.0151, p = 0.9175, 95% CI [-0.2712, 0.3015]</w:t>
      </w:r>
    </w:p>
    <w:p>
      <w:pPr>
        <w:spacing w:after="60" w:before="80"/>
      </w:pPr>
      <w:r>
        <w:rPr>
          <w:b/>
          <w:bCs/>
        </w:rPr>
        <w:t xml:space="preserve">Interpretation: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The entity fixed-effects model asks whether the average standardized level of each series shifts after each macro shock, after controlling for each variable’s own baseline level.</w:t>
      </w:r>
    </w:p>
    <w:p>
      <w:pPr>
        <w:pStyle w:val="Heading2"/>
      </w:pPr>
      <w:r>
        <w:t xml:space="preserve">3) DiD: Differential Effect on Sentiment vs Controls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treated_sentiment x post_gfc</w:t>
      </w:r>
      <w:r>
        <w:t xml:space="preserve">: coef = 0.2010, p = 0.5609, 95% CI [-0.4763, 0.8783]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treated_sentiment x post_covid</w:t>
      </w:r>
      <w:r>
        <w:t xml:space="preserve">: coef = -0.5286**, p = 0.0448, 95% CI [-1.0449, -0.0123]</w:t>
      </w:r>
    </w:p>
    <w:p>
      <w:pPr>
        <w:spacing w:after="60" w:before="80"/>
      </w:pPr>
      <w:r>
        <w:rPr>
          <w:b/>
          <w:bCs/>
        </w:rPr>
        <w:t xml:space="preserve">Interpretation: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Positive DiD interaction: sentiment series rose more, or fell less, than return and factor controls after that shock.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Negative DiD interaction: sentiment series weakened more than controls after that shock.</w:t>
      </w:r>
    </w:p>
    <w:p>
      <w:pPr>
        <w:pStyle w:val="Heading1"/>
      </w:pPr>
      <w:r>
        <w:t xml:space="preserve">Diagnostics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Diagnostic</w:t>
            </w:r>
          </w:p>
        </w:tc>
        <w:tc>
          <w:tcPr>
            <w:tcW w:type="dxa" w:w="14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Breusch-Pagan p-value</w:t>
            </w:r>
          </w:p>
        </w:tc>
        <w:tc>
          <w:tcPr>
            <w:tcW w:type="dxa" w:w="14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0.0001</w:t>
            </w:r>
          </w:p>
        </w:tc>
        <w:tc>
          <w:tcPr>
            <w:tcW w:type="dxa" w:w="54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The low p-value indicates heteroskedasticity risk, so robust or clustered standard errors are appropriate.</w:t>
            </w:r>
          </w:p>
        </w:tc>
      </w:tr>
      <w:tr>
        <w:tc>
          <w:tcPr>
            <w:tcW w:type="dxa" w:w="25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Max VIF among predictors</w:t>
            </w:r>
          </w:p>
        </w:tc>
        <w:tc>
          <w:tcPr>
            <w:tcW w:type="dxa" w:w="14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1.58</w:t>
            </w:r>
          </w:p>
        </w:tc>
        <w:tc>
          <w:tcPr>
            <w:tcW w:type="dxa" w:w="54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Values well below 10 reduce concern about severe multicollinearity.</w:t>
            </w:r>
          </w:p>
        </w:tc>
      </w:tr>
      <w:tr>
        <w:tc>
          <w:tcPr>
            <w:tcW w:type="dxa" w:w="25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Residual diagnostics</w:t>
            </w:r>
          </w:p>
        </w:tc>
        <w:tc>
          <w:tcPr>
            <w:tcW w:type="dxa" w:w="14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Saved</w:t>
            </w:r>
          </w:p>
        </w:tc>
        <w:tc>
          <w:tcPr>
            <w:tcW w:type="dxa" w:w="54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Residual-vs-fitted, Q-Q, and histogram plots were produced for distributional review.</w:t>
            </w:r>
          </w:p>
        </w:tc>
      </w:tr>
    </w:tbl>
    <w:p>
      <w:pPr>
        <w:pStyle w:val="Heading1"/>
      </w:pPr>
      <w:r>
        <w:t xml:space="preserve">Robustness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100"/>
        <w:gridCol w:w="3760"/>
      </w:tblGrid>
      <w:tr>
        <w:tc>
          <w:tcPr>
            <w:tcW w:type="dxa" w:w="22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13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21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Comparison</w:t>
            </w:r>
          </w:p>
        </w:tc>
        <w:tc>
          <w:tcPr>
            <w:tcW w:type="dxa" w:w="37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</w:rPr>
              <w:t xml:space="preserve">Interpretive Note</w:t>
            </w:r>
          </w:p>
        </w:tc>
      </w:tr>
      <w:tr>
        <w:tc>
          <w:tcPr>
            <w:tcW w:type="dxa" w:w="22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alternative_lags</w:t>
            </w:r>
          </w:p>
        </w:tc>
        <w:tc>
          <w:tcPr>
            <w:tcW w:type="dxa" w:w="13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0.0035</w:t>
            </w:r>
          </w:p>
        </w:tc>
        <w:tc>
          <w:tcPr>
            <w:tcW w:type="dxa" w:w="21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0.0122 / 0.01092024870131658</w:t>
            </w:r>
          </w:p>
        </w:tc>
        <w:tc>
          <w:tcPr>
            <w:tcW w:type="dxa" w:w="37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Signs and magnitudes across lags show whether the sentiment effect depends heavily on lag choice.</w:t>
            </w:r>
          </w:p>
        </w:tc>
      </w:tr>
      <w:tr>
        <w:tc>
          <w:tcPr>
            <w:tcW w:type="dxa" w:w="22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exclude_covid_crash_window</w:t>
            </w:r>
          </w:p>
        </w:tc>
        <w:tc>
          <w:tcPr>
            <w:tcW w:type="dxa" w:w="13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-0.5286</w:t>
            </w:r>
          </w:p>
        </w:tc>
        <w:tc>
          <w:tcPr>
            <w:tcW w:type="dxa" w:w="21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-0.5484 / NA</w:t>
            </w:r>
          </w:p>
        </w:tc>
        <w:tc>
          <w:tcPr>
            <w:tcW w:type="dxa" w:w="37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Close values imply the COVID interaction is not driven only by the crash window.</w:t>
            </w:r>
          </w:p>
        </w:tc>
      </w:tr>
      <w:tr>
        <w:tc>
          <w:tcPr>
            <w:tcW w:type="dxa" w:w="22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placebo_pre_gfc</w:t>
            </w:r>
          </w:p>
        </w:tc>
        <w:tc>
          <w:tcPr>
            <w:tcW w:type="dxa" w:w="13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0.0000</w:t>
            </w:r>
          </w:p>
        </w:tc>
        <w:tc>
          <w:tcPr>
            <w:tcW w:type="dxa" w:w="21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-0.4685 / 0.17289273102453484</w:t>
            </w:r>
          </w:p>
        </w:tc>
        <w:tc>
          <w:tcPr>
            <w:tcW w:type="dxa" w:w="37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t xml:space="preserve">Small or insignificant placebo effects support the DiD identification assumptions.</w:t>
            </w:r>
          </w:p>
        </w:tc>
      </w:tr>
    </w:tbl>
    <w:p>
      <w:pPr>
        <w:pStyle w:val="Heading1"/>
      </w:pPr>
      <w:r>
        <w:t xml:space="preserve">Visual Evidence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results/figures/m3_treated_vs_control_trends.png</w:t>
      </w:r>
      <w:r>
        <w:t xml:space="preserve">: treated vs control paths with 2008 and 2020 markers.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results/figures/m3_did_coefficients.png</w:t>
      </w:r>
      <w:r>
        <w:t xml:space="preserve">: DiD point estimates and confidence intervals.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results/figures/m3_market_model_fit.png</w:t>
      </w:r>
      <w:r>
        <w:t xml:space="preserve">: observed vs fitted market returns.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results/figures/m3_residuals_vs_fitted.png</w:t>
      </w:r>
      <w:r>
        <w:t xml:space="preserve">: residual spread across fitted values.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results/figures/m3_residuals_qq.png</w:t>
      </w:r>
      <w:r>
        <w:t xml:space="preserve">: residual normality diagnostic.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results/figures/m3_residuals_hist.png</w:t>
      </w:r>
      <w:r>
        <w:t xml:space="preserve">: residual distribution check.</w:t>
      </w:r>
    </w:p>
    <w:p>
      <w:pPr>
        <w:pStyle w:val="Heading1"/>
      </w:pPr>
      <w:r>
        <w:t xml:space="preserve">Applicability and Limitations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The dataset has one aggregate market return series over time, so classic multi-firm panel fixed effects on returns is not directly available.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The entity fixed-effects and DiD analyses are applied on the stacked long panel where each variable acts as an entity.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This design is useful for testing shock sensitivity across groups of series, but it should not be interpreted as a firm-level causal panel model.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Robust (HC1) standard errors are used to reduce heteroskedasticity concerns.</w:t>
      </w:r>
    </w:p>
    <w:p>
      <w:pPr>
        <w:pStyle w:val="Heading1"/>
      </w:pPr>
      <w:r>
        <w:t xml:space="preserve">Files Generated for M3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results/tables/m3_market_fe_results.csv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results/tables/m3_entity_fe_results.csv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results/tables/m3_did_results.csv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results/tables/m3_bp_test_results.csv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results/tables/m3_vif_results.csv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results/tables/m3_robustness_checks.csv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results/tables/m3_model_comparison_table.csv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results/figures/m3_treated_vs_control_trends.png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results/figures/m3_did_coefficients.png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results/figures/m3_market_model_fit.png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results/figures/m3_residuals_vs_fitted.png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results/figures/m3_residuals_qq.png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urier New" w:cs="Courier New" w:eastAsia="Courier New" w:hAnsi="Courier New"/>
        </w:rPr>
        <w:t xml:space="preserve">results/figures/m3_residuals_hist.png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3A4B5" w:sz="4" w:space="1"/>
      </w:pBdr>
      <w:tabs>
        <w:tab w:val="right" w:pos="9026"/>
      </w:tabs>
      <w:spacing w:after="0" w:before="120"/>
    </w:pPr>
    <w:r>
      <w:rPr>
        <w:color w:val="425466"/>
        <w:sz w:val="18"/>
        <w:szCs w:val="18"/>
      </w:rPr>
      <w:t xml:space="preserve">M3 Interpretation Report</w:t>
    </w:r>
    <w:r>
      <w:t xml:space="preserve">	</w:t>
    </w:r>
    <w:r>
      <w:rPr>
        <w:color w:val="425466"/>
        <w:sz w:val="18"/>
        <w:szCs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23B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04A6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B5D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 Interpretation: Fixed Effects and Difference-in-Differences</dc:title>
  <dc:creator>GitHub Copilot</dc:creator>
  <dc:description>Professionally formatted DOCX version of the M3 interpretation report.</dc:description>
  <cp:lastModifiedBy>Un-named</cp:lastModifiedBy>
  <cp:revision>1</cp:revision>
  <dcterms:created xsi:type="dcterms:W3CDTF">2026-04-27T15:38:15.629Z</dcterms:created>
  <dcterms:modified xsi:type="dcterms:W3CDTF">2026-04-27T15:38:15.629Z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