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Final Investment Memo</w:t>
      </w:r>
      <w:r>
        <w:t xml:space="preserve"> </w:t>
      </w:r>
      <w:r>
        <w:t xml:space="preserve">MEMORANDUM</w:t>
      </w:r>
      <w:r>
        <w:t xml:space="preserve"> </w:t>
      </w:r>
      <w:r>
        <w:t xml:space="preserve">TO: Policy Committee (Housing Market and Monetary Transmission)</w:t>
      </w:r>
      <w:r>
        <w:t xml:space="preserve"> </w:t>
      </w:r>
      <w:r>
        <w:t xml:space="preserve">FROM: Kenzie, Reese, Carter</w:t>
      </w:r>
      <w:r>
        <w:t xml:space="preserve"> </w:t>
      </w:r>
      <w:r>
        <w:t xml:space="preserve">DATE: April 27, 2026</w:t>
      </w:r>
      <w:r>
        <w:t xml:space="preserve"> </w:t>
      </w:r>
      <w:r>
        <w:t xml:space="preserve">RE: Housing Market Response to Mortgage Rate Changes and Risk in</w:t>
      </w:r>
      <w:r>
        <w:t xml:space="preserve"> </w:t>
      </w:r>
      <w:r>
        <w:t xml:space="preserve">High-Exposure Metros</w:t>
      </w:r>
    </w:p>
    <w:p>
      <w:pPr>
        <w:pStyle w:val="BodyText"/>
      </w:pPr>
      <w:r>
        <w:t xml:space="preserve">Executive Summary</w:t>
      </w:r>
      <w:r>
        <w:t xml:space="preserve"> </w:t>
      </w:r>
      <w:r>
        <w:t xml:space="preserve">We analyze a metro-level panel of 894 U.S. housing markets from 2009</w:t>
      </w:r>
      <w:r>
        <w:t xml:space="preserve"> </w:t>
      </w:r>
      <w:r>
        <w:t xml:space="preserve">Q1 through 2026 Q1 (74,991 metro-quarter observations) to estimate</w:t>
      </w:r>
      <w:r>
        <w:t xml:space="preserve"> </w:t>
      </w:r>
      <w:r>
        <w:t xml:space="preserve">how mortgage rate tightening transmits into local home price growth.</w:t>
      </w:r>
      <w:r>
        <w:t xml:space="preserve"> </w:t>
      </w:r>
      <w:r>
        <w:t xml:space="preserve">Our primary ﬁxed-eﬀects model shows that a 1 percentage point</w:t>
      </w:r>
      <w:r>
        <w:t xml:space="preserve"> </w:t>
      </w:r>
      <w:r>
        <w:t xml:space="preserve">increase in lagged mortgage exposure is associated with a 0.1077</w:t>
      </w:r>
      <w:r>
        <w:t xml:space="preserve"> </w:t>
      </w:r>
      <w:r>
        <w:t xml:space="preserve">percentage point decline in quarterly home price growth (p &lt; 0.001),</w:t>
      </w:r>
      <w:r>
        <w:t xml:space="preserve"> </w:t>
      </w:r>
      <w:r>
        <w:t xml:space="preserve">controlling for metro and quarter ﬁxed eﬀects. This estimate is</w:t>
      </w:r>
      <w:r>
        <w:t xml:space="preserve"> </w:t>
      </w:r>
      <w:r>
        <w:t xml:space="preserve">economically meaningful and consistent with aﬀordability, user-cost,</w:t>
      </w:r>
      <w:r>
        <w:t xml:space="preserve"> </w:t>
      </w:r>
      <w:r>
        <w:t xml:space="preserve">and credit-qualiﬁcation channels.</w:t>
      </w:r>
    </w:p>
    <w:p>
      <w:pPr>
        <w:pStyle w:val="BodyText"/>
      </w:pPr>
      <w:r>
        <w:t xml:space="preserve">The post-2022 hike period produced an additional slowdown in highly</w:t>
      </w:r>
      <w:r>
        <w:t xml:space="preserve"> </w:t>
      </w:r>
      <w:r>
        <w:t xml:space="preserve">exposed markets. In our diﬀerence-in-diﬀerences speciﬁcation, the</w:t>
      </w:r>
      <w:r>
        <w:t xml:space="preserve"> </w:t>
      </w:r>
      <w:r>
        <w:t xml:space="preserve">treated-post interaction is -0.4000 percentage points (p &lt; 0.001),</w:t>
      </w:r>
      <w:r>
        <w:t xml:space="preserve"> </w:t>
      </w:r>
      <w:r>
        <w:t xml:space="preserve">indicating materially weaker quarterly growth in high-exposure</w:t>
      </w:r>
      <w:r>
        <w:t xml:space="preserve"> </w:t>
      </w:r>
      <w:r>
        <w:t xml:space="preserve">metros relative to lower-exposure metros after the rate-hike regime</w:t>
      </w:r>
      <w:r>
        <w:t xml:space="preserve"> </w:t>
      </w:r>
      <w:r>
        <w:t xml:space="preserve">shift. Taken together, the evidence indicates that rate-sensitive metros</w:t>
      </w:r>
      <w:r>
        <w:t xml:space="preserve"> </w:t>
      </w:r>
      <w:r>
        <w:t xml:space="preserve">should be treated as elevated-risk jurisdictions in high-rate</w:t>
      </w:r>
      <w:r>
        <w:t xml:space="preserve"> </w:t>
      </w:r>
      <w:r>
        <w:t xml:space="preserve">environments.</w:t>
      </w:r>
    </w:p>
    <w:p>
      <w:pPr>
        <w:pStyle w:val="BodyText"/>
      </w:pPr>
      <w:r>
        <w:t xml:space="preserve">Policy recommendation: prioritize targeted monitoring and mitigation</w:t>
      </w:r>
      <w:r>
        <w:t xml:space="preserve"> </w:t>
      </w:r>
      <w:r>
        <w:t xml:space="preserve">in high-exposure metros. Speciﬁcally, use exposure-based stress tiers</w:t>
      </w:r>
      <w:r>
        <w:t xml:space="preserve"> </w:t>
      </w:r>
      <w:r>
        <w:t xml:space="preserve">in policy surveillance, prioritize aﬀordability support where payment</w:t>
      </w:r>
      <w:r>
        <w:t xml:space="preserve"> </w:t>
      </w:r>
      <w:r>
        <w:t xml:space="preserve">shocks are most severe, and run scenario tests that assume an</w:t>
      </w:r>
      <w:r>
        <w:t xml:space="preserve"> </w:t>
      </w:r>
      <w:r>
        <w:t xml:space="preserve">additional 100 bps policy-rate increase. Under our Model A estimates,</w:t>
      </w:r>
      <w:r>
        <w:t xml:space="preserve"> </w:t>
      </w:r>
      <w:r>
        <w:t xml:space="preserve">a 100 bps rate increase implies roughly a 0.16 to 0.20 percentage</w:t>
      </w:r>
      <w:r>
        <w:t xml:space="preserve"> </w:t>
      </w:r>
      <w:r>
        <w:t xml:space="preserve">point quarterly growth slowdown in median-to-high exposure metros;</w:t>
      </w:r>
      <w:r>
        <w:t xml:space="preserve"> </w:t>
      </w:r>
      <w:r>
        <w:t xml:space="preserve">a comparable rate cut implies a symmetric partial recovery.</w:t>
      </w:r>
    </w:p>
    <w:p>
      <w:pPr>
        <w:pStyle w:val="BodyText"/>
      </w:pPr>
      <w:r>
        <w:t xml:space="preserve">Methodology</w:t>
      </w:r>
    </w:p>
    <w:p>
      <w:pPr>
        <w:pStyle w:val="BodyText"/>
      </w:pPr>
      <w:r>
        <w:t xml:space="preserve">Data Sources</w:t>
      </w:r>
    </w:p>
    <w:p>
      <w:pPr>
        <w:numPr>
          <w:ilvl w:val="0"/>
          <w:numId w:val="1001"/>
        </w:numPr>
        <w:pStyle w:val="Compact"/>
      </w:pPr>
      <w:r>
        <w:t xml:space="preserve">Zillow ZHVI metro panel (housing values), metro-quarter level.</w:t>
      </w:r>
    </w:p>
    <w:p>
      <w:pPr>
        <w:numPr>
          <w:ilvl w:val="0"/>
          <w:numId w:val="1001"/>
        </w:numPr>
        <w:pStyle w:val="Compact"/>
      </w:pPr>
      <w:r>
        <w:t xml:space="preserve">FRED 30-year ﬁxed mortgage rate series (MORTGAGE30US),</w:t>
      </w:r>
      <w:r>
        <w:t xml:space="preserve"> </w:t>
      </w:r>
      <w:r>
        <w:t xml:space="preserve">aggregated to quarter.</w:t>
      </w:r>
    </w:p>
    <w:p>
      <w:pPr>
        <w:numPr>
          <w:ilvl w:val="0"/>
          <w:numId w:val="1001"/>
        </w:numPr>
        <w:pStyle w:val="Compact"/>
      </w:pPr>
      <w:r>
        <w:t xml:space="preserve">Team-constructed merged panel in</w:t>
      </w:r>
      <w:r>
        <w:t xml:space="preserve"> </w:t>
      </w:r>
      <w:r>
        <w:t xml:space="preserve">data/final/metro_mortgage_panel.csv.</w:t>
      </w:r>
    </w:p>
    <w:p>
      <w:pPr>
        <w:pStyle w:val="FirstParagraph"/>
      </w:pPr>
      <w:r>
        <w:t xml:space="preserve">Sample Construction</w:t>
      </w:r>
    </w:p>
    <w:p>
      <w:pPr>
        <w:numPr>
          <w:ilvl w:val="0"/>
          <w:numId w:val="1002"/>
        </w:numPr>
        <w:pStyle w:val="Compact"/>
      </w:pPr>
      <w:r>
        <w:t xml:space="preserve">Unit of observation: metro-quarter.</w:t>
      </w:r>
    </w:p>
    <w:p>
      <w:pPr>
        <w:numPr>
          <w:ilvl w:val="0"/>
          <w:numId w:val="1002"/>
        </w:numPr>
        <w:pStyle w:val="Compact"/>
      </w:pPr>
      <w:r>
        <w:t xml:space="preserve">Entities: 894 metros.</w:t>
      </w:r>
      <w:r>
        <w:t xml:space="preserve"> </w:t>
      </w:r>
      <w:r>
        <w:t xml:space="preserve">3. Time coverage in ﬁnal panel: 2009-03-31 to 2026-03-31.</w:t>
      </w:r>
    </w:p>
    <w:p>
      <w:pPr>
        <w:numPr>
          <w:ilvl w:val="0"/>
          <w:numId w:val="1002"/>
        </w:numPr>
        <w:pStyle w:val="Compact"/>
      </w:pPr>
      <w:r>
        <w:t xml:space="preserve">Estimation sample: 74,991 observations.</w:t>
      </w:r>
    </w:p>
    <w:p>
      <w:pPr>
        <w:numPr>
          <w:ilvl w:val="0"/>
          <w:numId w:val="1002"/>
        </w:numPr>
        <w:pStyle w:val="Compact"/>
      </w:pPr>
      <w:r>
        <w:t xml:space="preserve">Inference: standard errors clustered at the metro (entity) level.</w:t>
      </w:r>
    </w:p>
    <w:p>
      <w:pPr>
        <w:pStyle w:val="FirstParagraph"/>
      </w:pPr>
      <w:r>
        <w:t xml:space="preserve">Model Speciﬁcations</w:t>
      </w:r>
    </w:p>
    <w:p>
      <w:pPr>
        <w:pStyle w:val="BodyText"/>
      </w:pPr>
      <w:r>
        <w:t xml:space="preserve">Model A (Two-Way Fixed Eﬀects):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_1</w:t>
      </w:r>
      <w:r>
        <w:t xml:space="preserve"> </w:t>
      </w:r>
      <w:r>
        <w:t xml:space="preserve">{i,t} +</w:t>
      </w:r>
      <w:r>
        <w:t xml:space="preserve"> </w:t>
      </w:r>
      <w:r>
        <w:t xml:space="preserve">_2</w:t>
      </w:r>
      <w:r>
        <w:t xml:space="preserve"> </w:t>
      </w:r>
      <w:r>
        <w:t xml:space="preserve">+</w:t>
      </w:r>
      <w:r>
        <w:t xml:space="preserve"> </w:t>
      </w:r>
      <w:r>
        <w:t xml:space="preserve">_i +</w:t>
      </w:r>
      <w:r>
        <w:t xml:space="preserve"> </w:t>
      </w:r>
      <w:r>
        <w:t xml:space="preserve">_t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Model B (Diﬀerence-in-Diﬀerences):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_{i,t} =</w:t>
      </w:r>
      <w:r>
        <w:t xml:space="preserve"> </w:t>
      </w:r>
      <w:r>
        <w:t xml:space="preserve">(</w:t>
      </w:r>
      <w:r>
        <w:t xml:space="preserve">i</w:t>
      </w:r>
      <w:r>
        <w:t xml:space="preserve"> </w:t>
      </w:r>
      <w:r>
        <w:t xml:space="preserve"> </w:t>
      </w:r>
      <w:r>
        <w:t xml:space="preserve">t) +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_i +</w:t>
      </w:r>
      <w:r>
        <w:t xml:space="preserve"> </w:t>
      </w:r>
      <w:r>
        <w:t xml:space="preserve">_t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Key Variable Deﬁnitions</w:t>
      </w:r>
    </w:p>
    <w:p>
      <w:pPr>
        <w:numPr>
          <w:ilvl w:val="0"/>
          <w:numId w:val="1003"/>
        </w:numPr>
        <w:pStyle w:val="Compact"/>
      </w:pPr>
      <w:r>
        <w:t xml:space="preserve">price_growth: quarterly growth in metro home prices (outcome).</w:t>
      </w:r>
    </w:p>
    <w:p>
      <w:pPr>
        <w:numPr>
          <w:ilvl w:val="0"/>
          <w:numId w:val="1003"/>
        </w:numPr>
        <w:pStyle w:val="Compact"/>
      </w:pPr>
      <w:r>
        <w:t xml:space="preserve">mortgage_exposure_lag3: lagged mortgage-rate exposure term used</w:t>
      </w:r>
      <w:r>
        <w:t xml:space="preserve"> </w:t>
      </w:r>
      <w:r>
        <w:t xml:space="preserve">to capture delayed transmission eﬀects.</w:t>
      </w:r>
    </w:p>
    <w:p>
      <w:pPr>
        <w:numPr>
          <w:ilvl w:val="0"/>
          <w:numId w:val="1003"/>
        </w:numPr>
        <w:pStyle w:val="Compact"/>
      </w:pPr>
      <w:r>
        <w:t xml:space="preserve">price_growth_lag1: lagged dependent variable for persistence and</w:t>
      </w:r>
      <w:r>
        <w:t xml:space="preserve"> </w:t>
      </w:r>
      <w:r>
        <w:t xml:space="preserve">momentum.</w:t>
      </w:r>
    </w:p>
    <w:p>
      <w:pPr>
        <w:numPr>
          <w:ilvl w:val="0"/>
          <w:numId w:val="1003"/>
        </w:numPr>
        <w:pStyle w:val="Compact"/>
      </w:pPr>
      <w:r>
        <w:t xml:space="preserve">treated_post: interaction for high-exposure metros after the 2022</w:t>
      </w:r>
      <w:r>
        <w:t xml:space="preserve"> </w:t>
      </w:r>
      <w:r>
        <w:t xml:space="preserve">hiking-period cutoﬀ.</w:t>
      </w:r>
    </w:p>
    <w:p>
      <w:pPr>
        <w:pStyle w:val="FirstParagraph"/>
      </w:pPr>
      <w:r>
        <w:t xml:space="preserve">Results</w:t>
      </w:r>
    </w:p>
    <w:p>
      <w:pPr>
        <w:pStyle w:val="BodyText"/>
      </w:pPr>
      <w:r>
        <w:t xml:space="preserve">Table 1. Main Fixed Eﬀects Model (Model A)</w:t>
      </w:r>
    </w:p>
    <w:p>
      <w:pPr>
        <w:pStyle w:val="SourceCode"/>
      </w:pPr>
      <w:r>
        <w:rPr>
          <w:rStyle w:val="VerbatimChar"/>
        </w:rPr>
        <w:t xml:space="preserve">                                      Std.               p-</w:t>
      </w:r>
      <w:r>
        <w:br/>
      </w:r>
      <w:r>
        <w:rPr>
          <w:rStyle w:val="VerbatimChar"/>
        </w:rPr>
        <w:t xml:space="preserve">   Variable           Coeﬀicient             t-stat         Signiﬁcance</w:t>
      </w:r>
      <w:r>
        <w:br/>
      </w:r>
      <w:r>
        <w:rPr>
          <w:rStyle w:val="VerbatimChar"/>
        </w:rPr>
        <w:t xml:space="preserve">                                     Error            value</w:t>
      </w:r>
    </w:p>
    <w:p>
      <w:pPr>
        <w:pStyle w:val="FirstParagraph"/>
      </w:pPr>
      <w:r>
        <w:t xml:space="preserve">mortgage_exposure_lag3 -0.1077 0.0064 -16.77 0.0000</w:t>
      </w:r>
      <w:r>
        <w:t xml:space="preserve"> 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price_growth_lag1 0.5596 0.0108 51.65 0.0000</w:t>
      </w:r>
      <w:r>
        <w:rPr>
          <w:iCs/>
          <w:i/>
          <w:bCs/>
          <w:b/>
        </w:rPr>
        <w:t xml:space="preserve"> </w:t>
      </w:r>
    </w:p>
    <w:p>
      <w:pPr>
        <w:pStyle w:val="BodyText"/>
      </w:pPr>
      <w:r>
        <w:t xml:space="preserve">Model details: Entity FE = Yes, Time FE = Yes, Clustered SE = Yes, N</w:t>
      </w:r>
      <w:r>
        <w:t xml:space="preserve"> </w:t>
      </w:r>
      <w:r>
        <w:t xml:space="preserve">= 74,991, R2 = 0.3283.</w:t>
      </w:r>
    </w:p>
    <w:p>
      <w:pPr>
        <w:pStyle w:val="BodyText"/>
      </w:pPr>
      <w:r>
        <w:t xml:space="preserve">Economic interpretation: a 100 bps increase in mortgage exposure</w:t>
      </w:r>
      <w:r>
        <w:t xml:space="preserve"> </w:t>
      </w:r>
      <w:r>
        <w:t xml:space="preserve">reduces quarterly price growth by 0.1077 percentage points at unit</w:t>
      </w:r>
      <w:r>
        <w:t xml:space="preserve"> </w:t>
      </w:r>
      <w:r>
        <w:t xml:space="preserve">exposure. At typical exposure levels in our sample, this scales to</w:t>
      </w:r>
      <w:r>
        <w:t xml:space="preserve"> </w:t>
      </w:r>
      <w:r>
        <w:t xml:space="preserve">approximately 0.16 to 0.20 percentage points per quarter.</w:t>
      </w:r>
    </w:p>
    <w:p>
      <w:pPr>
        <w:pStyle w:val="BodyText"/>
      </w:pPr>
      <w:r>
        <w:t xml:space="preserve">Table 2. Alternative Speciﬁcation (Model B DiD)</w:t>
      </w:r>
    </w:p>
    <w:p>
      <w:pPr>
        <w:pStyle w:val="SourceCode"/>
      </w:pPr>
      <w:r>
        <w:rPr>
          <w:rStyle w:val="VerbatimChar"/>
        </w:rPr>
        <w:t xml:space="preserve">                                 Std.               p-</w:t>
      </w:r>
      <w:r>
        <w:br/>
      </w:r>
      <w:r>
        <w:rPr>
          <w:rStyle w:val="VerbatimChar"/>
        </w:rPr>
        <w:t xml:space="preserve"> Variable       Coeﬀicient              t-stat         Signiﬁcance</w:t>
      </w:r>
      <w:r>
        <w:br/>
      </w:r>
      <w:r>
        <w:rPr>
          <w:rStyle w:val="VerbatimChar"/>
        </w:rPr>
        <w:t xml:space="preserve">                                Error            value</w:t>
      </w:r>
    </w:p>
    <w:p>
      <w:pPr>
        <w:pStyle w:val="FirstParagraph"/>
      </w:pPr>
      <w:r>
        <w:t xml:space="preserve">treated_post -0.4000 0.0283 -14.14 0.0000</w:t>
      </w:r>
      <w:r>
        <w:t xml:space="preserve"> 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price_growth_lag1 0.5634 0.0111 50.79 0.0000</w:t>
      </w:r>
      <w:r>
        <w:rPr>
          <w:iCs/>
          <w:i/>
          <w:bCs/>
          <w:b/>
        </w:rPr>
        <w:t xml:space="preserve"> </w:t>
      </w:r>
    </w:p>
    <w:p>
      <w:pPr>
        <w:pStyle w:val="BodyText"/>
      </w:pPr>
      <w:r>
        <w:t xml:space="preserve">Model details: Entity FE = Yes, Time FE = Yes, Clustered SE = Yes, N</w:t>
      </w:r>
      <w:r>
        <w:t xml:space="preserve"> </w:t>
      </w:r>
      <w:r>
        <w:t xml:space="preserve">= 74,991, R2 = 0.3273.</w:t>
      </w:r>
      <w:r>
        <w:t xml:space="preserve"> </w:t>
      </w:r>
      <w:r>
        <w:t xml:space="preserve">Interpretation: after the 2022 hike period, high-exposure metros</w:t>
      </w:r>
      <w:r>
        <w:t xml:space="preserve"> </w:t>
      </w:r>
      <w:r>
        <w:t xml:space="preserve">experienced 0.40 percentage points lower quarterly price growth</w:t>
      </w:r>
      <w:r>
        <w:t xml:space="preserve"> </w:t>
      </w:r>
      <w:r>
        <w:t xml:space="preserve">relative to lower-exposure metros, conditional on ﬁxed eﬀects and</w:t>
      </w:r>
      <w:r>
        <w:t xml:space="preserve"> </w:t>
      </w:r>
      <w:r>
        <w:t xml:space="preserve">momentum controls.</w:t>
      </w:r>
    </w:p>
    <w:p>
      <w:pPr>
        <w:pStyle w:val="BodyText"/>
      </w:pPr>
      <w:r>
        <w:t xml:space="preserve">Figure 1. Mortgage Rates and Housing Outcome</w:t>
      </w:r>
      <w:r>
        <w:t xml:space="preserve"> </w:t>
      </w:r>
      <w:r>
        <w:t xml:space="preserve">Dynamics</w:t>
      </w:r>
    </w:p>
    <w:p>
      <w:pPr>
        <w:pStyle w:val="BodyText"/>
      </w:pPr>
      <w:r>
        <w:t xml:space="preserve">Figure 2. Regression Diagnostics (Residuals vs</w:t>
      </w:r>
      <w:r>
        <w:t xml:space="preserve"> </w:t>
      </w:r>
      <w:r>
        <w:t xml:space="preserve">Fitted)</w:t>
      </w:r>
    </w:p>
    <w:p>
      <w:pPr>
        <w:pStyle w:val="BodyText"/>
      </w:pPr>
      <w:r>
        <w:t xml:space="preserve">Robustness and Diagnostic Summary</w:t>
      </w:r>
    </w:p>
    <w:p>
      <w:pPr>
        <w:numPr>
          <w:ilvl w:val="0"/>
          <w:numId w:val="1004"/>
        </w:numPr>
        <w:pStyle w:val="Compact"/>
      </w:pPr>
      <w:r>
        <w:t xml:space="preserve">Heteroskedasticity is present (Breusch-Pagan LM p-value = 1.99e-</w:t>
      </w:r>
      <w:r>
        <w:t xml:space="preserve"> </w:t>
      </w:r>
      <w:r>
        <w:t xml:space="preserve">53), which is addressed using clustered standard errors.</w:t>
      </w:r>
    </w:p>
    <w:p>
      <w:pPr>
        <w:numPr>
          <w:ilvl w:val="0"/>
          <w:numId w:val="1004"/>
        </w:numPr>
        <w:pStyle w:val="Compact"/>
      </w:pPr>
      <w:r>
        <w:t xml:space="preserve">Multicollinearity is negligible (VIF approximately 1.01 for both</w:t>
      </w:r>
      <w:r>
        <w:t xml:space="preserve"> </w:t>
      </w:r>
      <w:r>
        <w:t xml:space="preserve">regressors).</w:t>
      </w:r>
    </w:p>
    <w:p>
      <w:pPr>
        <w:numPr>
          <w:ilvl w:val="0"/>
          <w:numId w:val="1004"/>
        </w:numPr>
        <w:pStyle w:val="Compact"/>
      </w:pPr>
      <w:r>
        <w:t xml:space="preserve">Lag robustness remains stable and signiﬁcant: lag1 = -0.1476,</w:t>
      </w:r>
      <w:r>
        <w:t xml:space="preserve"> </w:t>
      </w:r>
      <w:r>
        <w:t xml:space="preserve">lag2 = -0.1368, lag3 = -0.1077 (all p &lt; 0.001).</w:t>
      </w:r>
    </w:p>
    <w:p>
      <w:pPr>
        <w:numPr>
          <w:ilvl w:val="0"/>
          <w:numId w:val="1004"/>
        </w:numPr>
        <w:pStyle w:val="Compact"/>
      </w:pPr>
      <w:r>
        <w:t xml:space="preserve">Excluding 2020-03 through 2020-05 does not materially change</w:t>
      </w:r>
      <w:r>
        <w:t xml:space="preserve"> </w:t>
      </w:r>
      <w:r>
        <w:t xml:space="preserve">the core estimate (-0.1065 vs -0.1077).</w:t>
      </w:r>
    </w:p>
    <w:p>
      <w:pPr>
        <w:numPr>
          <w:ilvl w:val="0"/>
          <w:numId w:val="1004"/>
        </w:numPr>
        <w:pStyle w:val="Compact"/>
      </w:pPr>
      <w:r>
        <w:t xml:space="preserve">Placebo DiD pre-trend estimate is signiﬁcant (+0.3605, p &lt; 0.001),</w:t>
      </w:r>
      <w:r>
        <w:t xml:space="preserve"> </w:t>
      </w:r>
      <w:r>
        <w:t xml:space="preserve">so the DiD causal interpretation should be treated as directional</w:t>
      </w:r>
      <w:r>
        <w:t xml:space="preserve"> </w:t>
      </w:r>
      <w:r>
        <w:t xml:space="preserve">rather than deﬁnitive.</w:t>
      </w:r>
      <w:r>
        <w:t xml:space="preserve"> </w:t>
      </w:r>
      <w:r>
        <w:t xml:space="preserve">Conclusions and Recommendations</w:t>
      </w:r>
    </w:p>
    <w:p>
      <w:pPr>
        <w:pStyle w:val="FirstParagraph"/>
      </w:pPr>
      <w:r>
        <w:t xml:space="preserve">Investment and Policy Implications</w:t>
      </w:r>
    </w:p>
    <w:p>
      <w:pPr>
        <w:numPr>
          <w:ilvl w:val="0"/>
          <w:numId w:val="1005"/>
        </w:numPr>
        <w:pStyle w:val="Compact"/>
      </w:pPr>
      <w:r>
        <w:t xml:space="preserve">Mortgage tightening has a statistically strong and economically</w:t>
      </w:r>
      <w:r>
        <w:t xml:space="preserve"> </w:t>
      </w:r>
      <w:r>
        <w:t xml:space="preserve">meaningful negative association with metro home price growth.</w:t>
      </w:r>
    </w:p>
    <w:p>
      <w:pPr>
        <w:numPr>
          <w:ilvl w:val="0"/>
          <w:numId w:val="1005"/>
        </w:numPr>
        <w:pStyle w:val="Compact"/>
      </w:pPr>
      <w:r>
        <w:t xml:space="preserve">High-exposure metros are more vulnerable in elevated-rate</w:t>
      </w:r>
      <w:r>
        <w:t xml:space="preserve"> </w:t>
      </w:r>
      <w:r>
        <w:t xml:space="preserve">regimes and should be prioritized in risk dashboards and policy</w:t>
      </w:r>
      <w:r>
        <w:t xml:space="preserve"> </w:t>
      </w:r>
      <w:r>
        <w:t xml:space="preserve">stress tests.</w:t>
      </w:r>
    </w:p>
    <w:p>
      <w:pPr>
        <w:numPr>
          <w:ilvl w:val="0"/>
          <w:numId w:val="1005"/>
        </w:numPr>
        <w:pStyle w:val="Compact"/>
      </w:pPr>
      <w:r>
        <w:t xml:space="preserve">Use exposure-stratiﬁed scenario planning for policy</w:t>
      </w:r>
      <w:r>
        <w:t xml:space="preserve"> </w:t>
      </w:r>
      <w:r>
        <w:t xml:space="preserve">communication and local market surveillance.</w:t>
      </w:r>
    </w:p>
    <w:p>
      <w:pPr>
        <w:pStyle w:val="FirstParagraph"/>
      </w:pPr>
      <w:r>
        <w:t xml:space="preserve">Risk Assessment</w:t>
      </w:r>
    </w:p>
    <w:p>
      <w:pPr>
        <w:numPr>
          <w:ilvl w:val="0"/>
          <w:numId w:val="1006"/>
        </w:numPr>
        <w:pStyle w:val="Compact"/>
      </w:pPr>
      <w:r>
        <w:t xml:space="preserve">The strongest model risk is the DiD parallel-trends concern</w:t>
      </w:r>
      <w:r>
        <w:t xml:space="preserve"> </w:t>
      </w:r>
      <w:r>
        <w:t xml:space="preserve">indicated by the placebo test.</w:t>
      </w:r>
    </w:p>
    <w:p>
      <w:pPr>
        <w:numPr>
          <w:ilvl w:val="0"/>
          <w:numId w:val="1006"/>
        </w:numPr>
        <w:pStyle w:val="Compact"/>
      </w:pPr>
      <w:r>
        <w:t xml:space="preserve">Omitted local controls (inventory, migration, labor demand shocks)</w:t>
      </w:r>
      <w:r>
        <w:t xml:space="preserve"> </w:t>
      </w:r>
      <w:r>
        <w:t xml:space="preserve">may still bias eﬀect size.</w:t>
      </w:r>
    </w:p>
    <w:p>
      <w:pPr>
        <w:numPr>
          <w:ilvl w:val="0"/>
          <w:numId w:val="1006"/>
        </w:numPr>
        <w:pStyle w:val="Compact"/>
      </w:pPr>
      <w:r>
        <w:t xml:space="preserve">Structural shifts in credit standards may alter out-of-sample</w:t>
      </w:r>
      <w:r>
        <w:t xml:space="preserve"> </w:t>
      </w:r>
      <w:r>
        <w:t xml:space="preserve">performance of historical coeﬀicients.</w:t>
      </w:r>
    </w:p>
    <w:p>
      <w:pPr>
        <w:pStyle w:val="FirstParagraph"/>
      </w:pPr>
      <w:r>
        <w:t xml:space="preserve">Caveats</w:t>
      </w:r>
    </w:p>
    <w:p>
      <w:pPr>
        <w:numPr>
          <w:ilvl w:val="0"/>
          <w:numId w:val="1007"/>
        </w:numPr>
        <w:pStyle w:val="Compact"/>
      </w:pPr>
      <w:r>
        <w:t xml:space="preserve">Model A (ﬁxed eﬀects) is the primary estimate for inference</w:t>
      </w:r>
      <w:r>
        <w:t xml:space="preserve"> </w:t>
      </w:r>
      <w:r>
        <w:t xml:space="preserve">reliability.</w:t>
      </w:r>
    </w:p>
    <w:p>
      <w:pPr>
        <w:numPr>
          <w:ilvl w:val="0"/>
          <w:numId w:val="1007"/>
        </w:numPr>
        <w:pStyle w:val="Compact"/>
      </w:pPr>
      <w:r>
        <w:t xml:space="preserve">Model B should be interpreted as supportive directional evidence,</w:t>
      </w:r>
      <w:r>
        <w:t xml:space="preserve"> </w:t>
      </w:r>
      <w:r>
        <w:t xml:space="preserve">not a stand-alone causal estimate.</w:t>
      </w:r>
    </w:p>
    <w:p>
      <w:pPr>
        <w:numPr>
          <w:ilvl w:val="0"/>
          <w:numId w:val="1007"/>
        </w:numPr>
        <w:pStyle w:val="Compact"/>
      </w:pPr>
      <w:r>
        <w:t xml:space="preserve">External validity is strongest for U.S. metro housing markets in the</w:t>
      </w:r>
      <w:r>
        <w:t xml:space="preserve"> </w:t>
      </w:r>
      <w:r>
        <w:t xml:space="preserve">observed sample period.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1. Zillow Research Data: Zillow Home Value Index (ZHVI), metro-</w:t>
      </w:r>
      <w:r>
        <w:t xml:space="preserve"> </w:t>
      </w:r>
      <w:r>
        <w:t xml:space="preserve">level housing values. https://www.zillow.com/research/data/</w:t>
      </w:r>
      <w:r>
        <w:t xml:space="preserve"> </w:t>
      </w:r>
      <w:r>
        <w:t xml:space="preserve">2. Federal Reserve Economic Data (FRED): 30-Year Fixed Rate</w:t>
      </w:r>
      <w:r>
        <w:t xml:space="preserve"> </w:t>
      </w:r>
      <w:r>
        <w:t xml:space="preserve">Mortgage Average in the United States (MORTGAGE30US).</w:t>
      </w:r>
      <w:r>
        <w:t xml:space="preserve"> </w:t>
      </w:r>
      <w:r>
        <w:t xml:space="preserve">https://fred.stlouisfed.org/series/MORTGAGE30US</w:t>
      </w:r>
      <w:r>
        <w:t xml:space="preserve"> </w:t>
      </w:r>
      <w:r>
        <w:t xml:space="preserve">3. Team project outputs and scripts: M3_capstone_models.py,</w:t>
      </w:r>
      <w:r>
        <w:t xml:space="preserve"> </w:t>
      </w:r>
      <w:r>
        <w:t xml:space="preserve">results/tables/, and results/figures/ in this repository.</w:t>
      </w:r>
    </w:p>
    <w:p>
      <w:pPr>
        <w:pStyle w:val="BodyText"/>
      </w:pPr>
      <w:r>
        <w:t xml:space="preserve">Appendix A: AI Audit Summary (M1-M4)</w:t>
      </w:r>
      <w:r>
        <w:t xml:space="preserve"> </w:t>
      </w:r>
      <w:r>
        <w:t xml:space="preserve">1. AI was used to help structure memo language, improve clarity, and</w:t>
      </w:r>
      <w:r>
        <w:t xml:space="preserve"> </w:t>
      </w:r>
      <w:r>
        <w:t xml:space="preserve">format output tables into publication-ready markdown.</w:t>
      </w:r>
      <w:r>
        <w:t xml:space="preserve"> </w:t>
      </w:r>
      <w:r>
        <w:t xml:space="preserve">2. All quantitative claims in this memo were veriﬁed against</w:t>
      </w:r>
      <w:r>
        <w:t xml:space="preserve"> </w:t>
      </w:r>
      <w:r>
        <w:t xml:space="preserve">repository artifacts in results/tables/ and results/figures/.</w:t>
      </w:r>
      <w:r>
        <w:t xml:space="preserve"> </w:t>
      </w:r>
      <w:r>
        <w:t xml:space="preserve">3. AI-suggested interpretations were accepted only when they</w:t>
      </w:r>
      <w:r>
        <w:t xml:space="preserve"> </w:t>
      </w:r>
      <w:r>
        <w:t xml:space="preserve">matched coeﬀicient signs, magnitudes, units, and project context.</w:t>
      </w:r>
      <w:r>
        <w:t xml:space="preserve"> </w:t>
      </w:r>
      <w:r>
        <w:t xml:space="preserve">4. AI limitations observed: occasional overstatement of causal</w:t>
      </w:r>
      <w:r>
        <w:t xml:space="preserve"> </w:t>
      </w:r>
      <w:r>
        <w:t xml:space="preserve">certainty in DiD contexts; corrected using placebo pre-trend</w:t>
      </w:r>
      <w:r>
        <w:t xml:space="preserve"> </w:t>
      </w:r>
      <w:r>
        <w:t xml:space="preserve">evidence.</w:t>
      </w:r>
      <w:r>
        <w:t xml:space="preserve"> </w:t>
      </w:r>
      <w:r>
        <w:t xml:space="preserve">5. Human contribution: variable construction, estimation decisions,</w:t>
      </w:r>
      <w:r>
        <w:t xml:space="preserve"> </w:t>
      </w:r>
      <w:r>
        <w:t xml:space="preserve">diagnostics, robustness testing, and ﬁnal interpretation choices</w:t>
      </w:r>
      <w:r>
        <w:t xml:space="preserve"> </w:t>
      </w:r>
      <w:r>
        <w:t xml:space="preserve">were completed and reviewed by team members.</w:t>
      </w:r>
      <w:r>
        <w:t xml:space="preserve"> </w:t>
      </w: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2026-04-27T15:46:29Z</dcterms:created>
  <dcterms:modified xsi:type="dcterms:W3CDTF">2026-04-27T15:46:29Z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